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8440"/>
        <w:spacing w:after="0"/>
        <w:rPr>
          <w:sz w:val="20"/>
          <w:szCs w:val="20"/>
          <w:color w:val="auto"/>
        </w:rPr>
      </w:pPr>
      <w:r>
        <w:rPr>
          <w:rFonts w:ascii="Arial" w:cs="Arial" w:eastAsia="Arial" w:hAnsi="Arial"/>
          <w:sz w:val="17"/>
          <w:szCs w:val="17"/>
          <w:b w:val="1"/>
          <w:bCs w:val="1"/>
          <w:color w:val="auto"/>
        </w:rPr>
        <w:t>Filed pursuant to Rule 424(b)(4)</w:t>
      </w:r>
    </w:p>
    <w:p>
      <w:pPr>
        <w:spacing w:after="0" w:line="29" w:lineRule="exact"/>
        <w:rPr>
          <w:sz w:val="24"/>
          <w:szCs w:val="24"/>
          <w:color w:val="auto"/>
        </w:rPr>
      </w:pPr>
    </w:p>
    <w:p>
      <w:pPr>
        <w:ind w:left="7260"/>
        <w:spacing w:after="0"/>
        <w:rPr>
          <w:sz w:val="20"/>
          <w:szCs w:val="20"/>
          <w:color w:val="auto"/>
        </w:rPr>
      </w:pPr>
      <w:r>
        <w:rPr>
          <w:rFonts w:ascii="Arial" w:cs="Arial" w:eastAsia="Arial" w:hAnsi="Arial"/>
          <w:sz w:val="17"/>
          <w:szCs w:val="17"/>
          <w:b w:val="1"/>
          <w:bCs w:val="1"/>
          <w:color w:val="auto"/>
        </w:rPr>
        <w:t>Registration Nos. 333-251171 and 333-251248</w:t>
      </w:r>
    </w:p>
    <w:p>
      <w:pPr>
        <w:spacing w:after="0" w:line="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118"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2,380,000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182245</wp:posOffset>
            </wp:positionV>
            <wp:extent cx="1954530"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Common Stock</w:t>
      </w:r>
    </w:p>
    <w:p>
      <w:pPr>
        <w:spacing w:after="0" w:line="254" w:lineRule="exact"/>
        <w:rPr>
          <w:sz w:val="24"/>
          <w:szCs w:val="24"/>
          <w:color w:val="auto"/>
        </w:rPr>
      </w:pPr>
    </w:p>
    <w:p>
      <w:pPr>
        <w:ind w:left="120"/>
        <w:spacing w:after="0"/>
        <w:rPr>
          <w:sz w:val="20"/>
          <w:szCs w:val="20"/>
          <w:color w:val="auto"/>
        </w:rPr>
      </w:pPr>
      <w:r>
        <w:rPr>
          <w:rFonts w:ascii="Arial" w:cs="Arial" w:eastAsia="Arial" w:hAnsi="Arial"/>
          <w:sz w:val="17"/>
          <w:szCs w:val="17"/>
          <w:color w:val="auto"/>
        </w:rPr>
        <w:t>We are offering 2,380,000 shares of our common stock.</w:t>
      </w:r>
    </w:p>
    <w:p>
      <w:pPr>
        <w:spacing w:after="0" w:line="156" w:lineRule="exact"/>
        <w:rPr>
          <w:sz w:val="24"/>
          <w:szCs w:val="24"/>
          <w:color w:val="auto"/>
        </w:rPr>
      </w:pPr>
    </w:p>
    <w:p>
      <w:pPr>
        <w:ind w:left="120" w:right="140"/>
        <w:spacing w:after="0" w:line="243" w:lineRule="auto"/>
        <w:rPr>
          <w:sz w:val="20"/>
          <w:szCs w:val="20"/>
          <w:color w:val="auto"/>
        </w:rPr>
      </w:pPr>
      <w:r>
        <w:rPr>
          <w:rFonts w:ascii="Arial" w:cs="Arial" w:eastAsia="Arial" w:hAnsi="Arial"/>
          <w:sz w:val="17"/>
          <w:szCs w:val="17"/>
          <w:color w:val="auto"/>
        </w:rPr>
        <w:t>Our common stock is listed on the Nasdaq Global Select Market under the symbol “ALXO.” On December 9, 2020, the last reported sale price of our common stock on the Nasdaq Global Select Market was $81.73 per share.</w:t>
      </w:r>
    </w:p>
    <w:p>
      <w:pPr>
        <w:spacing w:after="0" w:line="144" w:lineRule="exact"/>
        <w:rPr>
          <w:sz w:val="24"/>
          <w:szCs w:val="24"/>
          <w:color w:val="auto"/>
        </w:rPr>
      </w:pPr>
    </w:p>
    <w:p>
      <w:pPr>
        <w:ind w:left="120" w:right="20"/>
        <w:spacing w:after="0" w:line="243" w:lineRule="auto"/>
        <w:rPr>
          <w:sz w:val="20"/>
          <w:szCs w:val="20"/>
          <w:color w:val="auto"/>
        </w:rPr>
      </w:pPr>
      <w:r>
        <w:rPr>
          <w:rFonts w:ascii="Arial" w:cs="Arial" w:eastAsia="Arial" w:hAnsi="Arial"/>
          <w:sz w:val="17"/>
          <w:szCs w:val="17"/>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144" w:lineRule="exact"/>
        <w:rPr>
          <w:sz w:val="24"/>
          <w:szCs w:val="24"/>
          <w:color w:val="auto"/>
        </w:rPr>
      </w:pPr>
    </w:p>
    <w:p>
      <w:pPr>
        <w:ind w:left="120"/>
        <w:spacing w:after="0"/>
        <w:rPr>
          <w:rFonts w:ascii="Arial" w:cs="Arial" w:eastAsia="Arial" w:hAnsi="Arial"/>
          <w:sz w:val="17"/>
          <w:szCs w:val="17"/>
          <w:color w:val="auto"/>
        </w:rPr>
      </w:pPr>
      <w:r>
        <w:rPr>
          <w:rFonts w:ascii="Arial" w:cs="Arial" w:eastAsia="Arial" w:hAnsi="Arial"/>
          <w:sz w:val="17"/>
          <w:szCs w:val="17"/>
          <w:color w:val="auto"/>
        </w:rPr>
        <w:t>Investing in our common stock involves a high degree of risk. Please read “</w:t>
      </w:r>
      <w:hyperlink w:anchor="page14">
        <w:r>
          <w:rPr>
            <w:rFonts w:ascii="Arial" w:cs="Arial" w:eastAsia="Arial" w:hAnsi="Arial"/>
            <w:sz w:val="17"/>
            <w:szCs w:val="17"/>
            <w:u w:val="single" w:color="auto"/>
            <w:color w:val="0000EE"/>
          </w:rPr>
          <w:t>Risk Factors</w:t>
        </w:r>
      </w:hyperlink>
      <w:r>
        <w:rPr>
          <w:rFonts w:ascii="Arial" w:cs="Arial" w:eastAsia="Arial" w:hAnsi="Arial"/>
          <w:sz w:val="17"/>
          <w:szCs w:val="17"/>
          <w:color w:val="auto"/>
        </w:rPr>
        <w:t>” beginning on page 12 of this prospectus.</w:t>
      </w:r>
    </w:p>
    <w:p>
      <w:pPr>
        <w:spacing w:after="0" w:line="139" w:lineRule="exact"/>
        <w:rPr>
          <w:sz w:val="24"/>
          <w:szCs w:val="24"/>
          <w:color w:val="auto"/>
        </w:rPr>
      </w:pPr>
    </w:p>
    <w:p>
      <w:pPr>
        <w:ind w:left="120" w:right="30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2020" w:type="dxa"/>
            <w:vAlign w:val="bottom"/>
            <w:gridSpan w:val="3"/>
          </w:tcPr>
          <w:p>
            <w:pPr>
              <w:ind w:left="1160"/>
              <w:spacing w:after="0"/>
              <w:rPr>
                <w:sz w:val="20"/>
                <w:szCs w:val="20"/>
                <w:color w:val="auto"/>
              </w:rPr>
            </w:pPr>
            <w:r>
              <w:rPr>
                <w:rFonts w:ascii="Arial" w:cs="Arial" w:eastAsia="Arial" w:hAnsi="Arial"/>
                <w:sz w:val="14"/>
                <w:szCs w:val="14"/>
                <w:b w:val="1"/>
                <w:bCs w:val="1"/>
                <w:color w:val="auto"/>
              </w:rPr>
              <w:t>PER SHARE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83"/>
        </w:trPr>
        <w:tc>
          <w:tcPr>
            <w:tcW w:w="56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1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76.00</w:t>
            </w: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180,880,000</w:t>
            </w:r>
          </w:p>
        </w:tc>
        <w:tc>
          <w:tcPr>
            <w:tcW w:w="60" w:type="dxa"/>
            <w:vAlign w:val="bottom"/>
            <w:tcBorders>
              <w:top w:val="single" w:sz="8" w:color="CCEEFF"/>
            </w:tcBorders>
            <w:shd w:val="clear" w:color="auto" w:fill="CCEEFF"/>
          </w:tcPr>
          <w:p>
            <w:pPr>
              <w:spacing w:after="0"/>
              <w:rPr>
                <w:sz w:val="15"/>
                <w:szCs w:val="15"/>
                <w:color w:val="auto"/>
              </w:rPr>
            </w:pPr>
          </w:p>
        </w:tc>
      </w:tr>
      <w:tr>
        <w:trPr>
          <w:trHeight w:val="4"/>
        </w:trPr>
        <w:tc>
          <w:tcPr>
            <w:tcW w:w="562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Underwriting Discounts and Commissions</w:t>
            </w:r>
          </w:p>
        </w:tc>
        <w:tc>
          <w:tcPr>
            <w:tcW w:w="1420" w:type="dxa"/>
            <w:vAlign w:val="bottom"/>
            <w:gridSpan w:val="2"/>
            <w:shd w:val="clear" w:color="auto" w:fill="CCEEFF"/>
          </w:tcPr>
          <w:p>
            <w:pPr>
              <w:ind w:left="1160"/>
              <w:spacing w:after="0" w:line="4" w:lineRule="exact"/>
              <w:rPr>
                <w:sz w:val="20"/>
                <w:szCs w:val="20"/>
                <w:color w:val="auto"/>
              </w:rPr>
            </w:pPr>
            <w:r>
              <w:rPr>
                <w:rFonts w:ascii="Arial" w:cs="Arial" w:eastAsia="Arial" w:hAnsi="Arial"/>
                <w:sz w:val="1"/>
                <w:szCs w:val="1"/>
                <w:color w:val="auto"/>
              </w:rPr>
              <w:t>$</w:t>
            </w:r>
          </w:p>
        </w:tc>
        <w:tc>
          <w:tcPr>
            <w:tcW w:w="600" w:type="dxa"/>
            <w:vAlign w:val="bottom"/>
            <w:shd w:val="clear" w:color="auto" w:fill="CCEEFF"/>
          </w:tcPr>
          <w:p>
            <w:pPr>
              <w:jc w:val="right"/>
              <w:spacing w:after="0" w:line="4" w:lineRule="exact"/>
              <w:rPr>
                <w:sz w:val="20"/>
                <w:szCs w:val="20"/>
                <w:color w:val="auto"/>
              </w:rPr>
            </w:pPr>
            <w:r>
              <w:rPr>
                <w:rFonts w:ascii="Arial" w:cs="Arial" w:eastAsia="Arial" w:hAnsi="Arial"/>
                <w:sz w:val="1"/>
                <w:szCs w:val="1"/>
                <w:color w:val="auto"/>
              </w:rPr>
              <w:t>4.56</w:t>
            </w:r>
          </w:p>
        </w:tc>
        <w:tc>
          <w:tcPr>
            <w:tcW w:w="600" w:type="dxa"/>
            <w:vAlign w:val="bottom"/>
            <w:gridSpan w:val="2"/>
            <w:shd w:val="clear" w:color="auto" w:fill="CCEEFF"/>
          </w:tcPr>
          <w:p>
            <w:pPr>
              <w:jc w:val="right"/>
              <w:spacing w:after="0" w:line="4" w:lineRule="exact"/>
              <w:rPr>
                <w:sz w:val="20"/>
                <w:szCs w:val="20"/>
                <w:color w:val="auto"/>
              </w:rPr>
            </w:pPr>
            <w:r>
              <w:rPr>
                <w:rFonts w:ascii="Arial" w:cs="Arial" w:eastAsia="Arial" w:hAnsi="Arial"/>
                <w:sz w:val="1"/>
                <w:szCs w:val="1"/>
                <w:color w:val="auto"/>
              </w:rPr>
              <w:t>$</w:t>
            </w:r>
          </w:p>
        </w:tc>
        <w:tc>
          <w:tcPr>
            <w:tcW w:w="960" w:type="dxa"/>
            <w:vAlign w:val="bottom"/>
            <w:shd w:val="clear" w:color="auto" w:fill="CCEEFF"/>
          </w:tcPr>
          <w:p>
            <w:pPr>
              <w:jc w:val="right"/>
              <w:spacing w:after="0" w:line="4" w:lineRule="exact"/>
              <w:rPr>
                <w:sz w:val="20"/>
                <w:szCs w:val="20"/>
                <w:color w:val="auto"/>
              </w:rPr>
            </w:pPr>
            <w:r>
              <w:rPr>
                <w:rFonts w:ascii="Arial" w:cs="Arial" w:eastAsia="Arial" w:hAnsi="Arial"/>
                <w:sz w:val="1"/>
                <w:szCs w:val="1"/>
                <w:color w:val="auto"/>
              </w:rPr>
              <w:t>10,852,800</w:t>
            </w:r>
          </w:p>
        </w:tc>
        <w:tc>
          <w:tcPr>
            <w:tcW w:w="60" w:type="dxa"/>
            <w:vAlign w:val="bottom"/>
            <w:shd w:val="clear" w:color="auto" w:fill="CCEEFF"/>
          </w:tcPr>
          <w:p>
            <w:pPr>
              <w:spacing w:after="0" w:line="20" w:lineRule="exact"/>
              <w:rPr>
                <w:sz w:val="1"/>
                <w:szCs w:val="1"/>
                <w:color w:val="auto"/>
              </w:rPr>
            </w:pPr>
          </w:p>
        </w:tc>
      </w:tr>
      <w:tr>
        <w:trPr>
          <w:trHeight w:val="173"/>
        </w:trPr>
        <w:tc>
          <w:tcPr>
            <w:tcW w:w="5620" w:type="dxa"/>
            <w:vAlign w:val="bottom"/>
          </w:tcPr>
          <w:p>
            <w:pPr>
              <w:jc w:val="right"/>
              <w:ind w:right="2218"/>
              <w:spacing w:after="0"/>
              <w:rPr>
                <w:sz w:val="20"/>
                <w:szCs w:val="20"/>
                <w:color w:val="auto"/>
              </w:rPr>
            </w:pPr>
            <w:r>
              <w:rPr>
                <w:rFonts w:ascii="Arial" w:cs="Arial" w:eastAsia="Arial" w:hAnsi="Arial"/>
                <w:sz w:val="15"/>
                <w:szCs w:val="15"/>
                <w:color w:val="auto"/>
              </w:rPr>
              <w:t>(1)</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Proceeds to ALX Oncology Holdings Inc., before expenses</w:t>
            </w: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170,027,200</w:t>
            </w:r>
          </w:p>
        </w:tc>
        <w:tc>
          <w:tcPr>
            <w:tcW w:w="6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4"/>
          <w:szCs w:val="24"/>
          <w:color w:val="auto"/>
        </w:rPr>
      </w:pPr>
    </w:p>
    <w:p>
      <w:pPr>
        <w:ind w:left="540" w:hanging="249"/>
        <w:spacing w:after="0"/>
        <w:tabs>
          <w:tab w:leader="none" w:pos="540" w:val="left"/>
        </w:tabs>
        <w:numPr>
          <w:ilvl w:val="0"/>
          <w:numId w:val="1"/>
        </w:numPr>
        <w:rPr>
          <w:rFonts w:ascii="Arial" w:cs="Arial" w:eastAsia="Arial" w:hAnsi="Arial"/>
          <w:sz w:val="24"/>
          <w:szCs w:val="24"/>
          <w:color w:val="auto"/>
          <w:vertAlign w:val="superscript"/>
        </w:rPr>
      </w:pPr>
      <w:r>
        <w:rPr>
          <w:rFonts w:ascii="Arial" w:cs="Arial" w:eastAsia="Arial" w:hAnsi="Arial"/>
          <w:sz w:val="14"/>
          <w:szCs w:val="14"/>
          <w:color w:val="auto"/>
        </w:rPr>
        <w:t>See “Underwriting” beginning on page 166 for additional information regarding underwriter compensation.</w:t>
      </w:r>
    </w:p>
    <w:p>
      <w:pPr>
        <w:spacing w:after="0" w:line="141" w:lineRule="exact"/>
        <w:rPr>
          <w:sz w:val="24"/>
          <w:szCs w:val="24"/>
          <w:color w:val="auto"/>
        </w:rPr>
      </w:pPr>
    </w:p>
    <w:p>
      <w:pPr>
        <w:ind w:left="120" w:right="100"/>
        <w:spacing w:after="0" w:line="238" w:lineRule="auto"/>
        <w:rPr>
          <w:sz w:val="20"/>
          <w:szCs w:val="20"/>
          <w:color w:val="auto"/>
        </w:rPr>
      </w:pPr>
      <w:r>
        <w:rPr>
          <w:rFonts w:ascii="Arial" w:cs="Arial" w:eastAsia="Arial" w:hAnsi="Arial"/>
          <w:sz w:val="17"/>
          <w:szCs w:val="17"/>
          <w:color w:val="auto"/>
        </w:rPr>
        <w:t>Delivery of the shares of common stock is expected to be made on or about December 14, 2020. We have granted the underwriters an option for a period of 30 days to purchase an additional 357,000 shares of our common stock. If the underwriters exercise the option in full, the total underwriting discounts and commissions payable by us will be $12,480,720 and the total proceeds to us, before expenses, will be $195,531,280.</w:t>
      </w:r>
    </w:p>
    <w:p>
      <w:pPr>
        <w:spacing w:after="0" w:line="195" w:lineRule="exact"/>
        <w:rPr>
          <w:sz w:val="24"/>
          <w:szCs w:val="24"/>
          <w:color w:val="auto"/>
        </w:rPr>
      </w:pPr>
    </w:p>
    <w:tbl>
      <w:tblPr>
        <w:tblLayout w:type="fixed"/>
        <w:tblInd w:w="120" w:type="dxa"/>
        <w:tblCellMar>
          <w:top w:w="0" w:type="dxa"/>
          <w:left w:w="0" w:type="dxa"/>
          <w:bottom w:w="0" w:type="dxa"/>
          <w:right w:w="0" w:type="dxa"/>
        </w:tblCellMar>
      </w:tblPr>
      <w:tr>
        <w:trPr>
          <w:trHeight w:val="383"/>
        </w:trPr>
        <w:tc>
          <w:tcPr>
            <w:tcW w:w="2640" w:type="dxa"/>
            <w:vAlign w:val="bottom"/>
          </w:tcPr>
          <w:p>
            <w:pPr>
              <w:spacing w:after="0"/>
              <w:rPr>
                <w:sz w:val="20"/>
                <w:szCs w:val="20"/>
                <w:color w:val="auto"/>
              </w:rPr>
            </w:pPr>
            <w:r>
              <w:rPr>
                <w:rFonts w:ascii="Arial" w:cs="Arial" w:eastAsia="Arial" w:hAnsi="Arial"/>
                <w:sz w:val="29"/>
                <w:szCs w:val="29"/>
                <w:b w:val="1"/>
                <w:bCs w:val="1"/>
                <w:color w:val="auto"/>
              </w:rPr>
              <w:t>Jefferies</w:t>
            </w:r>
          </w:p>
        </w:tc>
        <w:tc>
          <w:tcPr>
            <w:tcW w:w="5000" w:type="dxa"/>
            <w:vAlign w:val="bottom"/>
          </w:tcPr>
          <w:p>
            <w:pPr>
              <w:ind w:left="2000"/>
              <w:spacing w:after="0"/>
              <w:rPr>
                <w:sz w:val="20"/>
                <w:szCs w:val="20"/>
                <w:color w:val="auto"/>
              </w:rPr>
            </w:pPr>
            <w:r>
              <w:rPr>
                <w:rFonts w:ascii="Arial" w:cs="Arial" w:eastAsia="Arial" w:hAnsi="Arial"/>
                <w:sz w:val="29"/>
                <w:szCs w:val="29"/>
                <w:b w:val="1"/>
                <w:bCs w:val="1"/>
                <w:color w:val="auto"/>
              </w:rPr>
              <w:t>Credit Suisse</w:t>
            </w:r>
          </w:p>
        </w:tc>
        <w:tc>
          <w:tcPr>
            <w:tcW w:w="3380" w:type="dxa"/>
            <w:vAlign w:val="bottom"/>
          </w:tcPr>
          <w:p>
            <w:pPr>
              <w:jc w:val="right"/>
              <w:spacing w:after="0"/>
              <w:rPr>
                <w:sz w:val="20"/>
                <w:szCs w:val="20"/>
                <w:color w:val="auto"/>
              </w:rPr>
            </w:pPr>
            <w:r>
              <w:rPr>
                <w:rFonts w:ascii="Arial" w:cs="Arial" w:eastAsia="Arial" w:hAnsi="Arial"/>
                <w:sz w:val="29"/>
                <w:szCs w:val="29"/>
                <w:b w:val="1"/>
                <w:bCs w:val="1"/>
                <w:color w:val="auto"/>
              </w:rPr>
              <w:t>Piper Sandler</w:t>
            </w:r>
          </w:p>
        </w:tc>
        <w:tc>
          <w:tcPr>
            <w:tcW w:w="0" w:type="dxa"/>
            <w:vAlign w:val="bottom"/>
          </w:tcPr>
          <w:p>
            <w:pPr>
              <w:spacing w:after="0"/>
              <w:rPr>
                <w:sz w:val="1"/>
                <w:szCs w:val="1"/>
                <w:color w:val="auto"/>
              </w:rPr>
            </w:pPr>
          </w:p>
        </w:tc>
      </w:tr>
      <w:tr>
        <w:trPr>
          <w:trHeight w:val="503"/>
        </w:trPr>
        <w:tc>
          <w:tcPr>
            <w:tcW w:w="2640" w:type="dxa"/>
            <w:vAlign w:val="bottom"/>
          </w:tcPr>
          <w:p>
            <w:pPr>
              <w:spacing w:after="0"/>
              <w:rPr>
                <w:sz w:val="20"/>
                <w:szCs w:val="20"/>
                <w:color w:val="auto"/>
              </w:rPr>
            </w:pPr>
            <w:r>
              <w:rPr>
                <w:rFonts w:ascii="Arial" w:cs="Arial" w:eastAsia="Arial" w:hAnsi="Arial"/>
                <w:sz w:val="25"/>
                <w:szCs w:val="25"/>
                <w:b w:val="1"/>
                <w:bCs w:val="1"/>
                <w:color w:val="auto"/>
              </w:rPr>
              <w:t>Cantor</w:t>
            </w:r>
          </w:p>
        </w:tc>
        <w:tc>
          <w:tcPr>
            <w:tcW w:w="5000" w:type="dxa"/>
            <w:vAlign w:val="bottom"/>
            <w:vMerge w:val="restart"/>
          </w:tcPr>
          <w:p>
            <w:pPr>
              <w:jc w:val="center"/>
              <w:ind w:left="608"/>
              <w:spacing w:after="0"/>
              <w:rPr>
                <w:sz w:val="20"/>
                <w:szCs w:val="20"/>
                <w:color w:val="auto"/>
              </w:rPr>
            </w:pPr>
            <w:r>
              <w:rPr>
                <w:rFonts w:ascii="Arial" w:cs="Arial" w:eastAsia="Arial" w:hAnsi="Arial"/>
                <w:sz w:val="22"/>
                <w:szCs w:val="22"/>
                <w:b w:val="1"/>
                <w:bCs w:val="1"/>
                <w:color w:val="auto"/>
                <w:w w:val="97"/>
              </w:rPr>
              <w:t>LifeSci Capital</w:t>
            </w:r>
          </w:p>
        </w:tc>
        <w:tc>
          <w:tcPr>
            <w:tcW w:w="3380" w:type="dxa"/>
            <w:vAlign w:val="bottom"/>
          </w:tcPr>
          <w:p>
            <w:pPr>
              <w:jc w:val="right"/>
              <w:spacing w:after="0"/>
              <w:rPr>
                <w:sz w:val="20"/>
                <w:szCs w:val="20"/>
                <w:color w:val="auto"/>
              </w:rPr>
            </w:pPr>
            <w:r>
              <w:rPr>
                <w:rFonts w:ascii="Arial" w:cs="Arial" w:eastAsia="Arial" w:hAnsi="Arial"/>
                <w:sz w:val="25"/>
                <w:szCs w:val="25"/>
                <w:b w:val="1"/>
                <w:bCs w:val="1"/>
                <w:color w:val="auto"/>
              </w:rPr>
              <w:t>UBS Investment Bank</w:t>
            </w: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5000" w:type="dxa"/>
            <w:vAlign w:val="bottom"/>
            <w:vMerge w:val="continue"/>
          </w:tcPr>
          <w:p>
            <w:pPr>
              <w:spacing w:after="0"/>
              <w:rPr>
                <w:sz w:val="21"/>
                <w:szCs w:val="21"/>
                <w:color w:val="auto"/>
              </w:rPr>
            </w:pP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4"/>
        </w:trPr>
        <w:tc>
          <w:tcPr>
            <w:tcW w:w="2640" w:type="dxa"/>
            <w:vAlign w:val="bottom"/>
          </w:tcPr>
          <w:p>
            <w:pPr>
              <w:spacing w:after="0"/>
              <w:rPr>
                <w:sz w:val="24"/>
                <w:szCs w:val="24"/>
                <w:color w:val="auto"/>
              </w:rPr>
            </w:pPr>
          </w:p>
        </w:tc>
        <w:tc>
          <w:tcPr>
            <w:tcW w:w="5000" w:type="dxa"/>
            <w:vAlign w:val="bottom"/>
          </w:tcPr>
          <w:p>
            <w:pPr>
              <w:jc w:val="center"/>
              <w:ind w:left="628"/>
              <w:spacing w:after="0"/>
              <w:rPr>
                <w:sz w:val="20"/>
                <w:szCs w:val="20"/>
                <w:color w:val="auto"/>
              </w:rPr>
            </w:pPr>
            <w:r>
              <w:rPr>
                <w:rFonts w:ascii="Arial" w:cs="Arial" w:eastAsia="Arial" w:hAnsi="Arial"/>
                <w:sz w:val="17"/>
                <w:szCs w:val="17"/>
                <w:color w:val="auto"/>
              </w:rPr>
              <w:t>Prospectus dated December 9, 2020</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1056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5"/>
              </w:rPr>
              <w:t>PAGE</w:t>
            </w:r>
          </w:p>
        </w:tc>
      </w:tr>
      <w:tr>
        <w:trPr>
          <w:trHeight w:val="196"/>
        </w:trPr>
        <w:tc>
          <w:tcPr>
            <w:tcW w:w="10560" w:type="dxa"/>
            <w:vAlign w:val="bottom"/>
          </w:tcPr>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PROSPECTUS SUMMARY</w:t>
              </w:r>
            </w:hyperlink>
          </w:p>
        </w:tc>
        <w:tc>
          <w:tcPr>
            <w:tcW w:w="4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RISK FACTORS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12</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SPECIAL NOTE REGARDING FORWARD-LOOKING STATEMENTS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66</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MARKET, INDUSTRY AND OTHER DATA</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68</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USE OF PROCEEDS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69</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DIVIDEND POLICY</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70</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CAPITALIZATION</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71</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DILUTION</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72</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SELECTED CONSOLIDATED FINANCIAL DATA</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74</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8">
              <w:r>
                <w:rPr>
                  <w:rFonts w:ascii="Arial" w:cs="Arial" w:eastAsia="Arial" w:hAnsi="Arial"/>
                  <w:sz w:val="17"/>
                  <w:szCs w:val="17"/>
                  <w:u w:val="single" w:color="auto"/>
                  <w:color w:val="0000EE"/>
                </w:rPr>
                <w:t>MANAGEMENT’S DISCUSSION AND ANALYSIS OF FINANCIAL CONDITION AND RESULTS OF OPERATIONS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76</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95">
              <w:r>
                <w:rPr>
                  <w:rFonts w:ascii="Arial" w:cs="Arial" w:eastAsia="Arial" w:hAnsi="Arial"/>
                  <w:sz w:val="17"/>
                  <w:szCs w:val="17"/>
                  <w:u w:val="single" w:color="auto"/>
                  <w:color w:val="0000EE"/>
                </w:rPr>
                <w:t>BUSINESS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93</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30">
              <w:r>
                <w:rPr>
                  <w:rFonts w:ascii="Arial" w:cs="Arial" w:eastAsia="Arial" w:hAnsi="Arial"/>
                  <w:sz w:val="17"/>
                  <w:szCs w:val="17"/>
                  <w:u w:val="single" w:color="auto"/>
                  <w:color w:val="0000EE"/>
                </w:rPr>
                <w:t>MANAGEMENT</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128</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38">
              <w:r>
                <w:rPr>
                  <w:rFonts w:ascii="Arial" w:cs="Arial" w:eastAsia="Arial" w:hAnsi="Arial"/>
                  <w:sz w:val="17"/>
                  <w:szCs w:val="17"/>
                  <w:u w:val="single" w:color="auto"/>
                  <w:color w:val="0000EE"/>
                </w:rPr>
                <w:t>EXECUTIVE COMPENSATION</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136</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8">
              <w:r>
                <w:rPr>
                  <w:rFonts w:ascii="Arial" w:cs="Arial" w:eastAsia="Arial" w:hAnsi="Arial"/>
                  <w:sz w:val="17"/>
                  <w:szCs w:val="17"/>
                  <w:u w:val="single" w:color="auto"/>
                  <w:color w:val="0000EE"/>
                </w:rPr>
                <w:t>CERTAIN RELATIONSHIPS AND RELATED-PARTY TRANSACTIONS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146</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4">
              <w:r>
                <w:rPr>
                  <w:rFonts w:ascii="Arial" w:cs="Arial" w:eastAsia="Arial" w:hAnsi="Arial"/>
                  <w:sz w:val="17"/>
                  <w:szCs w:val="17"/>
                  <w:u w:val="single" w:color="auto"/>
                  <w:color w:val="0000EE"/>
                </w:rPr>
                <w:t>PRINCIPAL STOCKHOLDERS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152</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7">
              <w:r>
                <w:rPr>
                  <w:rFonts w:ascii="Arial" w:cs="Arial" w:eastAsia="Arial" w:hAnsi="Arial"/>
                  <w:sz w:val="17"/>
                  <w:szCs w:val="17"/>
                  <w:u w:val="single" w:color="auto"/>
                  <w:color w:val="0000EE"/>
                </w:rPr>
                <w:t>DESCRIPTION OF CAPITAL STOCK</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155</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2">
              <w:r>
                <w:rPr>
                  <w:rFonts w:ascii="Arial" w:cs="Arial" w:eastAsia="Arial" w:hAnsi="Arial"/>
                  <w:sz w:val="17"/>
                  <w:szCs w:val="17"/>
                  <w:u w:val="single" w:color="auto"/>
                  <w:color w:val="0000EE"/>
                </w:rPr>
                <w:t>SHARES ELIGIBLE FOR FUTURE SALE</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160</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4">
              <w:r>
                <w:rPr>
                  <w:rFonts w:ascii="Arial" w:cs="Arial" w:eastAsia="Arial" w:hAnsi="Arial"/>
                  <w:sz w:val="17"/>
                  <w:szCs w:val="17"/>
                  <w:u w:val="single" w:color="auto"/>
                  <w:color w:val="0000EE"/>
                </w:rPr>
                <w:t>MATERIAL U.S. FEDERAL INCOME AND TAX CONSIDERATIONS FOR NON-U.S. HOLDERS OF OUR COMMON STOCK</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162</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8">
              <w:r>
                <w:rPr>
                  <w:rFonts w:ascii="Arial" w:cs="Arial" w:eastAsia="Arial" w:hAnsi="Arial"/>
                  <w:sz w:val="17"/>
                  <w:szCs w:val="17"/>
                  <w:u w:val="single" w:color="auto"/>
                  <w:color w:val="0000EE"/>
                </w:rPr>
                <w:t>UNDERWRITING</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166</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6">
              <w:r>
                <w:rPr>
                  <w:rFonts w:ascii="Arial" w:cs="Arial" w:eastAsia="Arial" w:hAnsi="Arial"/>
                  <w:sz w:val="17"/>
                  <w:szCs w:val="17"/>
                  <w:u w:val="single" w:color="auto"/>
                  <w:color w:val="0000EE"/>
                </w:rPr>
                <w:t>LEGAL MATTERS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174</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6">
              <w:r>
                <w:rPr>
                  <w:rFonts w:ascii="Arial" w:cs="Arial" w:eastAsia="Arial" w:hAnsi="Arial"/>
                  <w:sz w:val="17"/>
                  <w:szCs w:val="17"/>
                  <w:u w:val="single" w:color="auto"/>
                  <w:color w:val="0000EE"/>
                </w:rPr>
                <w:t>EXPERTS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174</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6">
              <w:r>
                <w:rPr>
                  <w:rFonts w:ascii="Arial" w:cs="Arial" w:eastAsia="Arial" w:hAnsi="Arial"/>
                  <w:sz w:val="17"/>
                  <w:szCs w:val="17"/>
                  <w:u w:val="single" w:color="auto"/>
                  <w:color w:val="0000EE"/>
                </w:rPr>
                <w:t>WHERE YOU CAN FIND MORE INFORMATION</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174</w:t>
            </w:r>
          </w:p>
        </w:tc>
      </w:tr>
      <w:tr>
        <w:trPr>
          <w:trHeight w:val="205"/>
        </w:trPr>
        <w:tc>
          <w:tcPr>
            <w:tcW w:w="10560" w:type="dxa"/>
            <w:vAlign w:val="bottom"/>
          </w:tcPr>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INDEX TO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7"/>
                <w:szCs w:val="17"/>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common stock offered hereby. Our business, financial condition, results of operations and prospects may have changed since that date.</w:t>
      </w:r>
    </w:p>
    <w:p>
      <w:pPr>
        <w:spacing w:after="0" w:line="15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81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PROSPECTUS SUMMARY</w:t>
      </w:r>
    </w:p>
    <w:p>
      <w:pPr>
        <w:spacing w:after="0" w:line="320" w:lineRule="exact"/>
        <w:rPr>
          <w:sz w:val="20"/>
          <w:szCs w:val="20"/>
          <w:color w:val="auto"/>
        </w:rPr>
      </w:pPr>
    </w:p>
    <w:p>
      <w:pPr>
        <w:ind w:left="300"/>
        <w:spacing w:after="0" w:line="238"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consolidated financial statements included elsewhere in this prospectus. It does not contain all of the information that may be important to you and your investment decision. You should carefully read this entire prospectus, including the sections titled “Risk Factors,” “Management’s Discussion and Analysis of Financial Condition and Results of Operations,” and our consolidated financial statements and related notes. In this prospectus, unless the context requires otherwise, references to “we,” “us,” “our,” “ALX,” “ALX Oncology,” or “the Company” refer to ALX Oncology Holdings Inc. and its subsidiaries on a combined basis.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Overview</w:t>
      </w:r>
    </w:p>
    <w:p>
      <w:pPr>
        <w:spacing w:after="0" w:line="81" w:lineRule="exact"/>
        <w:rPr>
          <w:sz w:val="20"/>
          <w:szCs w:val="20"/>
          <w:color w:val="auto"/>
        </w:rPr>
      </w:pPr>
    </w:p>
    <w:p>
      <w:pPr>
        <w:ind w:left="300" w:right="40"/>
        <w:spacing w:after="0" w:line="233"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As of October 1, 2020, we have dosed over 160 subjects with ALX148 across a range of hematologic and solid malignancies in combination with a number of leading anti-cancer agents. We plan to initiate additional studies in combination with leading anti-cancer agents. In hematologic malignancies, we have dosed the first subjects for the treatment of myelodysplastic syndromes, or MDS, and intend to advance ALX148 into clinical development for the treatment of acute myeloid leukemia, or AML, in 2021. In solid tumors, we intend to initiate Phase 2 trials of ALX148 for the treatment of first-line head and neck cancer, second line gastric/gastroesophageal junction, or GEJ, cancer and a Phase 1 trial for the treatment of breast cancer in 2021.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1" w:lineRule="exact"/>
        <w:rPr>
          <w:sz w:val="20"/>
          <w:szCs w:val="20"/>
          <w:color w:val="auto"/>
        </w:rPr>
      </w:pPr>
    </w:p>
    <w:p>
      <w:pPr>
        <w:ind w:left="300" w:right="60"/>
        <w:spacing w:after="0" w:line="233"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208" w:lineRule="exact"/>
        <w:rPr>
          <w:sz w:val="20"/>
          <w:szCs w:val="20"/>
          <w:color w:val="auto"/>
        </w:rPr>
      </w:pPr>
    </w:p>
    <w:p>
      <w:pPr>
        <w:ind w:left="300" w:right="20"/>
        <w:spacing w:after="0" w:line="235"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40"/>
          </w:cols>
          <w:pgMar w:left="320" w:top="459" w:right="6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44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160"/>
        <w:spacing w:after="0" w:line="238" w:lineRule="auto"/>
        <w:rPr>
          <w:sz w:val="20"/>
          <w:szCs w:val="20"/>
          <w:color w:val="auto"/>
        </w:rPr>
      </w:pPr>
      <w:r>
        <w:rPr>
          <w:rFonts w:ascii="Arial" w:cs="Arial" w:eastAsia="Arial" w:hAnsi="Arial"/>
          <w:sz w:val="17"/>
          <w:szCs w:val="17"/>
          <w:color w:val="auto"/>
        </w:rPr>
        <w:t>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201" w:lineRule="exact"/>
        <w:rPr>
          <w:sz w:val="20"/>
          <w:szCs w:val="20"/>
          <w:color w:val="auto"/>
        </w:rPr>
      </w:pPr>
    </w:p>
    <w:p>
      <w:pPr>
        <w:ind w:left="300" w:right="20"/>
        <w:spacing w:after="0" w:line="236" w:lineRule="auto"/>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 proprietary inactivated Fc domain. The CD47 binding domain of ALX148 is an affinity enhanced extracellular domain of signal regulatory protein alpha, or SIRPa, a protein that is the natural receptor to CD47 found on myeloid cells. We have engineered the Fc domain of ALX148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 Clinical data to date in ALX148 have not shown dose-dependent hematologic toxicities, which are characteristic of other CD47 blockers that incorporate an active Fc domain.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Pipeline</w:t>
      </w:r>
    </w:p>
    <w:p>
      <w:pPr>
        <w:spacing w:after="0" w:line="81" w:lineRule="exact"/>
        <w:rPr>
          <w:sz w:val="20"/>
          <w:szCs w:val="20"/>
          <w:color w:val="auto"/>
        </w:rPr>
      </w:pPr>
    </w:p>
    <w:p>
      <w:pPr>
        <w:ind w:left="300" w:right="120"/>
        <w:spacing w:after="0" w:line="238"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ALX148 for the Treatment of MDS and AML</w:t>
      </w:r>
    </w:p>
    <w:p>
      <w:pPr>
        <w:spacing w:after="0" w:line="95" w:lineRule="exact"/>
        <w:rPr>
          <w:sz w:val="20"/>
          <w:szCs w:val="20"/>
          <w:color w:val="auto"/>
        </w:rPr>
      </w:pPr>
    </w:p>
    <w:p>
      <w:pPr>
        <w:ind w:left="300"/>
        <w:spacing w:after="0" w:line="236" w:lineRule="auto"/>
        <w:rPr>
          <w:sz w:val="20"/>
          <w:szCs w:val="20"/>
          <w:color w:val="auto"/>
        </w:rPr>
      </w:pPr>
      <w:r>
        <w:rPr>
          <w:rFonts w:ascii="Arial" w:cs="Arial" w:eastAsia="Arial" w:hAnsi="Arial"/>
          <w:sz w:val="17"/>
          <w:szCs w:val="17"/>
          <w:color w:val="auto"/>
        </w:rPr>
        <w:t>In October 2020, we initiated the Phase 1/2 trial of ALX148 in combination with azacitidine for the treatment of MDS, a hematologic malignancy affecting over 70,000 people in the United States. We initially explored the treatment of patients with hematologic malignancies in our ongoing Phase 1b trial of ALX148 in combination with rituximab, an anti-CD20 agent in subjects with relapsed/refractory Non-Hodgkin’s lymphoma, or NHL.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61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ALX148 demonstrated a higher response rate at higher doses and as of October 1, 2020 achieved a 70.0% objective response rate, or ORR, in the highest dose (15 mg/kg once per week) cohort. We view this ORR as compelling evidence for the role of ALX148 in treating hematologic malignancies and as a favorable comparison to outcomes reported by other CD47 blocking agents in a similar patient population. Other CD47 blocking agents in development have demonstrated clinical evidence supporting the role of CD47 blockade in treating hematologic malignances, specifically in MDS, albeit with high rates of cytopenias. We have conducted preclinical studies of ALX148 combined with azacitidine, a standard of care agent for the treatment of MDS, that support our clinical development plan in MDS. Our studies and those of others show that azacitidine increases calreticulin display, an “eat me” signal, in tumor models. The addition of ALX148 to azacitidine shows increased phagocytic activity in vitro and tumor elimination in mouse models as compared to azacitidine alone. We have dosed the first subjects in our Phase 1b/2 MDS trial in the fourth quarter of 2020.</w:t>
      </w:r>
    </w:p>
    <w:p>
      <w:pPr>
        <w:spacing w:after="0" w:line="148"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We also plan to develop ALX148 for the treatment of AML, a hematologic malignancy affecting over 35,000 people in the United States with an expected 20,000 newly diagnosed patients and over 11,000 deaths from the disease in 2020. Over half of these patients are diagnosed at age 65 or older. ALX148’s potential for the treatment of patients with AML is supported by our existing data in NHL, preclinical studies of ALX148 in combination with azacitidine or venetoclax, and clinical evidence from other CD47 blocking agents studied in AML. Combination treatment of ALX148 with azacitidine or venetoclax led to tumor elimination and prolonged survival in leukemia mouse models. Both azacitidine and venetoclax are standard of care options for patients with AML who are not candidates for intensive induction chemotherapy regimens. Consequently, we view our preclinical studies as supportive of ALX148’s potential role as a tolerable combination agent that may increase the activity of standard of care agents in an unfit, older population. We are planning to advance ALX148 into a Phase 1b/2 trial in combination venetoclax and azacitidine in the first-line treatment of subjects with AML in 2021.</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ALX148 for the Treatment of Solid Tumors</w:t>
      </w:r>
    </w:p>
    <w:p>
      <w:pPr>
        <w:spacing w:after="0" w:line="81" w:lineRule="exact"/>
        <w:rPr>
          <w:sz w:val="20"/>
          <w:szCs w:val="20"/>
          <w:color w:val="auto"/>
        </w:rPr>
      </w:pPr>
    </w:p>
    <w:p>
      <w:pPr>
        <w:ind w:left="300" w:right="40"/>
        <w:spacing w:after="0" w:line="235" w:lineRule="auto"/>
        <w:rPr>
          <w:sz w:val="20"/>
          <w:szCs w:val="20"/>
          <w:color w:val="auto"/>
        </w:rPr>
      </w:pPr>
      <w:r>
        <w:rPr>
          <w:rFonts w:ascii="Arial" w:cs="Arial" w:eastAsia="Arial" w:hAnsi="Arial"/>
          <w:sz w:val="17"/>
          <w:szCs w:val="17"/>
          <w:color w:val="auto"/>
        </w:rPr>
        <w:t>ALX148 has generated clinical data in solid tumors in various combinations, including with a leading tumor antigen targeting antibody, a leading checkpoint inhibitor and chemotherapy. We believe that ALX148 induces multiple responses that bridge innate and adaptive immunity. We are investigating ALX148 for the first-line treatment of head and neck squamous cell carcinoma, or HNSCC, for second-line treatment of human epidermal growth factor receptor 2, or HER2-positive gastric/GEJ carcinoma, and for HER2-expressing advanced breast cancer and other solid tumors. In the United States there are over 38,000 people living with metastatic HNSCC, and there are over 25,000 people living with metastatic gastric/GEJ carcinoma, and there are over 150,000 people living with metastatic breast cancer.</w:t>
      </w:r>
    </w:p>
    <w:p>
      <w:pPr>
        <w:spacing w:after="0" w:line="148" w:lineRule="exact"/>
        <w:rPr>
          <w:sz w:val="20"/>
          <w:szCs w:val="20"/>
          <w:color w:val="auto"/>
        </w:rPr>
      </w:pPr>
    </w:p>
    <w:p>
      <w:pPr>
        <w:ind w:left="300" w:right="160"/>
        <w:spacing w:after="0" w:line="233" w:lineRule="auto"/>
        <w:rPr>
          <w:sz w:val="20"/>
          <w:szCs w:val="20"/>
          <w:color w:val="auto"/>
        </w:rPr>
      </w:pPr>
      <w:r>
        <w:rPr>
          <w:rFonts w:ascii="Arial" w:cs="Arial" w:eastAsia="Arial" w:hAnsi="Arial"/>
          <w:sz w:val="17"/>
          <w:szCs w:val="17"/>
          <w:color w:val="auto"/>
        </w:rPr>
        <w:t>In Phase 1b clinical trials, ALX148 has demonstrated both objective clinical response per the Response Evaluation Criteria in Solid Tumors criteria and tolerability in combination with other broadly used cancer agents. Based on these results, the Food &amp; Drug Administration, or FDA, has granted Fast Track designation for ALX148 for both the treatment of patients with HNSCC in the first-line setting and for HER2-positive advanced gastric/GEJ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anti-tumor activity of ALX148 in solid tumors. We are planning to advance ALX148 into Phase 2 trials in subjects with HNSCC in combination with pembrolizumab, marketed as Keytruda, the market leading anti-programmed cell death protein-1, or PD-1, checkpoint inhibitor, with or without chemotherapy, in the first half of 2021. This trial will be conducted in collaboration with Merck. We are also planning to advance ALX148 into Phase 2 trials in patients with HER2-positive gastric/GEJ carcinoma in combination with trastuzumab, marketed as Herceptin, the market-leading anti-HER2 antibody, and ramucirumab and paclitaxel, the second-line standard of care, in the second half of 2021. We have also entered into a clinical trial collaboration with Zymeworks to initiate a Phase 1 trial of ALX148 in combination with Zymeworks’ HER2-targeted bispecific antibody zanidatamab for the treatment of patients with HER2-overexpressing breast cancer and other solid tumors.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15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215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Key elements of our strategy to support this goal include:</w:t>
      </w:r>
    </w:p>
    <w:p>
      <w:pPr>
        <w:spacing w:after="0" w:line="176" w:lineRule="exact"/>
        <w:rPr>
          <w:sz w:val="20"/>
          <w:szCs w:val="20"/>
          <w:color w:val="auto"/>
        </w:rPr>
      </w:pPr>
    </w:p>
    <w:p>
      <w:pPr>
        <w:ind w:left="1120" w:hanging="403"/>
        <w:spacing w:after="0" w:line="236" w:lineRule="auto"/>
        <w:tabs>
          <w:tab w:leader="none" w:pos="1120" w:val="left"/>
        </w:tabs>
        <w:numPr>
          <w:ilvl w:val="0"/>
          <w:numId w:val="2"/>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our lead product candidate, ALX148, through clinical development for MDS and AML. </w:t>
      </w:r>
      <w:r>
        <w:rPr>
          <w:rFonts w:ascii="Arial" w:cs="Arial" w:eastAsia="Arial" w:hAnsi="Arial"/>
          <w:sz w:val="17"/>
          <w:szCs w:val="17"/>
          <w:color w:val="auto"/>
        </w:rPr>
        <w:t>We have initiated a</w:t>
      </w:r>
      <w:r>
        <w:rPr>
          <w:rFonts w:ascii="Arial" w:cs="Arial" w:eastAsia="Arial" w:hAnsi="Arial"/>
          <w:sz w:val="17"/>
          <w:szCs w:val="17"/>
          <w:b w:val="1"/>
          <w:bCs w:val="1"/>
          <w:color w:val="auto"/>
        </w:rPr>
        <w:t xml:space="preserve"> </w:t>
      </w:r>
      <w:r>
        <w:rPr>
          <w:rFonts w:ascii="Arial" w:cs="Arial" w:eastAsia="Arial" w:hAnsi="Arial"/>
          <w:sz w:val="17"/>
          <w:szCs w:val="17"/>
          <w:color w:val="auto"/>
        </w:rPr>
        <w:t>Phase 1b/2 trial of ALX148, in combination with azacitidine, for the treatment of patients with higher-risk MDS and plan to initiate a Phase 1b/2 trial in combination with venetoclax and azacitidine for the first-line treatment of patients with AML in 2021. Given the limitations of current treatment options for patients with MDS, preclinical activity of ALX148 in combination with azacitidine, clinical data from competitor programs and the differentiated tolerability profile of ALX148, we intend to pursue a strategy in which we will leverage the data generated from this Phase 1b/2 trial to request from the FDA that ALX148 be a candidate for accelerated approval in the first-line treatment of higher risk MDS. Similarly, we believe ALX148 combination therapies could address the significant unmet need for more active tolerable regimens in the majority of patients with AML who are not fit for intensive induction chemotherapy. While we plan to seek accelerated approval by the FDA for the use of ALX148 in higher risk MDS, and potentially AML, and may do so opportunistically for other indications in the future, there is no assurance that this approach will be successful for these as well as other indications.</w:t>
      </w:r>
    </w:p>
    <w:p>
      <w:pPr>
        <w:spacing w:after="0" w:line="5" w:lineRule="exact"/>
        <w:rPr>
          <w:rFonts w:ascii="MS PGothic" w:cs="MS PGothic" w:eastAsia="MS PGothic" w:hAnsi="MS PGothic"/>
          <w:sz w:val="13"/>
          <w:szCs w:val="13"/>
          <w:color w:val="auto"/>
        </w:rPr>
      </w:pPr>
    </w:p>
    <w:p>
      <w:pPr>
        <w:ind w:left="1120" w:right="20" w:hanging="403"/>
        <w:spacing w:after="0" w:line="236" w:lineRule="auto"/>
        <w:tabs>
          <w:tab w:leader="none" w:pos="1120" w:val="left"/>
        </w:tabs>
        <w:numPr>
          <w:ilvl w:val="0"/>
          <w:numId w:val="2"/>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other CD47 blocking approaches in solid tumors. We have generated encouraging data in subjects with HNSCC treated with ALX148 in combination with a PD-1 checkpoint inhibitor with and without chemotherapy, and in subjects with HER2-positive gastric/GEJ cancer, who have progressed on prior HER2-targeted therapy and chemotherapy, treated in combination with a HER2-targeted antibody with and without chemotherapy. The FDA has granted ALX148 Fast Track designation in first-line HNSCC and advanced HER2 positive gastric/GEJ cancer. We intend to pursue a strategy in which we will leverage the data generated from our planned Phase 2 randomized trials of ALX148 and pembrolizumab with and without chemotherapy to request from the FDA that ALX148 be a candidate for accelerated approval in the first-line treatment of HNSCC. We are also planning a Phase 2 trial of ALX148, trastuzumab and chemotherapy in second-line HER2-positive gastric/GEJ cancer to inform future paths to registration in this indication. We also plan to initiate an additional Phase 1 trial of ALX148 in patients with HER2-expressing breast cancer and other solid tumors in combination with zanidatamab.</w:t>
      </w:r>
    </w:p>
    <w:p>
      <w:pPr>
        <w:spacing w:after="0" w:line="5" w:lineRule="exact"/>
        <w:rPr>
          <w:rFonts w:ascii="MS PGothic" w:cs="MS PGothic" w:eastAsia="MS PGothic" w:hAnsi="MS PGothic"/>
          <w:sz w:val="13"/>
          <w:szCs w:val="13"/>
          <w:color w:val="auto"/>
        </w:rPr>
      </w:pPr>
    </w:p>
    <w:p>
      <w:pPr>
        <w:ind w:left="1120" w:right="40" w:hanging="403"/>
        <w:spacing w:after="0" w:line="244" w:lineRule="auto"/>
        <w:tabs>
          <w:tab w:leader="none" w:pos="1120" w:val="left"/>
        </w:tabs>
        <w:numPr>
          <w:ilvl w:val="0"/>
          <w:numId w:val="2"/>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w:t>
      </w:r>
      <w:r>
        <w:rPr>
          <w:rFonts w:ascii="Arial" w:cs="Arial" w:eastAsia="Arial" w:hAnsi="Arial"/>
          <w:sz w:val="17"/>
          <w:szCs w:val="17"/>
          <w:b w:val="1"/>
          <w:bCs w:val="1"/>
          <w:color w:val="auto"/>
        </w:rPr>
        <w:t xml:space="preserve"> </w:t>
      </w:r>
      <w:r>
        <w:rPr>
          <w:rFonts w:ascii="Arial" w:cs="Arial" w:eastAsia="Arial" w:hAnsi="Arial"/>
          <w:sz w:val="17"/>
          <w:szCs w:val="17"/>
          <w:color w:val="auto"/>
        </w:rPr>
        <w:t>engage the immune system. We continue to develop a pipeline of immuno-oncology programs that represent complementary, but differentiated, approaches to engaging the innate and adaptive immune systems.</w:t>
      </w:r>
    </w:p>
    <w:p>
      <w:pPr>
        <w:spacing w:after="0" w:line="1" w:lineRule="exact"/>
        <w:rPr>
          <w:rFonts w:ascii="MS PGothic" w:cs="MS PGothic" w:eastAsia="MS PGothic" w:hAnsi="MS PGothic"/>
          <w:sz w:val="13"/>
          <w:szCs w:val="13"/>
          <w:color w:val="auto"/>
        </w:rPr>
      </w:pPr>
    </w:p>
    <w:p>
      <w:pPr>
        <w:ind w:left="1120" w:right="40" w:hanging="403"/>
        <w:spacing w:after="0" w:line="236" w:lineRule="auto"/>
        <w:tabs>
          <w:tab w:leader="none" w:pos="1120" w:val="left"/>
        </w:tabs>
        <w:numPr>
          <w:ilvl w:val="0"/>
          <w:numId w:val="2"/>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Developing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may partner with other companies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complementary resources that will maximize the value of our current and future product candidates. Such partnerships may allow us to pair ALX148 and any future product candidates with other novel agents owned fully or in part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 In September 2020, we announced a clinical trial collaboration with Merck on a Phase 2 trial evaluating ALX148 in combination with pembrolizumab with and without chemotherapy in patients with head and neck cancer. In November 2020, we announced a clinical trial collaboration with Zymeworks on 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00"/>
          </w:cols>
          <w:pgMar w:left="32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40" w:right="480"/>
        <w:spacing w:after="0" w:line="243" w:lineRule="auto"/>
        <w:rPr>
          <w:sz w:val="20"/>
          <w:szCs w:val="20"/>
          <w:color w:val="auto"/>
        </w:rPr>
      </w:pPr>
      <w:r>
        <w:rPr>
          <w:rFonts w:ascii="Arial" w:cs="Arial" w:eastAsia="Arial" w:hAnsi="Arial"/>
          <w:sz w:val="17"/>
          <w:szCs w:val="17"/>
          <w:color w:val="auto"/>
        </w:rPr>
        <w:t>Phase 1 trial evaluating ALX148 with the HER2-targeting bispecific antibody zanidatamab in patients with advanced HER2-expressing breast cancer and other solid tumors.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80" w:lineRule="exact"/>
        <w:rPr>
          <w:sz w:val="20"/>
          <w:szCs w:val="20"/>
          <w:color w:val="auto"/>
        </w:rPr>
      </w:pPr>
    </w:p>
    <w:p>
      <w:pPr>
        <w:ind w:left="300"/>
        <w:spacing w:after="0" w:line="233"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Rinat’s (a subsidiary of Pfizer), invented fremanezumab (FDA approved in 2018), tanezumab (Biologics License Application filed in 2020) and additional antibodies in late-stage development at Pfizer and advanced nine more drugs into human trials. Our Chief 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20 years of experience guiding public and private life science companies and has raised over $1.5 billion in debt and equity offerings. We have funded ALX Oncology to date primarily through the issuance and sale of our convertible preferred stock to investors including venBio, Lightstone Ventures, Vivo Capital, Logos Capital, Janus Henderson, Foresite Capital, Stanford University, Cormorant Asset Management, BVF Partners, HBM Healthcare Investments and the Longevity Fund.</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93" w:lineRule="exact"/>
        <w:rPr>
          <w:sz w:val="20"/>
          <w:szCs w:val="20"/>
          <w:color w:val="auto"/>
        </w:rPr>
      </w:pPr>
    </w:p>
    <w:p>
      <w:pPr>
        <w:ind w:left="300" w:right="500"/>
        <w:spacing w:after="0" w:line="243" w:lineRule="auto"/>
        <w:rPr>
          <w:sz w:val="20"/>
          <w:szCs w:val="20"/>
          <w:color w:val="auto"/>
        </w:rPr>
      </w:pPr>
      <w:r>
        <w:rPr>
          <w:rFonts w:ascii="Arial" w:cs="Arial" w:eastAsia="Arial" w:hAnsi="Arial"/>
          <w:sz w:val="17"/>
          <w:szCs w:val="17"/>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185" w:lineRule="exact"/>
        <w:rPr>
          <w:sz w:val="20"/>
          <w:szCs w:val="20"/>
          <w:color w:val="auto"/>
        </w:rPr>
      </w:pPr>
    </w:p>
    <w:p>
      <w:pPr>
        <w:ind w:left="1120" w:right="520" w:hanging="403"/>
        <w:spacing w:after="0" w:line="243"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We have incurred significant net losses since our inception, and we expect to continue to incur significant net losses for the foreseeable future.</w:t>
      </w:r>
    </w:p>
    <w:p>
      <w:pPr>
        <w:spacing w:after="0" w:line="22" w:lineRule="exact"/>
        <w:rPr>
          <w:rFonts w:ascii="MS PGothic" w:cs="MS PGothic" w:eastAsia="MS PGothic" w:hAnsi="MS PGothic"/>
          <w:sz w:val="13"/>
          <w:szCs w:val="13"/>
          <w:color w:val="auto"/>
        </w:rPr>
      </w:pPr>
    </w:p>
    <w:p>
      <w:pPr>
        <w:ind w:left="1120" w:right="380" w:hanging="403"/>
        <w:spacing w:after="0" w:line="238"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We will require substantial additional capital to finance our operations, such capital may not be available to us or may only be available on terms that are unfavorable to us and, in addition, our current loan agreement may restrict our ability to take on additional debt without the consent of our lenders.</w:t>
      </w:r>
    </w:p>
    <w:p>
      <w:pPr>
        <w:spacing w:after="0" w:line="25" w:lineRule="exact"/>
        <w:rPr>
          <w:rFonts w:ascii="MS PGothic" w:cs="MS PGothic" w:eastAsia="MS PGothic" w:hAnsi="MS PGothic"/>
          <w:sz w:val="13"/>
          <w:szCs w:val="13"/>
          <w:color w:val="auto"/>
        </w:rPr>
      </w:pPr>
    </w:p>
    <w:p>
      <w:pPr>
        <w:ind w:left="1120" w:hanging="403"/>
        <w:spacing w:after="0"/>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We have a limited operating history and have no products approved for commercial sale.</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price of our stock may be volatile, and you could lose all or part of your investment.</w:t>
      </w:r>
    </w:p>
    <w:p>
      <w:pPr>
        <w:spacing w:after="0" w:line="34" w:lineRule="exact"/>
        <w:rPr>
          <w:rFonts w:ascii="MS PGothic" w:cs="MS PGothic" w:eastAsia="MS PGothic" w:hAnsi="MS PGothic"/>
          <w:sz w:val="13"/>
          <w:szCs w:val="13"/>
          <w:color w:val="auto"/>
        </w:rPr>
      </w:pPr>
    </w:p>
    <w:p>
      <w:pPr>
        <w:ind w:left="1120" w:right="460" w:hanging="403"/>
        <w:spacing w:after="0" w:line="243"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We are substantially dependent on the success of our lead product candidate, ALX148, which is in clinical development and which has not completed a pivotal trial.</w:t>
      </w:r>
    </w:p>
    <w:p>
      <w:pPr>
        <w:spacing w:after="0" w:line="22" w:lineRule="exact"/>
        <w:rPr>
          <w:rFonts w:ascii="MS PGothic" w:cs="MS PGothic" w:eastAsia="MS PGothic" w:hAnsi="MS PGothic"/>
          <w:sz w:val="13"/>
          <w:szCs w:val="13"/>
          <w:color w:val="auto"/>
        </w:rPr>
      </w:pPr>
    </w:p>
    <w:p>
      <w:pPr>
        <w:ind w:left="1120" w:right="520" w:hanging="403"/>
        <w:spacing w:after="0" w:line="243"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22" w:lineRule="exact"/>
        <w:rPr>
          <w:rFonts w:ascii="MS PGothic" w:cs="MS PGothic" w:eastAsia="MS PGothic" w:hAnsi="MS PGothic"/>
          <w:sz w:val="13"/>
          <w:szCs w:val="13"/>
          <w:color w:val="auto"/>
        </w:rPr>
      </w:pPr>
    </w:p>
    <w:p>
      <w:pPr>
        <w:ind w:left="1120" w:right="940" w:hanging="403"/>
        <w:spacing w:after="0" w:line="243"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product candidates may cause significant adverse events or other undesirable side effects when used alone or in combination with other treatments.</w:t>
      </w:r>
    </w:p>
    <w:p>
      <w:pPr>
        <w:spacing w:after="0" w:line="22" w:lineRule="exact"/>
        <w:rPr>
          <w:rFonts w:ascii="MS PGothic" w:cs="MS PGothic" w:eastAsia="MS PGothic" w:hAnsi="MS PGothic"/>
          <w:sz w:val="13"/>
          <w:szCs w:val="13"/>
          <w:color w:val="auto"/>
        </w:rPr>
      </w:pPr>
    </w:p>
    <w:p>
      <w:pPr>
        <w:ind w:left="1120" w:right="480" w:hanging="403"/>
        <w:spacing w:after="0" w:line="243"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22" w:lineRule="exact"/>
        <w:rPr>
          <w:rFonts w:ascii="MS PGothic" w:cs="MS PGothic" w:eastAsia="MS PGothic" w:hAnsi="MS PGothic"/>
          <w:sz w:val="13"/>
          <w:szCs w:val="13"/>
          <w:color w:val="auto"/>
        </w:rPr>
      </w:pPr>
    </w:p>
    <w:p>
      <w:pPr>
        <w:ind w:left="1120" w:right="300" w:hanging="403"/>
        <w:spacing w:after="0" w:line="243"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regulatory approval processes of the FDA and comparable foreign regulatory authorities are lengthy, time-consuming and inherently unpredictable, which could lead to our inability to generate product revenue.</w:t>
      </w:r>
    </w:p>
    <w:p>
      <w:pPr>
        <w:spacing w:after="0" w:line="22" w:lineRule="exact"/>
        <w:rPr>
          <w:rFonts w:ascii="MS PGothic" w:cs="MS PGothic" w:eastAsia="MS PGothic" w:hAnsi="MS PGothic"/>
          <w:sz w:val="13"/>
          <w:szCs w:val="13"/>
          <w:color w:val="auto"/>
        </w:rPr>
      </w:pPr>
    </w:p>
    <w:p>
      <w:pPr>
        <w:ind w:left="1120" w:right="200" w:hanging="403"/>
        <w:spacing w:after="0" w:line="243"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If we are unable to obtain, maintain and enforce patent protection and other intellectual property for our product candidates and related technology, our business could be materially harmed.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76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20" w:hanging="403"/>
        <w:spacing w:after="0" w:line="243"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are highly dependent on our key personnel, and if we are not successful in attracting, motivating, and retaining highly qualified personnel, we may not be able to successfully implement our business strategy.</w:t>
      </w:r>
    </w:p>
    <w:p>
      <w:pPr>
        <w:spacing w:after="0" w:line="22" w:lineRule="exact"/>
        <w:rPr>
          <w:rFonts w:ascii="MS PGothic" w:cs="MS PGothic" w:eastAsia="MS PGothic" w:hAnsi="MS PGothic"/>
          <w:sz w:val="13"/>
          <w:szCs w:val="13"/>
          <w:color w:val="auto"/>
        </w:rPr>
      </w:pPr>
    </w:p>
    <w:p>
      <w:pPr>
        <w:ind w:left="1120" w:right="680" w:hanging="403"/>
        <w:spacing w:after="0" w:line="238"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Our preclinical research is conducted solely by a third party service provider, Tallac Therapeutics, Inc. (formerly known as Tollnine, Inc.), or Tallac Therapeutics, and we are dependent on Tallac Therapeutics to perform its contractual research obligations on an effective or timely basis.</w:t>
      </w:r>
    </w:p>
    <w:p>
      <w:pPr>
        <w:spacing w:after="0" w:line="25" w:lineRule="exact"/>
        <w:rPr>
          <w:rFonts w:ascii="MS PGothic" w:cs="MS PGothic" w:eastAsia="MS PGothic" w:hAnsi="MS PGothic"/>
          <w:sz w:val="13"/>
          <w:szCs w:val="13"/>
          <w:color w:val="auto"/>
        </w:rPr>
      </w:pPr>
    </w:p>
    <w:p>
      <w:pPr>
        <w:ind w:left="1120" w:right="200" w:hanging="403"/>
        <w:spacing w:after="0" w:line="243"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The novel coronavirus, or COVID-19, pandemic could adversely impact our business including our ongoing and planned clinical trials and preclinical research.</w:t>
      </w:r>
    </w:p>
    <w:p>
      <w:pPr>
        <w:spacing w:after="0" w:line="22" w:lineRule="exact"/>
        <w:rPr>
          <w:rFonts w:ascii="MS PGothic" w:cs="MS PGothic" w:eastAsia="MS PGothic" w:hAnsi="MS PGothic"/>
          <w:sz w:val="13"/>
          <w:szCs w:val="13"/>
          <w:color w:val="auto"/>
        </w:rPr>
      </w:pPr>
    </w:p>
    <w:p>
      <w:pPr>
        <w:ind w:left="1120" w:right="120" w:hanging="403"/>
        <w:spacing w:after="0" w:line="243"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have identified material weaknesses in our internal control over financial reporting. If remediation measures are not effective, investors may lose confidence in our financial reports.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80" w:lineRule="exact"/>
        <w:rPr>
          <w:sz w:val="20"/>
          <w:szCs w:val="20"/>
          <w:color w:val="auto"/>
        </w:rPr>
      </w:pPr>
    </w:p>
    <w:p>
      <w:pPr>
        <w:ind w:left="300" w:right="440"/>
        <w:spacing w:after="0" w:line="243" w:lineRule="auto"/>
        <w:rPr>
          <w:sz w:val="20"/>
          <w:szCs w:val="20"/>
          <w:color w:val="auto"/>
        </w:rPr>
      </w:pPr>
      <w:r>
        <w:rPr>
          <w:rFonts w:ascii="Arial" w:cs="Arial" w:eastAsia="Arial" w:hAnsi="Arial"/>
          <w:sz w:val="17"/>
          <w:szCs w:val="17"/>
          <w:color w:val="auto"/>
        </w:rPr>
        <w:t>The following are recent developments to the clinical development of our lead candidate, ALX148, since our initial public offering in July 2020:</w:t>
      </w:r>
    </w:p>
    <w:p>
      <w:pPr>
        <w:spacing w:after="0" w:line="185" w:lineRule="exact"/>
        <w:rPr>
          <w:sz w:val="20"/>
          <w:szCs w:val="20"/>
          <w:color w:val="auto"/>
        </w:rPr>
      </w:pPr>
    </w:p>
    <w:p>
      <w:pPr>
        <w:ind w:left="1120" w:right="200" w:hanging="403"/>
        <w:spacing w:after="0" w:line="235"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In September 2020, we entered into a clinical trial collaboration with Merck to evaluate the combination of ALX148 and pembrolizumab with or without chemotherapy in two randomized Phase 2 trials for the first-line treatment of patients with metastatic or unresectable, recurrent HNSCC. One trial will investigate ALX148 in combination with pembrolizumab for subjects with PD-L1 expressing HNSCC. The other will investigate ALX148 in combination with pembrolizumab and chemotherapy regardless of PD-L1 expression.</w:t>
      </w:r>
    </w:p>
    <w:p>
      <w:pPr>
        <w:spacing w:after="0" w:line="28" w:lineRule="exact"/>
        <w:rPr>
          <w:rFonts w:ascii="MS PGothic" w:cs="MS PGothic" w:eastAsia="MS PGothic" w:hAnsi="MS PGothic"/>
          <w:sz w:val="13"/>
          <w:szCs w:val="13"/>
          <w:color w:val="auto"/>
        </w:rPr>
      </w:pPr>
    </w:p>
    <w:p>
      <w:pPr>
        <w:ind w:left="1120" w:right="22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In October 2020, we dosed our first subjects in a Phase 1b/2 trial of ALX148 in combination with azacitidine for the treatment of patients with higher-risk MDS.</w:t>
      </w:r>
    </w:p>
    <w:p>
      <w:pPr>
        <w:spacing w:after="0" w:line="22" w:lineRule="exact"/>
        <w:rPr>
          <w:rFonts w:ascii="MS PGothic" w:cs="MS PGothic" w:eastAsia="MS PGothic" w:hAnsi="MS PGothic"/>
          <w:sz w:val="13"/>
          <w:szCs w:val="13"/>
          <w:color w:val="auto"/>
        </w:rPr>
      </w:pPr>
    </w:p>
    <w:p>
      <w:pPr>
        <w:jc w:val="both"/>
        <w:ind w:left="1120" w:right="140" w:hanging="403"/>
        <w:spacing w:after="0" w:line="238"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In November 2020, we announced that ALX148 in combination with trastuzumab, ramucirumab and paclitaxel achieved a 64.3% (9/14) ORR, in a Phase 1b trial for the treatment of patients with HER2-positive gastric/GEJ cancer who had progressed on prior trastuzumab, fluoropyrimidine or platinum.</w:t>
      </w:r>
    </w:p>
    <w:p>
      <w:pPr>
        <w:spacing w:after="0" w:line="25" w:lineRule="exact"/>
        <w:rPr>
          <w:rFonts w:ascii="MS PGothic" w:cs="MS PGothic" w:eastAsia="MS PGothic" w:hAnsi="MS PGothic"/>
          <w:sz w:val="13"/>
          <w:szCs w:val="13"/>
          <w:color w:val="auto"/>
        </w:rPr>
      </w:pPr>
    </w:p>
    <w:p>
      <w:pPr>
        <w:jc w:val="both"/>
        <w:ind w:left="1120" w:right="140" w:hanging="403"/>
        <w:spacing w:after="0" w:line="238"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In November 2020, we announced that ALX148 in combination with pembrolizumab, 5-fluoropyrimidine and platinum achieved a 75.0% (3/4) ORR including a complete response in a Phase 1b trial for the treatment of patients with metastatic or unresectable, recurrent HNSCC, with no prior treatment for advanced disease.</w:t>
      </w:r>
    </w:p>
    <w:p>
      <w:pPr>
        <w:spacing w:after="0" w:line="25" w:lineRule="exact"/>
        <w:rPr>
          <w:rFonts w:ascii="MS PGothic" w:cs="MS PGothic" w:eastAsia="MS PGothic" w:hAnsi="MS PGothic"/>
          <w:sz w:val="13"/>
          <w:szCs w:val="13"/>
          <w:color w:val="auto"/>
        </w:rPr>
      </w:pPr>
    </w:p>
    <w:p>
      <w:pPr>
        <w:ind w:left="1120" w:right="20" w:hanging="403"/>
        <w:spacing w:after="0" w:line="238"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In November 2020, we announced a clinical trial collaboration with Zymeworks to evaluate the combination of ALX148 with the HER2-targeting bispecific antibody zanidatamab in a Phase 1 trial for patients with advanced HER2-expressing breast cancer and other HER2-expressing solid tumors.</w:t>
      </w:r>
    </w:p>
    <w:p>
      <w:pPr>
        <w:spacing w:after="0" w:line="25" w:lineRule="exact"/>
        <w:rPr>
          <w:rFonts w:ascii="MS PGothic" w:cs="MS PGothic" w:eastAsia="MS PGothic" w:hAnsi="MS PGothic"/>
          <w:sz w:val="13"/>
          <w:szCs w:val="13"/>
          <w:color w:val="auto"/>
        </w:rPr>
      </w:pPr>
    </w:p>
    <w:p>
      <w:pPr>
        <w:ind w:left="1120" w:right="16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In December 2020, we announced that ALX148 in combination with rituximab achieved a 70.0% (7/10) ORR in the highest dose cohort (15 mg/kg) of the Phase 1b trial for the treatment of patients with relapsed/refractory NHL.</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Initial Public Offering (IPO)</w:t>
      </w:r>
    </w:p>
    <w:p>
      <w:pPr>
        <w:spacing w:after="0" w:line="93" w:lineRule="exact"/>
        <w:rPr>
          <w:sz w:val="20"/>
          <w:szCs w:val="20"/>
          <w:color w:val="auto"/>
        </w:rPr>
      </w:pPr>
    </w:p>
    <w:p>
      <w:pPr>
        <w:ind w:left="300" w:right="340"/>
        <w:spacing w:after="0" w:line="238" w:lineRule="auto"/>
        <w:rPr>
          <w:sz w:val="20"/>
          <w:szCs w:val="20"/>
          <w:color w:val="auto"/>
        </w:rPr>
      </w:pPr>
      <w:r>
        <w:rPr>
          <w:rFonts w:ascii="Arial" w:cs="Arial" w:eastAsia="Arial" w:hAnsi="Arial"/>
          <w:sz w:val="17"/>
          <w:szCs w:val="17"/>
          <w:color w:val="auto"/>
        </w:rPr>
        <w:t>In July 2020, we issued and sold 9,775,000 shares of common stock at a public offering price of $19.00 per share, including 1,275,000 shares sold pursuant to the underwriters’ full exercise of their option to purchase additional shares. We received aggregate net proceeds from the offering, net of underwriting discounts and commissions and offering expenses, of approximately $169.5 million.</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 and History</w:t>
      </w:r>
    </w:p>
    <w:p>
      <w:pPr>
        <w:spacing w:after="0" w:line="80" w:lineRule="exact"/>
        <w:rPr>
          <w:sz w:val="20"/>
          <w:szCs w:val="20"/>
          <w:color w:val="auto"/>
        </w:rPr>
      </w:pPr>
    </w:p>
    <w:p>
      <w:pPr>
        <w:ind w:left="300" w:right="80"/>
        <w:spacing w:after="0" w:line="236"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 reorganization effective as of the same date whereby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30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45300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80"/>
        <w:spacing w:after="0" w:line="234" w:lineRule="auto"/>
        <w:rPr>
          <w:sz w:val="20"/>
          <w:szCs w:val="20"/>
          <w:color w:val="auto"/>
        </w:rPr>
      </w:pPr>
      <w:r>
        <w:rPr>
          <w:rFonts w:ascii="Arial" w:cs="Arial" w:eastAsia="Arial" w:hAnsi="Arial"/>
          <w:sz w:val="17"/>
          <w:szCs w:val="17"/>
          <w:color w:val="auto"/>
        </w:rPr>
        <w:t>ALX Oncology Limited became our wholly-owned subsidiary and all of the shareholders, warrantholders and optionholders of ALX Oncology Limited became our stockholders, warrantholders and optionholders, holding the same number of corresponding shares, warrants and/or options in ALX Oncology Holdings Inc. as they did in ALX Oncology Limited immediately prior to the reorganization. We present the information included in this prospectus as that of ALX Oncology Holdings Inc. unless such information refers to a date prior to April 1, 2020, in which case it will reflect that of our predecessor company. In addition, we present our capitalization information as “preferred stock” and “common stock” of ALX Oncology Holdings Inc., while we present any capitalization information from a date prior to April 1, 2020 as “preferred shares” and “ordinary shares” of ALX Oncology Limited.</w:t>
      </w:r>
    </w:p>
    <w:p>
      <w:pPr>
        <w:spacing w:after="0" w:line="151" w:lineRule="exact"/>
        <w:rPr>
          <w:sz w:val="20"/>
          <w:szCs w:val="20"/>
          <w:color w:val="auto"/>
        </w:rPr>
      </w:pPr>
    </w:p>
    <w:p>
      <w:pPr>
        <w:ind w:left="300" w:right="80"/>
        <w:spacing w:after="0" w:line="238" w:lineRule="auto"/>
        <w:rPr>
          <w:sz w:val="20"/>
          <w:szCs w:val="20"/>
          <w:color w:val="auto"/>
        </w:rPr>
      </w:pPr>
      <w:r>
        <w:rPr>
          <w:rFonts w:ascii="Arial" w:cs="Arial" w:eastAsia="Arial" w:hAnsi="Arial"/>
          <w:sz w:val="17"/>
          <w:szCs w:val="17"/>
          <w:color w:val="auto"/>
        </w:rPr>
        <w:t>Our principal executive offices are located at 866 Malcolm Road, Suite 100, Burlingame, California 94010. Our telephone number is 650-466-7125. Our website address is http://alxoncology.com. Information contained on, or that can be accessed through, our website is not incorporated by reference into this prospectus and should not be considered to be part of this prospectus.</w:t>
      </w:r>
    </w:p>
    <w:p>
      <w:pPr>
        <w:spacing w:after="0" w:line="147" w:lineRule="exact"/>
        <w:rPr>
          <w:sz w:val="20"/>
          <w:szCs w:val="20"/>
          <w:color w:val="auto"/>
        </w:rPr>
      </w:pPr>
    </w:p>
    <w:p>
      <w:pPr>
        <w:ind w:left="300" w:right="140"/>
        <w:spacing w:after="0" w:line="235" w:lineRule="auto"/>
        <w:rPr>
          <w:sz w:val="20"/>
          <w:szCs w:val="20"/>
          <w:color w:val="auto"/>
        </w:rPr>
      </w:pPr>
      <w:r>
        <w:rPr>
          <w:rFonts w:ascii="Arial" w:cs="Arial" w:eastAsia="Arial" w:hAnsi="Arial"/>
          <w:sz w:val="17"/>
          <w:szCs w:val="17"/>
          <w:color w:val="auto"/>
        </w:rPr>
        <w:t xml:space="preserve">We use ALX Oncology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80" w:lineRule="exact"/>
        <w:rPr>
          <w:sz w:val="20"/>
          <w:szCs w:val="20"/>
          <w:color w:val="auto"/>
        </w:rPr>
      </w:pPr>
    </w:p>
    <w:p>
      <w:pPr>
        <w:ind w:left="300"/>
        <w:spacing w:after="0" w:line="233"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Securities and Exchange Commission. In particular, in this prospectus, we have provided only two years of audited consolidated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00"/>
          </w:cols>
          <w:pgMar w:left="320" w:top="459" w:right="679" w:bottom="1440" w:gutter="0" w:footer="0" w:header="0"/>
        </w:sectPr>
      </w:pPr>
    </w:p>
    <w:p>
      <w:pPr>
        <w:spacing w:after="0" w:line="3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offered</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2,380,000 shares.</w:t>
      </w:r>
    </w:p>
    <w:p>
      <w:pPr>
        <w:spacing w:after="0" w:line="211"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Underwriters’ option to purchase additional shares of 357,000 shares.</w:t>
      </w:r>
    </w:p>
    <w:p>
      <w:pPr>
        <w:ind w:left="380"/>
        <w:spacing w:after="0"/>
        <w:rPr>
          <w:sz w:val="20"/>
          <w:szCs w:val="20"/>
          <w:color w:val="auto"/>
        </w:rPr>
      </w:pPr>
      <w:r>
        <w:rPr>
          <w:rFonts w:ascii="Arial" w:cs="Arial" w:eastAsia="Arial" w:hAnsi="Arial"/>
          <w:sz w:val="17"/>
          <w:szCs w:val="17"/>
          <w:color w:val="auto"/>
        </w:rPr>
        <w:t>common stock</w:t>
      </w:r>
    </w:p>
    <w:p>
      <w:pPr>
        <w:sectPr>
          <w:pgSz w:w="11900" w:h="16838" w:orient="portrait"/>
          <w:cols w:equalWidth="0" w:num="1">
            <w:col w:w="10900"/>
          </w:cols>
          <w:pgMar w:left="320" w:top="459" w:right="679" w:bottom="1440" w:gutter="0" w:footer="0" w:header="0"/>
          <w:type w:val="continuous"/>
        </w:sectPr>
      </w:pPr>
    </w:p>
    <w:p>
      <w:pPr>
        <w:spacing w:after="0" w:line="21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39,487,522 shares (or 39,844,522 shares if the underwriters exercise in full their option to purchase additional shares).</w:t>
      </w:r>
    </w:p>
    <w:p>
      <w:pPr>
        <w:spacing w:after="0" w:line="178" w:lineRule="exact"/>
        <w:rPr>
          <w:sz w:val="20"/>
          <w:szCs w:val="20"/>
          <w:color w:val="auto"/>
        </w:rPr>
      </w:pPr>
    </w:p>
    <w:p>
      <w:pPr>
        <w:sectPr>
          <w:pgSz w:w="11900" w:h="16838" w:orient="portrait"/>
          <w:cols w:equalWidth="0" w:num="2">
            <w:col w:w="4080" w:space="260"/>
            <w:col w:w="6560"/>
          </w:cols>
          <w:pgMar w:left="320" w:top="459" w:right="67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We expect that the net proceeds to us from this offering will be approximately</w:t>
      </w:r>
    </w:p>
    <w:p>
      <w:pPr>
        <w:spacing w:after="0" w:line="232" w:lineRule="auto"/>
        <w:rPr>
          <w:sz w:val="20"/>
          <w:szCs w:val="20"/>
          <w:color w:val="auto"/>
        </w:rPr>
      </w:pPr>
      <w:r>
        <w:rPr>
          <w:rFonts w:ascii="Arial" w:cs="Arial" w:eastAsia="Arial" w:hAnsi="Arial"/>
          <w:sz w:val="17"/>
          <w:szCs w:val="17"/>
          <w:color w:val="auto"/>
        </w:rPr>
        <w:t>$169.4 million, or approximately $194.9 million if the underwriters exercise their option</w:t>
      </w:r>
    </w:p>
    <w:p>
      <w:pPr>
        <w:spacing w:after="0" w:line="232" w:lineRule="auto"/>
        <w:rPr>
          <w:sz w:val="20"/>
          <w:szCs w:val="20"/>
          <w:color w:val="auto"/>
        </w:rPr>
      </w:pPr>
      <w:r>
        <w:rPr>
          <w:rFonts w:ascii="Arial" w:cs="Arial" w:eastAsia="Arial" w:hAnsi="Arial"/>
          <w:sz w:val="17"/>
          <w:szCs w:val="17"/>
          <w:color w:val="auto"/>
        </w:rPr>
        <w:t>to purchase additional shares in full, based upon the public offering price of $76.00 per</w:t>
      </w:r>
    </w:p>
    <w:p>
      <w:pPr>
        <w:spacing w:after="0" w:line="232" w:lineRule="auto"/>
        <w:rPr>
          <w:sz w:val="20"/>
          <w:szCs w:val="20"/>
          <w:color w:val="auto"/>
        </w:rPr>
      </w:pPr>
      <w:r>
        <w:rPr>
          <w:rFonts w:ascii="Arial" w:cs="Arial" w:eastAsia="Arial" w:hAnsi="Arial"/>
          <w:sz w:val="17"/>
          <w:szCs w:val="17"/>
          <w:color w:val="auto"/>
        </w:rPr>
        <w:t>share and after deducting the underwriting discounts and commissions and estimated</w:t>
      </w:r>
    </w:p>
    <w:p>
      <w:pPr>
        <w:spacing w:after="0"/>
        <w:rPr>
          <w:sz w:val="20"/>
          <w:szCs w:val="20"/>
          <w:color w:val="auto"/>
        </w:rPr>
      </w:pPr>
      <w:r>
        <w:rPr>
          <w:rFonts w:ascii="Arial" w:cs="Arial" w:eastAsia="Arial" w:hAnsi="Arial"/>
          <w:sz w:val="17"/>
          <w:szCs w:val="17"/>
          <w:color w:val="auto"/>
        </w:rPr>
        <w:t>offering expenses payable by us.</w:t>
      </w:r>
    </w:p>
    <w:p>
      <w:pPr>
        <w:spacing w:after="0" w:line="196"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4340"/>
        <w:spacing w:after="0" w:line="235"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fund the development of ALX148 through Phase 1b and Phase 2 clinical trials in several indications, as well as for working capital and other general corporate purposes. See “Use of Proceeds” on page 69 for a more complete description of the intended use of proceeds from this offering.</w:t>
      </w:r>
    </w:p>
    <w:p>
      <w:pPr>
        <w:sectPr>
          <w:pgSz w:w="11900" w:h="16838" w:orient="portrait"/>
          <w:cols w:equalWidth="0" w:num="1">
            <w:col w:w="10900"/>
          </w:cols>
          <w:pgMar w:left="320" w:top="459" w:right="679" w:bottom="1440" w:gutter="0" w:footer="0" w:header="0"/>
          <w:type w:val="continuous"/>
        </w:sectPr>
      </w:pPr>
    </w:p>
    <w:p>
      <w:pPr>
        <w:spacing w:after="0" w:line="19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ind w:right="620"/>
        <w:spacing w:after="0" w:line="238" w:lineRule="auto"/>
        <w:rPr>
          <w:sz w:val="20"/>
          <w:szCs w:val="20"/>
          <w:color w:val="auto"/>
        </w:rPr>
      </w:pPr>
      <w:r>
        <w:rPr>
          <w:rFonts w:ascii="Arial" w:cs="Arial" w:eastAsia="Arial" w:hAnsi="Arial"/>
          <w:sz w:val="17"/>
          <w:szCs w:val="17"/>
          <w:color w:val="auto"/>
        </w:rPr>
        <w:t>See “Risk Factors” beginning on page 12 and other information included in this prospectus for a discussion of factors that you should consider carefully before deciding to invest in our common stock.</w:t>
      </w:r>
    </w:p>
    <w:p>
      <w:pPr>
        <w:spacing w:after="0" w:line="188"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“ALXO”</w:t>
      </w:r>
    </w:p>
    <w:p>
      <w:pPr>
        <w:spacing w:after="0" w:line="180" w:lineRule="exact"/>
        <w:rPr>
          <w:sz w:val="20"/>
          <w:szCs w:val="20"/>
          <w:color w:val="auto"/>
        </w:rPr>
      </w:pPr>
    </w:p>
    <w:p>
      <w:pPr>
        <w:sectPr>
          <w:pgSz w:w="11900" w:h="16838" w:orient="portrait"/>
          <w:cols w:equalWidth="0" w:num="2">
            <w:col w:w="3680" w:space="660"/>
            <w:col w:w="6560"/>
          </w:cols>
          <w:pgMar w:left="320" w:top="459" w:right="679" w:bottom="1440" w:gutter="0" w:footer="0" w:header="0"/>
          <w:type w:val="continuous"/>
        </w:sectPr>
      </w:pPr>
    </w:p>
    <w:p>
      <w:pPr>
        <w:ind w:left="300" w:right="320"/>
        <w:spacing w:after="0" w:line="243" w:lineRule="auto"/>
        <w:rPr>
          <w:sz w:val="20"/>
          <w:szCs w:val="20"/>
          <w:color w:val="auto"/>
        </w:rPr>
      </w:pPr>
      <w:r>
        <w:rPr>
          <w:rFonts w:ascii="Arial" w:cs="Arial" w:eastAsia="Arial" w:hAnsi="Arial"/>
          <w:sz w:val="17"/>
          <w:szCs w:val="17"/>
          <w:color w:val="auto"/>
        </w:rPr>
        <w:t>The number of shares of our common stock to be outstanding after this offering is based on the 37,107,522 shares of our common stock outstanding as of September 30, 2020.</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number of shares of common stock to be outstanding after this offering excludes:</w:t>
      </w:r>
    </w:p>
    <w:p>
      <w:pPr>
        <w:spacing w:after="0" w:line="196" w:lineRule="exact"/>
        <w:rPr>
          <w:sz w:val="20"/>
          <w:szCs w:val="20"/>
          <w:color w:val="auto"/>
        </w:rPr>
      </w:pPr>
    </w:p>
    <w:p>
      <w:pPr>
        <w:ind w:left="1120" w:right="44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4,751,589 shares of common stock issuable upon exercise of options outstanding as of September 30, 2020, at a weighted-average exercise price of $8.09 per share;</w:t>
      </w:r>
    </w:p>
    <w:p>
      <w:pPr>
        <w:spacing w:after="0" w:line="103" w:lineRule="exact"/>
        <w:rPr>
          <w:rFonts w:ascii="MS PGothic" w:cs="MS PGothic" w:eastAsia="MS PGothic" w:hAnsi="MS PGothic"/>
          <w:sz w:val="13"/>
          <w:szCs w:val="13"/>
          <w:color w:val="auto"/>
        </w:rPr>
      </w:pPr>
    </w:p>
    <w:p>
      <w:pPr>
        <w:ind w:left="1120" w:right="38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57,200 shares of common stock issuable upon exercise of options granted after September 30, 2020, at a weighted-average exercise price of $49.57 per share;</w:t>
      </w:r>
    </w:p>
    <w:p>
      <w:pPr>
        <w:spacing w:after="0" w:line="22" w:lineRule="exact"/>
        <w:rPr>
          <w:rFonts w:ascii="MS PGothic" w:cs="MS PGothic" w:eastAsia="MS PGothic" w:hAnsi="MS PGothic"/>
          <w:sz w:val="13"/>
          <w:szCs w:val="13"/>
          <w:color w:val="auto"/>
        </w:rPr>
      </w:pPr>
    </w:p>
    <w:p>
      <w:pPr>
        <w:ind w:left="1120" w:right="40" w:hanging="403"/>
        <w:spacing w:after="0" w:line="236"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2,941,162 shares of common stock reserved for issuance pursuant to future awards under our Amended and Restated 2020 Equity Incentive Plan, or the 2020 Plan, as of September 30, 2020, plus any future increases in the number of shares of common stock reserved for issuance under our 2020 Plan pursuant to provisions thereof that automatically increase the share reserve under the plan each year; and</w:t>
      </w:r>
    </w:p>
    <w:p>
      <w:pPr>
        <w:spacing w:after="0" w:line="27" w:lineRule="exact"/>
        <w:rPr>
          <w:rFonts w:ascii="MS PGothic" w:cs="MS PGothic" w:eastAsia="MS PGothic" w:hAnsi="MS PGothic"/>
          <w:sz w:val="13"/>
          <w:szCs w:val="13"/>
          <w:color w:val="auto"/>
        </w:rPr>
      </w:pPr>
    </w:p>
    <w:p>
      <w:pPr>
        <w:ind w:left="1120" w:right="20" w:hanging="403"/>
        <w:spacing w:after="0" w:line="238"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400,000 shares of common stock reserved for future issuance under our 2020 Employee Stock Purchase Plan, or the ESPP, plus any future increases in the number of shares of common stock reserved for issuance under the ESPP pursuant to provisions thereof that automatically increase the share reserve under the plan each year.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00"/>
          </w:cols>
          <w:pgMar w:left="320" w:top="459" w:right="6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801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80137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Unless otherwise indicated or the context otherwise requires, this prospectus reflects and assumes the following:</w:t>
      </w:r>
    </w:p>
    <w:p>
      <w:pPr>
        <w:spacing w:after="0" w:line="196" w:lineRule="exact"/>
        <w:rPr>
          <w:sz w:val="20"/>
          <w:szCs w:val="20"/>
          <w:color w:val="auto"/>
        </w:rPr>
      </w:pPr>
    </w:p>
    <w:p>
      <w:pPr>
        <w:ind w:left="1120" w:hanging="403"/>
        <w:spacing w:after="0"/>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no exercise of the outstanding options described above; and</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139"/>
          </w:cols>
          <w:pgMar w:left="32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15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36" w:lineRule="exact"/>
        <w:rPr>
          <w:sz w:val="20"/>
          <w:szCs w:val="20"/>
          <w:color w:val="auto"/>
        </w:rPr>
      </w:pPr>
    </w:p>
    <w:p>
      <w:pPr>
        <w:ind w:left="300"/>
        <w:spacing w:after="0" w:line="233" w:lineRule="auto"/>
        <w:rPr>
          <w:sz w:val="20"/>
          <w:szCs w:val="20"/>
          <w:color w:val="auto"/>
        </w:rPr>
      </w:pPr>
      <w:r>
        <w:rPr>
          <w:rFonts w:ascii="Arial" w:cs="Arial" w:eastAsia="Arial" w:hAnsi="Arial"/>
          <w:sz w:val="17"/>
          <w:szCs w:val="17"/>
          <w:color w:val="auto"/>
        </w:rPr>
        <w:t>The following tables summarize our consolidated financial data for the periods and as of the dates indicated. We derived the summary consolidated statements of operations and comprehensive loss data for the years ended December 31, 2018 and December 31, 2019, and consolidated balance sheet data as of December 31, 2019, from our audited consolidated financial statements included elsewhere in this prospectus. We have derived the consolidated statements of operations and comprehensive loss data for the nine months ended September 30, 2019 and September 30, 2020, and the consolidated balance sheet data as of September 30, 2020 from our unaudited interim condensed consolidated financial statements included elsewhere in this prospectus. In our opinion, these unaudited interim condensed consolidated financial statements have been prepared on a basis consistent with our audited consolidated financial statements and contain all adjustments, consisting only of normal and recurring adjustments, necessary for a fair presentation of such financial data. Our historical results are not necessarily indicative of the results that may be expected in the future. You should read the following summary consolidated financial data in conjunction with our consolidated financial statements and the related notes appearing elsewhere in this prospectus and the information in the sections titled “Selected Consolidated Financial Data” and “Management’s Discussion and Analysis of Financial Condition and Results of Operations.”</w:t>
      </w:r>
    </w:p>
    <w:p>
      <w:pPr>
        <w:spacing w:after="0" w:line="200" w:lineRule="exact"/>
        <w:rPr>
          <w:sz w:val="20"/>
          <w:szCs w:val="20"/>
          <w:color w:val="auto"/>
        </w:rPr>
      </w:pPr>
    </w:p>
    <w:p>
      <w:pPr>
        <w:spacing w:after="0" w:line="256"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Statements of Operations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5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Comprehensive Loss Data:</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60" w:type="dxa"/>
            <w:vAlign w:val="bottom"/>
            <w:gridSpan w:val="12"/>
          </w:tcPr>
          <w:p>
            <w:pPr>
              <w:jc w:val="right"/>
              <w:ind w:right="40"/>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4"/>
          </w:tcPr>
          <w:p>
            <w:pPr>
              <w:jc w:val="center"/>
              <w:ind w:left="517"/>
              <w:spacing w:after="0"/>
              <w:rPr>
                <w:sz w:val="20"/>
                <w:szCs w:val="20"/>
                <w:color w:val="auto"/>
              </w:rPr>
            </w:pPr>
            <w:r>
              <w:rPr>
                <w:rFonts w:ascii="Arial" w:cs="Arial" w:eastAsia="Arial" w:hAnsi="Arial"/>
                <w:sz w:val="14"/>
                <w:szCs w:val="14"/>
                <w:b w:val="1"/>
                <w:bCs w:val="1"/>
                <w:color w:val="auto"/>
              </w:rPr>
              <w:t>(unaudited)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3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2,067</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4,796</w:t>
            </w:r>
          </w:p>
        </w:tc>
        <w:tc>
          <w:tcPr>
            <w:tcW w:w="2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3,583</w:t>
            </w:r>
          </w:p>
        </w:tc>
        <w:tc>
          <w:tcPr>
            <w:tcW w:w="5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Research and development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11,270</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16,306</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9,571</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16,819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tcPr>
          <w:p>
            <w:pPr>
              <w:ind w:left="480"/>
              <w:spacing w:after="0" w:line="189" w:lineRule="exact"/>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2,601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3,313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2,205</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9,126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1,880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3,257</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000"/>
              <w:spacing w:after="0"/>
              <w:rPr>
                <w:sz w:val="20"/>
                <w:szCs w:val="20"/>
                <w:color w:val="auto"/>
              </w:rPr>
            </w:pPr>
            <w:r>
              <w:rPr>
                <w:rFonts w:ascii="Arial" w:cs="Arial" w:eastAsia="Arial" w:hAnsi="Arial"/>
                <w:sz w:val="17"/>
                <w:szCs w:val="17"/>
                <w:color w:val="auto"/>
              </w:rPr>
              <w:t>Total operating expenses</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15,033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(13,684)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(19,183)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(11,450)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(25,838)</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(660)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net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7"/>
                <w:szCs w:val="17"/>
                <w:color w:val="auto"/>
              </w:rPr>
              <w:t>Loss before income taxes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(13,686)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(19,209)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(11,454)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(26,907)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(25)</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7"/>
                <w:szCs w:val="17"/>
                <w:color w:val="auto"/>
              </w:rPr>
              <w:t>Net loss and comprehensive loss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(13,731)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(19,243)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(11,479)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(26,966)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(3,671)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(4,028)</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(2,957)</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(5,202)</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(17,402)</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(23,271)</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(14,436)</w:t>
            </w: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(32,168)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22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per share attributable to common stockholders, basic and</w:t>
            </w:r>
          </w:p>
        </w:tc>
        <w:tc>
          <w:tcPr>
            <w:tcW w:w="340" w:type="dxa"/>
            <w:vAlign w:val="bottom"/>
            <w:gridSpan w:val="2"/>
            <w:vMerge w:val="restart"/>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w:t>
            </w:r>
          </w:p>
        </w:tc>
        <w:tc>
          <w:tcPr>
            <w:tcW w:w="1040" w:type="dxa"/>
            <w:vAlign w:val="bottom"/>
            <w:gridSpan w:val="2"/>
            <w:vMerge w:val="restart"/>
            <w:shd w:val="clear" w:color="auto" w:fill="CCEEFF"/>
          </w:tcPr>
          <w:p>
            <w:pPr>
              <w:jc w:val="right"/>
              <w:ind w:right="220"/>
              <w:spacing w:after="0" w:line="187" w:lineRule="exact"/>
              <w:rPr>
                <w:sz w:val="20"/>
                <w:szCs w:val="20"/>
                <w:color w:val="auto"/>
              </w:rPr>
            </w:pPr>
            <w:r>
              <w:rPr>
                <w:rFonts w:ascii="Arial" w:cs="Arial" w:eastAsia="Arial" w:hAnsi="Arial"/>
                <w:sz w:val="17"/>
                <w:szCs w:val="17"/>
                <w:color w:val="auto"/>
              </w:rPr>
              <w:t>(6.33)</w:t>
            </w:r>
          </w:p>
        </w:tc>
        <w:tc>
          <w:tcPr>
            <w:tcW w:w="320" w:type="dxa"/>
            <w:vAlign w:val="bottom"/>
            <w:gridSpan w:val="2"/>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040" w:type="dxa"/>
            <w:vAlign w:val="bottom"/>
            <w:gridSpan w:val="2"/>
            <w:vMerge w:val="restart"/>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(7.56)</w:t>
            </w:r>
          </w:p>
        </w:tc>
        <w:tc>
          <w:tcPr>
            <w:tcW w:w="320" w:type="dxa"/>
            <w:vAlign w:val="bottom"/>
            <w:gridSpan w:val="2"/>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040" w:type="dxa"/>
            <w:vAlign w:val="bottom"/>
            <w:gridSpan w:val="2"/>
            <w:vMerge w:val="restart"/>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(4.72)</w:t>
            </w:r>
          </w:p>
        </w:tc>
        <w:tc>
          <w:tcPr>
            <w:tcW w:w="500" w:type="dxa"/>
            <w:vAlign w:val="bottom"/>
            <w:gridSpan w:val="2"/>
            <w:vMerge w:val="restart"/>
            <w:shd w:val="clear" w:color="auto" w:fill="CCEEFF"/>
          </w:tcPr>
          <w:p>
            <w:pPr>
              <w:jc w:val="right"/>
              <w:ind w:right="180"/>
              <w:spacing w:after="0" w:line="187" w:lineRule="exact"/>
              <w:rPr>
                <w:sz w:val="20"/>
                <w:szCs w:val="20"/>
                <w:color w:val="auto"/>
              </w:rPr>
            </w:pPr>
            <w:r>
              <w:rPr>
                <w:rFonts w:ascii="Arial" w:cs="Arial" w:eastAsia="Arial" w:hAnsi="Arial"/>
                <w:sz w:val="17"/>
                <w:szCs w:val="17"/>
                <w:color w:val="auto"/>
              </w:rPr>
              <w:t>$</w:t>
            </w:r>
          </w:p>
        </w:tc>
        <w:tc>
          <w:tcPr>
            <w:tcW w:w="800" w:type="dxa"/>
            <w:vAlign w:val="bottom"/>
            <w:gridSpan w:val="2"/>
            <w:vMerge w:val="restart"/>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10"/>
        </w:trPr>
        <w:tc>
          <w:tcPr>
            <w:tcW w:w="20" w:type="dxa"/>
            <w:vAlign w:val="bottom"/>
          </w:tcPr>
          <w:p>
            <w:pPr>
              <w:spacing w:after="0" w:line="20" w:lineRule="exact"/>
              <w:rPr>
                <w:sz w:val="1"/>
                <w:szCs w:val="1"/>
                <w:color w:val="auto"/>
              </w:rPr>
            </w:pPr>
          </w:p>
        </w:tc>
        <w:tc>
          <w:tcPr>
            <w:tcW w:w="5220" w:type="dxa"/>
            <w:vAlign w:val="bottom"/>
            <w:shd w:val="clear" w:color="auto" w:fill="CCEEFF"/>
          </w:tcPr>
          <w:p>
            <w:pPr>
              <w:ind w:left="240"/>
              <w:spacing w:after="0" w:line="10" w:lineRule="exact"/>
              <w:rPr>
                <w:sz w:val="20"/>
                <w:szCs w:val="20"/>
                <w:color w:val="auto"/>
              </w:rPr>
            </w:pPr>
            <w:r>
              <w:rPr>
                <w:rFonts w:ascii="Arial" w:cs="Arial" w:eastAsia="Arial" w:hAnsi="Arial"/>
                <w:sz w:val="1"/>
                <w:szCs w:val="1"/>
                <w:color w:val="auto"/>
              </w:rPr>
              <w:t>diluted</w:t>
            </w:r>
          </w:p>
        </w:tc>
        <w:tc>
          <w:tcPr>
            <w:tcW w:w="340" w:type="dxa"/>
            <w:vAlign w:val="bottom"/>
            <w:gridSpan w:val="2"/>
            <w:vMerge w:val="continue"/>
            <w:shd w:val="clear" w:color="auto" w:fill="CCEEFF"/>
          </w:tcPr>
          <w:p>
            <w:pPr>
              <w:spacing w:after="0" w:line="20" w:lineRule="exact"/>
              <w:rPr>
                <w:sz w:val="1"/>
                <w:szCs w:val="1"/>
                <w:color w:val="auto"/>
              </w:rPr>
            </w:pPr>
          </w:p>
        </w:tc>
        <w:tc>
          <w:tcPr>
            <w:tcW w:w="1040" w:type="dxa"/>
            <w:vAlign w:val="bottom"/>
            <w:gridSpan w:val="2"/>
            <w:vMerge w:val="continue"/>
            <w:shd w:val="clear" w:color="auto" w:fill="CCEEFF"/>
          </w:tcPr>
          <w:p>
            <w:pPr>
              <w:spacing w:after="0" w:line="20" w:lineRule="exact"/>
              <w:rPr>
                <w:sz w:val="1"/>
                <w:szCs w:val="1"/>
                <w:color w:val="auto"/>
              </w:rPr>
            </w:pPr>
          </w:p>
        </w:tc>
        <w:tc>
          <w:tcPr>
            <w:tcW w:w="320" w:type="dxa"/>
            <w:vAlign w:val="bottom"/>
            <w:gridSpan w:val="2"/>
            <w:vMerge w:val="continue"/>
            <w:shd w:val="clear" w:color="auto" w:fill="CCEEFF"/>
          </w:tcPr>
          <w:p>
            <w:pPr>
              <w:spacing w:after="0" w:line="20" w:lineRule="exact"/>
              <w:rPr>
                <w:sz w:val="1"/>
                <w:szCs w:val="1"/>
                <w:color w:val="auto"/>
              </w:rPr>
            </w:pPr>
          </w:p>
        </w:tc>
        <w:tc>
          <w:tcPr>
            <w:tcW w:w="1040" w:type="dxa"/>
            <w:vAlign w:val="bottom"/>
            <w:gridSpan w:val="2"/>
            <w:vMerge w:val="continue"/>
            <w:shd w:val="clear" w:color="auto" w:fill="CCEEFF"/>
          </w:tcPr>
          <w:p>
            <w:pPr>
              <w:spacing w:after="0" w:line="20" w:lineRule="exact"/>
              <w:rPr>
                <w:sz w:val="1"/>
                <w:szCs w:val="1"/>
                <w:color w:val="auto"/>
              </w:rPr>
            </w:pPr>
          </w:p>
        </w:tc>
        <w:tc>
          <w:tcPr>
            <w:tcW w:w="320" w:type="dxa"/>
            <w:vAlign w:val="bottom"/>
            <w:gridSpan w:val="2"/>
            <w:vMerge w:val="continue"/>
            <w:shd w:val="clear" w:color="auto" w:fill="CCEEFF"/>
          </w:tcPr>
          <w:p>
            <w:pPr>
              <w:spacing w:after="0" w:line="20" w:lineRule="exact"/>
              <w:rPr>
                <w:sz w:val="1"/>
                <w:szCs w:val="1"/>
                <w:color w:val="auto"/>
              </w:rPr>
            </w:pPr>
          </w:p>
        </w:tc>
        <w:tc>
          <w:tcPr>
            <w:tcW w:w="1040" w:type="dxa"/>
            <w:vAlign w:val="bottom"/>
            <w:gridSpan w:val="2"/>
            <w:vMerge w:val="continue"/>
            <w:shd w:val="clear" w:color="auto" w:fill="CCEEFF"/>
          </w:tcPr>
          <w:p>
            <w:pPr>
              <w:spacing w:after="0" w:line="20" w:lineRule="exact"/>
              <w:rPr>
                <w:sz w:val="1"/>
                <w:szCs w:val="1"/>
                <w:color w:val="auto"/>
              </w:rPr>
            </w:pPr>
          </w:p>
        </w:tc>
        <w:tc>
          <w:tcPr>
            <w:tcW w:w="500" w:type="dxa"/>
            <w:vAlign w:val="bottom"/>
            <w:gridSpan w:val="2"/>
            <w:vMerge w:val="continue"/>
            <w:shd w:val="clear" w:color="auto" w:fill="CCEEFF"/>
          </w:tcPr>
          <w:p>
            <w:pPr>
              <w:spacing w:after="0" w:line="20" w:lineRule="exact"/>
              <w:rPr>
                <w:sz w:val="1"/>
                <w:szCs w:val="1"/>
                <w:color w:val="auto"/>
              </w:rPr>
            </w:pPr>
          </w:p>
        </w:tc>
        <w:tc>
          <w:tcPr>
            <w:tcW w:w="80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52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(1)</w:t>
            </w:r>
          </w:p>
        </w:tc>
        <w:tc>
          <w:tcPr>
            <w:tcW w:w="2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7"/>
                <w:szCs w:val="17"/>
                <w:color w:val="auto"/>
              </w:rPr>
              <w:t>Weighted-average shares used to compute net loss per share</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line="187" w:lineRule="exact"/>
              <w:rPr>
                <w:sz w:val="20"/>
                <w:szCs w:val="20"/>
                <w:color w:val="auto"/>
              </w:rPr>
            </w:pPr>
            <w:r>
              <w:rPr>
                <w:rFonts w:ascii="Arial" w:cs="Arial" w:eastAsia="Arial" w:hAnsi="Arial"/>
                <w:sz w:val="17"/>
                <w:szCs w:val="17"/>
                <w:color w:val="auto"/>
                <w:w w:val="97"/>
              </w:rPr>
              <w:t>2,750,838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spacing w:after="0" w:line="187" w:lineRule="exact"/>
              <w:rPr>
                <w:sz w:val="20"/>
                <w:szCs w:val="20"/>
                <w:color w:val="auto"/>
              </w:rPr>
            </w:pPr>
            <w:r>
              <w:rPr>
                <w:rFonts w:ascii="Arial" w:cs="Arial" w:eastAsia="Arial" w:hAnsi="Arial"/>
                <w:sz w:val="17"/>
                <w:szCs w:val="17"/>
                <w:color w:val="auto"/>
              </w:rPr>
              <w:t>3,076,461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spacing w:after="0" w:line="187" w:lineRule="exact"/>
              <w:rPr>
                <w:sz w:val="20"/>
                <w:szCs w:val="20"/>
                <w:color w:val="auto"/>
              </w:rPr>
            </w:pPr>
            <w:r>
              <w:rPr>
                <w:rFonts w:ascii="Arial" w:cs="Arial" w:eastAsia="Arial" w:hAnsi="Arial"/>
                <w:sz w:val="17"/>
                <w:szCs w:val="17"/>
                <w:color w:val="auto"/>
              </w:rPr>
              <w:t>3,061,082</w:t>
            </w:r>
          </w:p>
        </w:tc>
        <w:tc>
          <w:tcPr>
            <w:tcW w:w="260" w:type="dxa"/>
            <w:vAlign w:val="bottom"/>
          </w:tcPr>
          <w:p>
            <w:pPr>
              <w:spacing w:after="0"/>
              <w:rPr>
                <w:sz w:val="15"/>
                <w:szCs w:val="15"/>
                <w:color w:val="auto"/>
              </w:rPr>
            </w:pPr>
          </w:p>
        </w:tc>
        <w:tc>
          <w:tcPr>
            <w:tcW w:w="1300" w:type="dxa"/>
            <w:vAlign w:val="bottom"/>
            <w:gridSpan w:val="4"/>
            <w:vMerge w:val="restart"/>
          </w:tcPr>
          <w:p>
            <w:pPr>
              <w:jc w:val="right"/>
              <w:ind w:right="100"/>
              <w:spacing w:after="0" w:line="187" w:lineRule="exact"/>
              <w:rPr>
                <w:sz w:val="20"/>
                <w:szCs w:val="20"/>
                <w:color w:val="auto"/>
              </w:rPr>
            </w:pPr>
            <w:r>
              <w:rPr>
                <w:rFonts w:ascii="Arial" w:cs="Arial" w:eastAsia="Arial" w:hAnsi="Arial"/>
                <w:sz w:val="17"/>
                <w:szCs w:val="17"/>
                <w:color w:val="auto"/>
              </w:rPr>
              <w:t>12,052,876</w:t>
            </w:r>
          </w:p>
        </w:tc>
        <w:tc>
          <w:tcPr>
            <w:tcW w:w="0" w:type="dxa"/>
            <w:vAlign w:val="bottom"/>
          </w:tcPr>
          <w:p>
            <w:pPr>
              <w:spacing w:after="0"/>
              <w:rPr>
                <w:sz w:val="1"/>
                <w:szCs w:val="1"/>
                <w:color w:val="auto"/>
              </w:rPr>
            </w:pPr>
          </w:p>
        </w:tc>
      </w:tr>
      <w:tr>
        <w:trPr>
          <w:trHeight w:val="10"/>
        </w:trPr>
        <w:tc>
          <w:tcPr>
            <w:tcW w:w="20" w:type="dxa"/>
            <w:vAlign w:val="bottom"/>
          </w:tcPr>
          <w:p>
            <w:pPr>
              <w:spacing w:after="0" w:line="20" w:lineRule="exact"/>
              <w:rPr>
                <w:sz w:val="1"/>
                <w:szCs w:val="1"/>
                <w:color w:val="auto"/>
              </w:rPr>
            </w:pPr>
          </w:p>
        </w:tc>
        <w:tc>
          <w:tcPr>
            <w:tcW w:w="5220" w:type="dxa"/>
            <w:vAlign w:val="bottom"/>
          </w:tcPr>
          <w:p>
            <w:pPr>
              <w:ind w:left="240"/>
              <w:spacing w:after="0" w:line="10" w:lineRule="exact"/>
              <w:rPr>
                <w:sz w:val="20"/>
                <w:szCs w:val="20"/>
                <w:color w:val="auto"/>
              </w:rPr>
            </w:pPr>
            <w:r>
              <w:rPr>
                <w:rFonts w:ascii="Arial" w:cs="Arial" w:eastAsia="Arial" w:hAnsi="Arial"/>
                <w:sz w:val="1"/>
                <w:szCs w:val="1"/>
                <w:color w:val="auto"/>
              </w:rPr>
              <w:t>attributable to common stockholders, basic and diluted</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40" w:type="dxa"/>
            <w:vAlign w:val="bottom"/>
            <w:gridSpan w:val="2"/>
          </w:tcPr>
          <w:p>
            <w:pPr>
              <w:ind w:left="4380"/>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700" w:right="560" w:hanging="267"/>
        <w:spacing w:after="0" w:line="258" w:lineRule="auto"/>
        <w:tabs>
          <w:tab w:leader="none" w:pos="70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Note 12 in the notes to our audited consolidated financial statements appearing at the end of this prospectus for a description of the method used to calculate basic and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438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243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54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5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AS OF SEPTEMBER 30, 2020</w:t>
            </w:r>
          </w:p>
        </w:tc>
      </w:tr>
      <w:tr>
        <w:trPr>
          <w:trHeight w:val="156"/>
        </w:trPr>
        <w:tc>
          <w:tcPr>
            <w:tcW w:w="54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ACTUAL</w:t>
            </w:r>
          </w:p>
        </w:tc>
        <w:tc>
          <w:tcPr>
            <w:tcW w:w="1620" w:type="dxa"/>
            <w:vAlign w:val="bottom"/>
            <w:tcBorders>
              <w:top w:val="single" w:sz="8" w:color="auto"/>
              <w:bottom w:val="single" w:sz="8" w:color="auto"/>
            </w:tcBorders>
            <w:gridSpan w:val="2"/>
          </w:tcPr>
          <w:p>
            <w:pPr>
              <w:ind w:left="460"/>
              <w:spacing w:after="0" w:line="156" w:lineRule="exact"/>
              <w:rPr>
                <w:sz w:val="20"/>
                <w:szCs w:val="20"/>
                <w:color w:val="auto"/>
              </w:rPr>
            </w:pPr>
            <w:r>
              <w:rPr>
                <w:rFonts w:ascii="Arial" w:cs="Arial" w:eastAsia="Arial" w:hAnsi="Arial"/>
                <w:sz w:val="11"/>
                <w:szCs w:val="11"/>
                <w:b w:val="1"/>
                <w:bCs w:val="1"/>
                <w:color w:val="auto"/>
              </w:rPr>
              <w:t>AS ADJUSTED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r>
      <w:tr>
        <w:trPr>
          <w:trHeight w:val="142"/>
        </w:trPr>
        <w:tc>
          <w:tcPr>
            <w:tcW w:w="54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54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74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54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26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34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$259,484</w:t>
            </w:r>
          </w:p>
        </w:tc>
        <w:tc>
          <w:tcPr>
            <w:tcW w:w="960" w:type="dxa"/>
            <w:vAlign w:val="bottom"/>
          </w:tcPr>
          <w:p>
            <w:pPr>
              <w:ind w:left="46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428,911</w:t>
            </w:r>
          </w:p>
        </w:tc>
      </w:tr>
      <w:tr>
        <w:trPr>
          <w:trHeight w:val="189"/>
        </w:trPr>
        <w:tc>
          <w:tcPr>
            <w:tcW w:w="5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(2)</w:t>
            </w:r>
          </w:p>
        </w:tc>
        <w:tc>
          <w:tcPr>
            <w:tcW w:w="34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255,207</w:t>
            </w:r>
          </w:p>
        </w:tc>
        <w:tc>
          <w:tcPr>
            <w:tcW w:w="9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424,634</w:t>
            </w: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34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262,449</w:t>
            </w:r>
          </w:p>
        </w:tc>
        <w:tc>
          <w:tcPr>
            <w:tcW w:w="96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431,876</w:t>
            </w:r>
          </w:p>
        </w:tc>
      </w:tr>
      <w:tr>
        <w:trPr>
          <w:trHeight w:val="189"/>
        </w:trPr>
        <w:tc>
          <w:tcPr>
            <w:tcW w:w="5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34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10,433</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10,433</w:t>
            </w:r>
          </w:p>
        </w:tc>
        <w:tc>
          <w:tcPr>
            <w:tcW w:w="100" w:type="dxa"/>
            <w:vAlign w:val="bottom"/>
            <w:shd w:val="clear" w:color="auto" w:fill="CCEEFF"/>
          </w:tcPr>
          <w:p>
            <w:pPr>
              <w:spacing w:after="0"/>
              <w:rPr>
                <w:sz w:val="16"/>
                <w:szCs w:val="16"/>
                <w:color w:val="auto"/>
              </w:rPr>
            </w:pP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34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(99,748)</w:t>
            </w:r>
          </w:p>
        </w:tc>
        <w:tc>
          <w:tcPr>
            <w:tcW w:w="96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(99,748)</w:t>
            </w:r>
          </w:p>
        </w:tc>
      </w:tr>
      <w:tr>
        <w:trPr>
          <w:trHeight w:val="189"/>
        </w:trPr>
        <w:tc>
          <w:tcPr>
            <w:tcW w:w="5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stockholders’ equity</w:t>
            </w:r>
          </w:p>
        </w:tc>
        <w:tc>
          <w:tcPr>
            <w:tcW w:w="34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252,016</w:t>
            </w:r>
          </w:p>
        </w:tc>
        <w:tc>
          <w:tcPr>
            <w:tcW w:w="9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421,443</w:t>
            </w:r>
          </w:p>
        </w:tc>
      </w:tr>
    </w:tbl>
    <w:p>
      <w:pPr>
        <w:spacing w:after="0" w:line="261" w:lineRule="exact"/>
        <w:rPr>
          <w:sz w:val="20"/>
          <w:szCs w:val="20"/>
          <w:color w:val="auto"/>
        </w:rPr>
      </w:pPr>
    </w:p>
    <w:p>
      <w:pPr>
        <w:ind w:left="700" w:right="340" w:hanging="267"/>
        <w:spacing w:after="0" w:line="249" w:lineRule="auto"/>
        <w:tabs>
          <w:tab w:leader="none" w:pos="7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as adjusted balance sheet data in the table above reflects adjustments for the sale and issuance by us of 2,380,000 shares of our common stock in this offering, at the public offering price of $76.00 per share and after deducting the underwriting discounts and commissions and estimated offering expenses payable by us.</w:t>
      </w:r>
    </w:p>
    <w:p>
      <w:pPr>
        <w:spacing w:after="0" w:line="25" w:lineRule="exact"/>
        <w:rPr>
          <w:rFonts w:ascii="Arial" w:cs="Arial" w:eastAsia="Arial" w:hAnsi="Arial"/>
          <w:sz w:val="14"/>
          <w:szCs w:val="14"/>
          <w:color w:val="auto"/>
        </w:rPr>
      </w:pPr>
    </w:p>
    <w:p>
      <w:pPr>
        <w:ind w:left="700" w:right="120" w:hanging="267"/>
        <w:spacing w:after="0" w:line="258" w:lineRule="auto"/>
        <w:tabs>
          <w:tab w:leader="none" w:pos="70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120" w:right="220"/>
        <w:spacing w:after="0" w:line="237"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the section titled “Management’s Discussion and Analysis of Financial Condition and Results of Operations” in this prospectus,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Summary</w:t>
      </w:r>
    </w:p>
    <w:p>
      <w:pPr>
        <w:spacing w:after="0" w:line="73"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b w:val="1"/>
          <w:bCs w:val="1"/>
          <w:i w:val="1"/>
          <w:iCs w:val="1"/>
          <w:color w:val="auto"/>
        </w:rPr>
        <w:t>Investing in our common stock involves a high degree of risk because our business is subject to numerous risks and uncertainties, as fully described below. The principal factors and uncertainties that make investing in our common stock risky include, among others:</w:t>
      </w:r>
    </w:p>
    <w:p>
      <w:pPr>
        <w:spacing w:after="0" w:line="166" w:lineRule="exact"/>
        <w:rPr>
          <w:sz w:val="20"/>
          <w:szCs w:val="20"/>
          <w:color w:val="auto"/>
        </w:rPr>
      </w:pPr>
    </w:p>
    <w:p>
      <w:pPr>
        <w:ind w:left="980" w:right="88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We have incurred significant net losses since our inception, and we expect to continue to incur significant net losses for the foreseeable future;</w:t>
      </w:r>
    </w:p>
    <w:p>
      <w:pPr>
        <w:spacing w:after="0" w:line="22"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We will require substantial additional capital to finance our operations, such capital may not be available to us or may only be available on terms that are unfavorable to us and, in addition, our current loan agreement may restrict our ability to take on additional debt without the consent of our lenders;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We have a limited operating history and have no products approved for commercial sale;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The price of our stock may be volatile, and you could lose all or part of your investment;</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We are substantially dependent on the success of our lead product candidate, ALX148, which is in clinical development and which has not completed a pivotal trial;</w:t>
      </w:r>
    </w:p>
    <w:p>
      <w:pPr>
        <w:spacing w:after="0" w:line="22"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22" w:lineRule="exact"/>
        <w:rPr>
          <w:rFonts w:ascii="MS PGothic" w:cs="MS PGothic" w:eastAsia="MS PGothic" w:hAnsi="MS PGothic"/>
          <w:sz w:val="13"/>
          <w:szCs w:val="13"/>
          <w:color w:val="auto"/>
        </w:rPr>
      </w:pPr>
    </w:p>
    <w:p>
      <w:pPr>
        <w:ind w:left="980" w:right="34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Our product candidates may cause significant adverse events or other undesirable side effects when used alone or in combination with other treatments;</w:t>
      </w:r>
    </w:p>
    <w:p>
      <w:pPr>
        <w:spacing w:after="0" w:line="22" w:lineRule="exact"/>
        <w:rPr>
          <w:rFonts w:ascii="MS PGothic" w:cs="MS PGothic" w:eastAsia="MS PGothic" w:hAnsi="MS PGothic"/>
          <w:sz w:val="13"/>
          <w:szCs w:val="13"/>
          <w:color w:val="auto"/>
        </w:rPr>
      </w:pPr>
    </w:p>
    <w:p>
      <w:pPr>
        <w:ind w:left="980" w:right="84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22" w:lineRule="exact"/>
        <w:rPr>
          <w:rFonts w:ascii="MS PGothic" w:cs="MS PGothic" w:eastAsia="MS PGothic" w:hAnsi="MS PGothic"/>
          <w:sz w:val="13"/>
          <w:szCs w:val="13"/>
          <w:color w:val="auto"/>
        </w:rPr>
      </w:pPr>
    </w:p>
    <w:p>
      <w:pPr>
        <w:ind w:left="980" w:right="66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The regulatory approval processes of the FDA and comparable foreign regulatory authorities are lengthy, time-consuming and inherently unpredictable, which could lead to our inability to generate product revenue;</w:t>
      </w:r>
    </w:p>
    <w:p>
      <w:pPr>
        <w:spacing w:after="0" w:line="22"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If we are unable to obtain, maintain and enforce patent protection and other intellectual property for our product candidates and related technology, our business could be materially harmed;</w:t>
      </w:r>
    </w:p>
    <w:p>
      <w:pPr>
        <w:spacing w:after="0" w:line="22"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We are highly dependent on our key personnel, and if we are not successful in attracting, motivating, and retaining highly qualified personnel, we may not be able to successfully implement our business strategy;</w:t>
      </w:r>
    </w:p>
    <w:p>
      <w:pPr>
        <w:spacing w:after="0" w:line="22" w:lineRule="exact"/>
        <w:rPr>
          <w:rFonts w:ascii="MS PGothic" w:cs="MS PGothic" w:eastAsia="MS PGothic" w:hAnsi="MS PGothic"/>
          <w:sz w:val="13"/>
          <w:szCs w:val="13"/>
          <w:color w:val="auto"/>
        </w:rPr>
      </w:pPr>
    </w:p>
    <w:p>
      <w:pPr>
        <w:ind w:left="980" w:right="340" w:hanging="432"/>
        <w:spacing w:after="0" w:line="238"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Our preclinical research is conducted solely by a third party service provider, Tallac Therapeutics, Inc. (formerly known as Tollnine, Inc.), or Tallac Therapeutics, and we are dependent on Tallac Therapeutics to perform its contractual research obligations on an effective or timely basis;</w:t>
      </w:r>
    </w:p>
    <w:p>
      <w:pPr>
        <w:spacing w:after="0" w:line="25"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The novel coronavirus, or COVID-19, pandemic could adversely impact our business including our ongoing and planned clinical trials and preclinical research; and</w:t>
      </w:r>
    </w:p>
    <w:p>
      <w:pPr>
        <w:spacing w:after="0" w:line="22"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We have identified material weaknesses in our internal control over financial reporting. If remediation measures are not effective, investors may lose confidence in our financial reports.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60" w:lineRule="exact"/>
        <w:rPr>
          <w:sz w:val="20"/>
          <w:szCs w:val="20"/>
          <w:color w:val="auto"/>
        </w:rPr>
      </w:pPr>
    </w:p>
    <w:p>
      <w:pPr>
        <w:ind w:left="120" w:right="940"/>
        <w:spacing w:after="0" w:line="267" w:lineRule="auto"/>
        <w:rPr>
          <w:sz w:val="20"/>
          <w:szCs w:val="20"/>
          <w:color w:val="auto"/>
        </w:rPr>
      </w:pPr>
      <w:r>
        <w:rPr>
          <w:rFonts w:ascii="Arial" w:cs="Arial" w:eastAsia="Arial" w:hAnsi="Arial"/>
          <w:sz w:val="17"/>
          <w:szCs w:val="17"/>
          <w:b w:val="1"/>
          <w:bCs w:val="1"/>
          <w:i w:val="1"/>
          <w:iCs w:val="1"/>
          <w:color w:val="auto"/>
        </w:rPr>
        <w:t>We have incurred significant net losses since our inception, and we expect to continue to incur significant net losses for the foreseeable future.</w:t>
      </w:r>
    </w:p>
    <w:p>
      <w:pPr>
        <w:spacing w:after="0" w:line="125"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We have incurred significant net losses in each reporting period since our inception, have not generated any revenue to date and have financed our operations principally through private placements of our convertible preferred stock.</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Our net loss was $19.2 million for the year ended December 31, 2019 and $11.5 million and $27.0 million for the nine months ended September 30, 2019 and 2020, respectively. As of September 30, 2020, we had an accumulated deficit of $99.7 million. We have devoted substantially all of our resources and efforts to research and development. Our lead product candidate, ALX148,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5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30"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41"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ALX148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U.S. Food and Drug Administration, or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also expect to incur additional costs associated with operating as a public company and comply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w:t>
      </w:r>
    </w:p>
    <w:p>
      <w:pPr>
        <w:spacing w:after="0" w:line="152"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As of September 30, 2020, we had cash and cash equivalents of $259.5 million. Based on our current operating plan, we believe that the proceeds from this offering, together with our existing cash and cash equivalents, will be sufficient to fund our operations through 2024. Our estimate as to how long we expect the net proceeds from our offering, together with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4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plan to use the net proceeds from this offering to advance the clinical development of ALX148,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ALX148 and our other programs will require a significant amount of capital. The net proceeds from this offering, together with our current cash and cash equivalents on hand, may not be sufficient to fund all of the actions that are necessary to complete the development of ALX148 or our other programs.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expect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In addition, our Loan and Security Agreement, or the Loan Agreement, with Silicon Valley Bank, or SVB, and WestRiver Innovation Lending Fund VIII, LP, or WestRiver, and collectively, the Lenders, restricts our ability to incur additional indebtedness without the consent of the Lenders.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54"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27"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a Phase 1 clinical trial of ALX148.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16"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190" w:lineRule="exact"/>
        <w:rPr>
          <w:sz w:val="20"/>
          <w:szCs w:val="20"/>
          <w:color w:val="auto"/>
        </w:rPr>
      </w:pPr>
    </w:p>
    <w:p>
      <w:pPr>
        <w:ind w:left="980" w:right="180" w:hanging="432"/>
        <w:spacing w:after="0" w:line="243"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successful and timely completion of preclinical and clinical development of our lead product candidate, ALX148, and our other future product candidates;</w:t>
      </w:r>
    </w:p>
    <w:p>
      <w:pPr>
        <w:spacing w:after="0" w:line="22"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establishing and maintaining relationships with CROs and clinical sites for the clinical development of ALX148 and our other future product candidates;</w:t>
      </w:r>
    </w:p>
    <w:p>
      <w:pPr>
        <w:spacing w:after="0" w:line="22"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timely receipt of marketing approvals from applicable regulatory authorities for any product candidates for which we successfully complete clinical development;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extent of any required post-marketing approval commitments to applicable regulatory authorities;</w:t>
      </w:r>
    </w:p>
    <w:p>
      <w:pPr>
        <w:spacing w:after="0" w:line="34"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developing an efficient and scalable manufacturing process for ALX148 and any future product candidates, including establishing and maintaining commercially viable supply and manufacturing relationships with third parties to obtain finished products that are appropriately packaged for sale;</w:t>
      </w:r>
    </w:p>
    <w:p>
      <w:pPr>
        <w:spacing w:after="0" w:line="25"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25"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successful commercial launch following any marketing approval, including the development of a commercial infrastructure, whether in-house or with one or more collaborators;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a continued acceptable safety profile following any marketing approval;</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commercial acceptance of ALX148 and any future product candidates as viable treatment options by patients, the medical community and third-party payors;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obtaining favorable coverage and adequate reimbursement by third-party payors for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addressing any competing therapies and technological and market developments;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identifying, assessing, acquiring and developing new product candidates;</w:t>
      </w:r>
    </w:p>
    <w:p>
      <w:pPr>
        <w:spacing w:after="0" w:line="34" w:lineRule="exact"/>
        <w:rPr>
          <w:rFonts w:ascii="MS PGothic" w:cs="MS PGothic" w:eastAsia="MS PGothic" w:hAnsi="MS PGothic"/>
          <w:sz w:val="13"/>
          <w:szCs w:val="13"/>
          <w:color w:val="auto"/>
        </w:rPr>
      </w:pPr>
    </w:p>
    <w:p>
      <w:pPr>
        <w:ind w:left="980" w:right="22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obtaining, maintaining and expanding patent protection, trade secret protection and regulatory exclusivity, both in the United States and internationally;</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protecting our rights in our intellectual property portfolio, including our licensed intellectual property;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defending against third-party interference or infringement claims, if any;</w:t>
      </w:r>
    </w:p>
    <w:p>
      <w:pPr>
        <w:spacing w:after="0" w:line="34"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entering into, on favorable terms, any collaboration, licensing or other arrangements that may be necessary or desirable to develop, manufacture or commercialize our product candidates;</w:t>
      </w:r>
    </w:p>
    <w:p>
      <w:pPr>
        <w:spacing w:after="0" w:line="22"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negotiating favorable terms in any collaboration, licensing or other arrangements that may be necessary to develop, manufacture or commercialize our product candidate;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attracting, hiring and retaining qualified personnel.</w:t>
      </w:r>
    </w:p>
    <w:p>
      <w:pPr>
        <w:spacing w:after="0" w:line="15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73" w:lineRule="exact"/>
        <w:rPr>
          <w:sz w:val="20"/>
          <w:szCs w:val="20"/>
          <w:color w:val="auto"/>
        </w:rPr>
      </w:pPr>
    </w:p>
    <w:p>
      <w:pPr>
        <w:ind w:left="120" w:right="20"/>
        <w:spacing w:after="0" w:line="249" w:lineRule="auto"/>
        <w:rPr>
          <w:sz w:val="20"/>
          <w:szCs w:val="20"/>
          <w:color w:val="auto"/>
        </w:rPr>
      </w:pPr>
      <w:r>
        <w:rPr>
          <w:rFonts w:ascii="Arial" w:cs="Arial" w:eastAsia="Arial" w:hAnsi="Arial"/>
          <w:sz w:val="17"/>
          <w:szCs w:val="17"/>
          <w:b w:val="1"/>
          <w:bCs w:val="1"/>
          <w:i w:val="1"/>
          <w:iCs w:val="1"/>
          <w:color w:val="auto"/>
        </w:rPr>
        <w:t>We are substantially dependent on the success of our lead product candidate, ALX148, which is in clinical development and which has not completed a pivotal trial. If we do not obtain regulatory approval for and successfully commercialize ALX148 in one or more indications, or we experience significant delays in doing so, we may never generate any revenue or become profitable.</w:t>
      </w:r>
    </w:p>
    <w:p>
      <w:pPr>
        <w:spacing w:after="0" w:line="141"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ALX148, in our ongoing clinical trials. As a result, our business currently depends heavily on the successful development, regulatory approval and, if approved, commercialization of ALX148 in one or more of these indications, such as myelodysplastic syndromes, or MDS, acute myeloid leukemia, or AML, head and neck squamous cell carcinoma, or HNSCC, or gastric/gastroesophageal junction, or GEJ, carcinoma. We cannot be certain that ALX148 will receive regulatory approval or will be successfully commercialized even if it receives regulatory approval. The research, testing, manufacturing, safety, efficacy and potency, labeling, approval, sale, marketing and distribution of ALX148 is, and will remain, subject to comprehensive regulation by the FDA and similar foreign regulatory authorities. Our failure to timely complete clinical trials, obtain regulatory approval or, if approved, commercialize ALX148 or any of our future product candidates, would materially harm our business, financial condition and results of operations. We are not permitted to market or promote ALX148, or any other product candidate, before we receive marketing approval from the FDA and comparable foreign regulatory authorities, and we may never receive such marketing approvals. If we do not receive marketing approvals for ALX148, we may not be able to continue our operations.</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60"/>
          </w:cols>
          <w:pgMar w:left="32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143"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15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ALX148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28"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125"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preclinical development and then extensive clinical trials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15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do not know whether our future clinical trials will begin on time or enroll subjects on time or whether our ongoing and/or future clinical trials will be completed on schedule or at all. Clinical trials can be delayed for a variety of reasons, including delays related to:</w:t>
      </w:r>
    </w:p>
    <w:p>
      <w:pPr>
        <w:spacing w:after="0" w:line="185" w:lineRule="exact"/>
        <w:rPr>
          <w:sz w:val="20"/>
          <w:szCs w:val="20"/>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obtaining approval to commence a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reaching agreement on acceptable terms with prospective CROs and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obtaining institutional review board approval at each clinical trial site;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adding necessary new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recruiting suitable subjects to participate in a trial; failing in having clinical trial sites or subjects comply with trial protocols;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suffering clinical trial sites or subjects dropping out of trials;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manufacturing sufficient quantities of product candidate for use in clinical trials.</w:t>
      </w:r>
    </w:p>
    <w:p>
      <w:pPr>
        <w:spacing w:after="0" w:line="156"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receipt of marketing approval or our ability to commercialize our product candidates, including:</w:t>
      </w:r>
    </w:p>
    <w:p>
      <w:pPr>
        <w:spacing w:after="0" w:line="185" w:lineRule="exact"/>
        <w:rPr>
          <w:sz w:val="20"/>
          <w:szCs w:val="20"/>
          <w:color w:val="auto"/>
        </w:rPr>
      </w:pPr>
    </w:p>
    <w:p>
      <w:pPr>
        <w:ind w:left="5540" w:right="2360" w:hanging="4992"/>
        <w:spacing w:after="0" w:line="423" w:lineRule="auto"/>
        <w:tabs>
          <w:tab w:leader="none" w:pos="986"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 xml:space="preserve">receipt of feedback from regulatory authorities that requires us to modify the design of our clinical trials; </w:t>
      </w:r>
      <w:r>
        <w:rPr>
          <w:rFonts w:ascii="Arial" w:cs="Arial" w:eastAsia="Arial" w:hAnsi="Arial"/>
          <w:sz w:val="16"/>
          <w:szCs w:val="16"/>
          <w:color w:val="auto"/>
        </w:rPr>
        <w:t>16</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92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negative or inconclusive clinical trial results that may require us to conduct additional clinical trials or abandon certain drug development programs;</w:t>
      </w:r>
    </w:p>
    <w:p>
      <w:pPr>
        <w:spacing w:after="0" w:line="22"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number of subjects required for clinical trials being larger than anticipated, enrollment in these clinical trials being slower than anticipated or subjects dropping out of these clinical trials at a higher rate than anticipated;</w:t>
      </w:r>
    </w:p>
    <w:p>
      <w:pPr>
        <w:spacing w:after="0" w:line="22"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delays in clinical trials due to outbreaks or public health crises, such as the COVID-19 pandemic, that impact both trial site operations and subject selection;</w:t>
      </w:r>
    </w:p>
    <w:p>
      <w:pPr>
        <w:spacing w:after="0" w:line="22"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third-party contractors failing to comply with regulatory requirements or meet their contractual obligations to us in a timely manner, or at all;</w:t>
      </w:r>
    </w:p>
    <w:p>
      <w:pPr>
        <w:spacing w:after="0" w:line="22" w:lineRule="exact"/>
        <w:rPr>
          <w:rFonts w:ascii="MS PGothic" w:cs="MS PGothic" w:eastAsia="MS PGothic" w:hAnsi="MS PGothic"/>
          <w:sz w:val="13"/>
          <w:szCs w:val="13"/>
          <w:color w:val="auto"/>
        </w:rPr>
      </w:pPr>
    </w:p>
    <w:p>
      <w:pPr>
        <w:ind w:left="980" w:right="52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cost of clinical trials of our product candidates are greater than anticipated;</w:t>
      </w:r>
    </w:p>
    <w:p>
      <w:pPr>
        <w:spacing w:after="0" w:line="34"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supply or quality of our product candidates or other materials necessary to conduct clinical trials of our product candidates being insufficient or inadequate;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regulators revising the requirements for approving our product candidates.</w:t>
      </w:r>
    </w:p>
    <w:p>
      <w:pPr>
        <w:spacing w:after="0" w:line="156"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147"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December 2020, the FDA verbally informed us, that given our planned initiation of two Phase 2 HNSCC clinical trials that could be potentially registrational, they require completion of a routine non-clinical safety study that we currently have in process. The FDA noted that for any drug development program moving swiftly through development, this non-clinical study is still required prior to the initiation of a clinical trial that could be considered pivotal. We are allowed to initiate both Phase 2 HNSCC clinical trials with the enrollment capped at a total of 50 subjects treated with ALX148 across both trials (excluding safety lead-in cohorts) pending acceptance of the non-clinical safety study report. We expect to provide the required report to the FDA prior to reaching the 50-patient enrollment cap. While this cap on enrollment is defined as a partial clinical hold, no delays are anticipated in our current clinical trial timelines. Delays in our clinical trials may result in increased development costs for our product candidates and jeopardize our ability to obtain marketing approval for the sale of our drugs.</w:t>
      </w:r>
    </w:p>
    <w:p>
      <w:pPr>
        <w:spacing w:after="0" w:line="149" w:lineRule="exact"/>
        <w:rPr>
          <w:sz w:val="20"/>
          <w:szCs w:val="20"/>
          <w:color w:val="auto"/>
        </w:rPr>
      </w:pPr>
    </w:p>
    <w:p>
      <w:pPr>
        <w:ind w:left="120" w:right="560"/>
        <w:spacing w:after="0" w:line="243" w:lineRule="auto"/>
        <w:rPr>
          <w:sz w:val="20"/>
          <w:szCs w:val="20"/>
          <w:color w:val="auto"/>
        </w:rPr>
      </w:pPr>
      <w:r>
        <w:rPr>
          <w:rFonts w:ascii="Arial" w:cs="Arial" w:eastAsia="Arial" w:hAnsi="Arial"/>
          <w:sz w:val="17"/>
          <w:szCs w:val="17"/>
          <w:color w:val="auto"/>
        </w:rPr>
        <w:t>We do not know whether any clinical trials we may conduct will demonstrate consistent or adequate safety, purity and efficacy and potency sufficient to obtain marketing approval or our product candidates or to market our drugs after any such approval.</w:t>
      </w:r>
    </w:p>
    <w:p>
      <w:pPr>
        <w:spacing w:after="0" w:line="124" w:lineRule="exact"/>
        <w:rPr>
          <w:sz w:val="20"/>
          <w:szCs w:val="20"/>
          <w:color w:val="auto"/>
        </w:rPr>
      </w:pPr>
    </w:p>
    <w:p>
      <w:pPr>
        <w:ind w:left="120" w:right="380"/>
        <w:spacing w:after="0" w:line="267"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subjects in clinical trials and/or retention of subjects in clinical trials, our regulatory submissions or receipt of necessary marketing approvals could be delayed or prevented.</w:t>
      </w:r>
    </w:p>
    <w:p>
      <w:pPr>
        <w:spacing w:after="0" w:line="125"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ALX148 are focused on indications with small patient populations, our ability to enroll eligible subjects may be limited or may result in slower enrollment than we anticipate.</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Enrollment of subjects in our clinical trials may be delayed or limited if our clinical trial sites limit their onsite staff or temporarily close as a result of the COVID-19 pandemic. In addition, subjects may not be able to visit clinical trial sites for dosing or data collection purposes due to limitations on travel and physical distancing imposed or recommended by federal or state governments or subjects’ reluctance to visit the clinical trial sites during the pandemic. The drop-out rates in our clinical trials may be increased during the pandemic. Subjects who enroll in our clinical trials and then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151"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Subject enrollment may also be affected if our competitors have ongoing clinical trials for product candidates that are under development for the same indications as our product candidates, and patients who would otherwise be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eligible for our clinical trials instead enroll in clinical trials of our competitors’ product candidates. Subject enrollment may also be affected by other factors, including:</w:t>
      </w:r>
    </w:p>
    <w:p>
      <w:pPr>
        <w:spacing w:after="0" w:line="185" w:lineRule="exact"/>
        <w:rPr>
          <w:sz w:val="20"/>
          <w:szCs w:val="20"/>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size and nature of the patient population;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severity of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availability and efficacy or potency of approved drugs for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patient eligibility criteria for the trial in question;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perceived risks and benefits of the product candidate under study;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efforts to facilitate timely enrollment in clinical trials by us and the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patient referral practices of physicians;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ability to monitor subjects adequately during and after the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proximity of clinical trial sites to prospective subjects;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risk of subjects enrolled in clinical trials dropping out before completion; and</w:t>
      </w:r>
    </w:p>
    <w:p>
      <w:pPr>
        <w:spacing w:after="0" w:line="34" w:lineRule="exact"/>
        <w:rPr>
          <w:rFonts w:ascii="MS PGothic" w:cs="MS PGothic" w:eastAsia="MS PGothic" w:hAnsi="MS PGothic"/>
          <w:sz w:val="13"/>
          <w:szCs w:val="13"/>
          <w:color w:val="auto"/>
        </w:rPr>
      </w:pPr>
    </w:p>
    <w:p>
      <w:pPr>
        <w:ind w:left="980" w:right="600" w:hanging="432"/>
        <w:spacing w:after="0" w:line="243"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inability or delay in enrollment of subjects due to a variety of reasons, including outbreaks and public health crises, such as the COVID-19 pandemic.</w:t>
      </w:r>
    </w:p>
    <w:p>
      <w:pPr>
        <w:spacing w:after="0" w:line="144"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7"/>
          <w:szCs w:val="17"/>
          <w:color w:val="auto"/>
        </w:rPr>
        <w:t>Our inability to enroll a sufficient number of subjects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27"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125"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130" w:lineRule="exact"/>
        <w:rPr>
          <w:sz w:val="20"/>
          <w:szCs w:val="20"/>
          <w:color w:val="auto"/>
        </w:rPr>
      </w:pPr>
    </w:p>
    <w:p>
      <w:pPr>
        <w:ind w:left="120" w:right="40"/>
        <w:spacing w:after="0" w:line="249" w:lineRule="auto"/>
        <w:rPr>
          <w:sz w:val="20"/>
          <w:szCs w:val="20"/>
          <w:color w:val="auto"/>
        </w:rPr>
      </w:pPr>
      <w:r>
        <w:rPr>
          <w:rFonts w:ascii="Arial" w:cs="Arial" w:eastAsia="Arial" w:hAnsi="Arial"/>
          <w:sz w:val="17"/>
          <w:szCs w:val="17"/>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141"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If ALX148 or any of our other product candidates are associated with undesirable side effects or have unexpected characteristics in preclinical studies or clinical trials when used alone or in combination with other approved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each of the trial cohorts in our ALX148 combination clinical trials with pembrolizumab, trastuzumab and rituximab in a heavily pre-treated group of subjects who are typical participants in early stage cancer trials and are often hematologically fragile at baseline. Subjects in our ALX148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ALX148 or any of our future product candidates, including in combination therapy, may prevent us from achieving or maintaining market acceptance of the affected product candidate and may harm our business, financial condition and prospects significantly.</w:t>
      </w:r>
    </w:p>
    <w:p>
      <w:pPr>
        <w:spacing w:after="0" w:line="133" w:lineRule="exact"/>
        <w:rPr>
          <w:sz w:val="20"/>
          <w:szCs w:val="20"/>
          <w:color w:val="auto"/>
        </w:rPr>
      </w:pPr>
    </w:p>
    <w:p>
      <w:pPr>
        <w:ind w:left="120" w:right="560"/>
        <w:spacing w:after="0" w:line="267"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we do.</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Apexigen, Arch Therapeutics, Bristol Myers Squibb, Gilead Sciences (through its acquisition of Forty Seven), I-Mab, Innovent, Kahr, Novimmune, OSE Immunotherapeutics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ALX148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4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131"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 and oversight.</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148"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191" w:lineRule="exact"/>
        <w:rPr>
          <w:sz w:val="20"/>
          <w:szCs w:val="20"/>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delays in or the rejection of product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restrictions on the products, manufacturers or manufacturing process;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warning or untitled letters;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civil and criminal penalties;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injunctions;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suspension or withdrawal of regulatory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product seizures, detentions or import bans;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voluntary or mandatory product recalls and publicity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total or partial suspension of production;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imposition of restrictions on operations, including costly new manufacturing requirements.</w:t>
      </w:r>
    </w:p>
    <w:p>
      <w:pPr>
        <w:spacing w:after="0" w:line="156"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The occurrence of any of these sanctions, enforcement actions or penalties described above may inhibit our ability to commercialize our product candidates, even if approved, and generate revenue.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both"/>
        <w:ind w:left="120" w:right="80"/>
        <w:spacing w:after="0" w:line="249" w:lineRule="auto"/>
        <w:rPr>
          <w:sz w:val="20"/>
          <w:szCs w:val="20"/>
          <w:color w:val="auto"/>
        </w:rPr>
      </w:pPr>
      <w:r>
        <w:rPr>
          <w:rFonts w:ascii="Arial" w:cs="Arial" w:eastAsia="Arial" w:hAnsi="Arial"/>
          <w:sz w:val="17"/>
          <w:szCs w:val="17"/>
          <w:b w:val="1"/>
          <w:bCs w:val="1"/>
          <w:i w:val="1"/>
          <w:iCs w:val="1"/>
          <w:color w:val="auto"/>
        </w:rPr>
        <w:t>We rely on Tallac Therapeutics, a third-party service provider, to conduct substantially all of our preclinical research activities. If Tallac Therapeutics does not successfully carry out its contractual duties or meet expected deadlines, there may be disruptions or delays to our development pipeline and our business could be substantially harmed.</w:t>
      </w:r>
    </w:p>
    <w:p>
      <w:pPr>
        <w:spacing w:after="0" w:line="1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do not have the ability to independently conduct our preclinical research activities as we rely on a third-party service provider to conduct all of our preclinical research activities. Effective as of July 1, 2020, we transferred all of our preclinical research capabilities and nine of our employees, including our former Chief Scientific Officer, Dr. Hong Wan,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 For additional information regarding our arrangements with Tallac Therapeutics, please see “Certain Relationships and Related-Party Transactions—Tallac Therapeutics Agreements.”</w:t>
      </w:r>
    </w:p>
    <w:p>
      <w:pPr>
        <w:spacing w:after="0" w:line="151"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delayed or terminated, and there may be disruptions or delays to our development pipeline. As a result, our product candidate research and development efforts may be delayed or harmed, and our costs could increase and our future ability to generate revenues could be delayed.</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Further, Tallac Therapeutics’ employees are not our employees, and we will not be able to control, other than by contract, the amount of resources, including time, that they devote to our preclinical research efforts and studies. If Tallac Therapeutics fails to devote sufficient resources to the research and development of our preclinical research programs and studies, or if its performance is substandard, it may delay or compromise the prospects for approval and commercialization of any product candidates that we develop.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our relationship with Tallac Therapeutics terminates, we may not be able to enter into arrangements with alternative providers or do so in a timely manner or on commercially reasonable terms. If the Tallac Services Agreement is terminated, replacing Tallac Therapeutics or adding additional preclinical research providers will involve additional costs and divert our management’s time and focus. In addition, there is a natural transition period when a new service provider commences work. As a result, delays may occur, which can materially impact our ability to meet our desired preclinical timelines. Since Tallac Therapeutics is an early-stage company with a limited operating history, it may face challenges to its business and cease to operate, and we may need to engage replacement service providers on an accelerated timeline and on even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40"/>
        <w:spacing w:after="0" w:line="244"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14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1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52" w:lineRule="exact"/>
        <w:rPr>
          <w:sz w:val="20"/>
          <w:szCs w:val="20"/>
          <w:color w:val="auto"/>
        </w:rPr>
      </w:pPr>
    </w:p>
    <w:p>
      <w:pPr>
        <w:ind w:left="120" w:right="540"/>
        <w:spacing w:after="0" w:line="238" w:lineRule="auto"/>
        <w:rPr>
          <w:sz w:val="20"/>
          <w:szCs w:val="20"/>
          <w:color w:val="auto"/>
        </w:rPr>
      </w:pPr>
      <w:r>
        <w:rPr>
          <w:rFonts w:ascii="Arial" w:cs="Arial" w:eastAsia="Arial" w:hAnsi="Arial"/>
          <w:sz w:val="17"/>
          <w:szCs w:val="17"/>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14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also expect to rely on other third parties to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147"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Material modifications in the methods of product candidate manufacturing or formulation may result in additional costs or delay.</w:t>
      </w:r>
    </w:p>
    <w:p>
      <w:pPr>
        <w:spacing w:after="0" w:line="176" w:lineRule="exact"/>
        <w:rPr>
          <w:sz w:val="20"/>
          <w:szCs w:val="20"/>
          <w:color w:val="auto"/>
        </w:rPr>
      </w:pPr>
    </w:p>
    <w:p>
      <w:pPr>
        <w:ind w:left="120" w:right="340"/>
        <w:spacing w:after="0" w:line="236" w:lineRule="auto"/>
        <w:rPr>
          <w:sz w:val="20"/>
          <w:szCs w:val="20"/>
          <w:color w:val="auto"/>
        </w:rPr>
      </w:pPr>
      <w:r>
        <w:rPr>
          <w:rFonts w:ascii="Arial" w:cs="Arial" w:eastAsia="Arial" w:hAnsi="Arial"/>
          <w:sz w:val="17"/>
          <w:szCs w:val="17"/>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Lack of third-party combination drugs may materially and adversely affect demand for our product candidates.</w:t>
      </w:r>
    </w:p>
    <w:p>
      <w:pPr>
        <w:spacing w:after="0" w:line="17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Our product candidates may be administered in combination with drugs of other pharmaceutical companies as one regimen. In addition, we plan to use third-party drugs in our development and clinical trials as controls for our studies, such as our current plans to conduct Phase 2 clinical trials of ALX148 in combination with pembrolizumab for HNSCC and trastuzumab for gastric/GEJ carcinoma. As a result, both the results of our clinical trials and the sales of our drugs may be affected by the availability of these third-party drugs. For instance, we entered into clinical trial collaboration and supply agreements with Merck and Zymeworks, pursuant to which Merck and Zymeworks will supply doses of pembrolizumab and zanidatamab, respectively, for use in certain of our clinical trials. If these agreements are terminated before our trials are completed, we may need to find another source of pembrolizumab or zanidatamab in order to continue our trial.</w:t>
      </w:r>
    </w:p>
    <w:p>
      <w:pPr>
        <w:spacing w:after="0" w:line="15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130"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14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51"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147"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Our business also may be implicated if any of our CROs violates fraud and abuse or false claims laws and regulations or healthcare privacy and security laws.</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134"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125"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ALX148 and any other product candidates, if any are approved, will depend on a number of factors, including, among others:</w:t>
      </w:r>
    </w:p>
    <w:p>
      <w:pPr>
        <w:spacing w:after="0" w:line="190" w:lineRule="exact"/>
        <w:rPr>
          <w:sz w:val="20"/>
          <w:szCs w:val="20"/>
          <w:color w:val="auto"/>
        </w:rPr>
      </w:pPr>
    </w:p>
    <w:p>
      <w:pPr>
        <w:ind w:left="980" w:right="16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ability of ALX148 and our other product candidates to treat cancer or other applicable targeted diseases, as compared with other available drugs, treatments or therapies;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timing of market introduction of the product candidate as well as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clinical indications for which a product candidate is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approval of other new therapies for the same indications;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prevalence and severity of any adverse side effects associated with ALX148 and our other product candidates;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limitations or warnings contained in the labeling approved for ALX148 or our other product candidates by the FDA or foreign regulatory authorities;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34"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size of the target patient population and the willingness of the target patient population to try new therapies and of physicians to prescribe these therapies;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strength and effectiveness of marketing and distribution support and timing of market introduction of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publicity for our product candidates and competing products and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pricing and cost-effectiveness in relation to alternative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relative convenience and ease of administration;</w:t>
      </w:r>
    </w:p>
    <w:p>
      <w:pPr>
        <w:spacing w:after="0" w:line="34"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our ability to obtain sufficient third-party coverage or reimbursement, and the willingness of patients to pay out-of-pocket in the absence of third-party coverage; and</w:t>
      </w:r>
    </w:p>
    <w:p>
      <w:pPr>
        <w:spacing w:after="0" w:line="22"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likelihood that the FDA or any foreign regulatory authority may impose additional requirements that limit the promotion, advertising, distribution or sales of our product candidates.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ALX148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148"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124"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125"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We currently have no marketing and sales organization and we have never commercialized a product candidate. To achieve commercial success of our product candidates, if any are approved, we will have to develop our own sales, marketing and supply capabilities or outsource these activities to a third party.</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market opportunities for the product candidates we develop, if approved, may be limited to certain smaller patient subsets.</w:t>
      </w:r>
    </w:p>
    <w:p>
      <w:pPr>
        <w:spacing w:after="0" w:line="176"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FDA, may require us to narrow our indications to smaller patient subsets, and the number of patients in such subsets may turn out to be lower than expected.</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14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lead product candidate, ALX148, is at an early stage of clinical development and not all adverse effects can be predicted or anticipated. Unforeseen side effects from ALX148 or any of our future product candidates may arise at any time during clinical development or, if approved by regulatory authorities, after the approved drug product has been marketed. Any undesirable or unacceptable side effects of ALX148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149"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Even if any of our product candidates receive marketing approval, if we or others later identify undesirable or unacceptable side effects caused by such products:</w:t>
      </w:r>
    </w:p>
    <w:p>
      <w:pPr>
        <w:spacing w:after="0" w:line="185" w:lineRule="exact"/>
        <w:rPr>
          <w:sz w:val="20"/>
          <w:szCs w:val="20"/>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us to take our approved product off the market;</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the addition of labeling statements, specific warnings, contraindication, precaution or field alerts to physicians and pharmacies;</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we may be required to change the way the product is administered, limit the patient population who can use the product or conduct additional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we may be subject to limitations on how we may promote the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sales of the product may decrease significantly;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we may be subject to litigation or product liability claims;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our reputation may suffer.</w:t>
      </w:r>
    </w:p>
    <w:p>
      <w:pPr>
        <w:spacing w:after="0" w:line="15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127" w:lineRule="exact"/>
        <w:rPr>
          <w:sz w:val="20"/>
          <w:szCs w:val="20"/>
          <w:color w:val="auto"/>
        </w:rPr>
      </w:pPr>
    </w:p>
    <w:p>
      <w:pPr>
        <w:ind w:left="120" w:right="200"/>
        <w:spacing w:after="0" w:line="267" w:lineRule="auto"/>
        <w:rPr>
          <w:sz w:val="20"/>
          <w:szCs w:val="20"/>
          <w:color w:val="auto"/>
        </w:rPr>
      </w:pPr>
      <w:r>
        <w:rPr>
          <w:rFonts w:ascii="Arial" w:cs="Arial" w:eastAsia="Arial" w:hAnsi="Arial"/>
          <w:sz w:val="17"/>
          <w:szCs w:val="17"/>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47"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4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191" w:lineRule="exact"/>
        <w:rPr>
          <w:sz w:val="20"/>
          <w:szCs w:val="20"/>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demand for any products for which we may obtain regulatory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our ability to set a price that we believe is fair for our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coverage and adequate reimbursement for a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w:t>
      </w:r>
    </w:p>
    <w:p>
      <w:pPr>
        <w:spacing w:after="0" w:line="176"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73" w:lineRule="exact"/>
        <w:rPr>
          <w:sz w:val="20"/>
          <w:szCs w:val="20"/>
          <w:color w:val="auto"/>
        </w:rPr>
      </w:pPr>
    </w:p>
    <w:p>
      <w:pPr>
        <w:ind w:left="120" w:right="580"/>
        <w:spacing w:after="0" w:line="267"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125"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compliance with cGMPs and cGCP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188" w:lineRule="exact"/>
        <w:rPr>
          <w:sz w:val="20"/>
          <w:szCs w:val="20"/>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the drug;</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withdrawal of the drug from the market or voluntary or mandatory product recalls;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adverse publicity, fines, warning letters or holds on clinical trials;</w:t>
      </w:r>
    </w:p>
    <w:p>
      <w:pPr>
        <w:spacing w:after="0" w:line="34" w:lineRule="exact"/>
        <w:rPr>
          <w:rFonts w:ascii="MS PGothic" w:cs="MS PGothic" w:eastAsia="MS PGothic" w:hAnsi="MS PGothic"/>
          <w:sz w:val="13"/>
          <w:szCs w:val="13"/>
          <w:color w:val="auto"/>
        </w:rPr>
      </w:pPr>
    </w:p>
    <w:p>
      <w:pPr>
        <w:ind w:left="980" w:right="84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refusal by the FDA or any other applicable regulatory authority to approve pending applications or supplements to approved applications filed by us, or suspension or revocation of product license approvals;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drug product seizure or detention, or refusal to permit the import or export of product candidates;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128"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14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ALX148 or any product candidates we may seek to develop in the future will 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96"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the design, implementation or results of our clinical trials;</w:t>
      </w:r>
    </w:p>
    <w:p>
      <w:pPr>
        <w:spacing w:after="0" w:line="34"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40" w:hanging="432"/>
        <w:spacing w:after="0" w:line="24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population studied in the clinical program may not be sufficiently broad or representative to assure efficacy and potency and safety in the full population for which we seek approval;</w:t>
      </w:r>
    </w:p>
    <w:p>
      <w:pPr>
        <w:spacing w:after="0" w:line="22"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our interpretation of data from preclinical studies or clinical trials;</w:t>
      </w:r>
    </w:p>
    <w:p>
      <w:pPr>
        <w:spacing w:after="0" w:line="22"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we may be unable to demonstrate to the FDA or comparable international regulatory authorities that a product candidate’s risk-benefit ratio for its proposed indication is acceptable;</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22"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approval policies or regulations of the FDA or international foreign regulatory authorities may significantly change in a manner rendering our clinical data insufficient for approval.</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28" w:lineRule="exact"/>
        <w:rPr>
          <w:sz w:val="20"/>
          <w:szCs w:val="20"/>
          <w:color w:val="auto"/>
        </w:rPr>
      </w:pPr>
    </w:p>
    <w:p>
      <w:pPr>
        <w:ind w:left="120" w:right="340"/>
        <w:spacing w:after="0" w:line="267" w:lineRule="auto"/>
        <w:rPr>
          <w:sz w:val="20"/>
          <w:szCs w:val="20"/>
          <w:color w:val="auto"/>
        </w:rPr>
      </w:pPr>
      <w:r>
        <w:rPr>
          <w:rFonts w:ascii="Arial" w:cs="Arial" w:eastAsia="Arial" w:hAnsi="Arial"/>
          <w:sz w:val="17"/>
          <w:szCs w:val="17"/>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125"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In February 2020, the FDA granted Fast Track designations to ALX148 for first-line HNSCC and for second-line treatment of advanced human epidermal growth factor receptor 2, or HER2-positive gastric/GEJ carcinoma.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ALX148,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29"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125"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We may seek Orphan Drug Designation for certain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 of marketing</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128" w:lineRule="exact"/>
        <w:rPr>
          <w:sz w:val="20"/>
          <w:szCs w:val="20"/>
          <w:color w:val="auto"/>
        </w:rPr>
      </w:pPr>
    </w:p>
    <w:p>
      <w:pPr>
        <w:ind w:left="120" w:right="400"/>
        <w:spacing w:after="0" w:line="267"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125"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90" w:lineRule="exact"/>
        <w:rPr>
          <w:sz w:val="20"/>
          <w:szCs w:val="20"/>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demand for our drugs, if we obtain regulatory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our ability to receive or set a price that we believe is fair for our drugs;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availability of capital.</w:t>
      </w:r>
    </w:p>
    <w:p>
      <w:pPr>
        <w:spacing w:after="0" w:line="15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March 2020, the U.S. Supreme Court agreed to hear the case, and arguments were held in November 2020, although it is unclear when a decision will be made. It is unclear how such litigation and other efforts to repeal and replace the ACA will impact the ACA and our business. Complying with any</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new legislation or reversing changes implemented under the ACA could be time-intensive and expensive, resulting in a material adverse effect on our business.</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in response to the COVID-19 pandemic, resulting in a material adverse effect on our business. For example, on August 6, 2020, the Trump administration issued another executive order that instructs the federal government to develop a list of “essential” medicines and then buy them and other medical supplies from U.S. 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w:t>
      </w:r>
    </w:p>
    <w:p>
      <w:pPr>
        <w:spacing w:after="0" w:line="1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Medicare Part D beneficiary monthly out-of-pocket expenses, and place limits on pharmaceutical price increases.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out-of-pocket costs of drug products paid by consumers. The HHS has solicited feedback on some of these measures and, at the same, has implemented others under its existing authority. For example, in May 2019, CMS issued a final rule to allow Medicare Advantage plans the option to use step therapy for Part B drugs beginning January 1, 2020, codifying a policy change that was effective January 1, 2019. While some of these and other measures may require additional authorization to become effective, Congress and the Trump administration have each indicated that they would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150"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20"/>
        <w:spacing w:after="0" w:line="236" w:lineRule="auto"/>
        <w:rPr>
          <w:sz w:val="20"/>
          <w:szCs w:val="20"/>
          <w:color w:val="auto"/>
        </w:rPr>
      </w:pPr>
      <w:r>
        <w:rPr>
          <w:rFonts w:ascii="Arial" w:cs="Arial" w:eastAsia="Arial" w:hAnsi="Arial"/>
          <w:sz w:val="17"/>
          <w:szCs w:val="17"/>
          <w:color w:val="auto"/>
        </w:rPr>
        <w:t>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149"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particularly in light of the recent presidential election,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30" w:lineRule="exact"/>
        <w:rPr>
          <w:sz w:val="20"/>
          <w:szCs w:val="20"/>
          <w:color w:val="auto"/>
        </w:rPr>
      </w:pPr>
    </w:p>
    <w:p>
      <w:pPr>
        <w:jc w:val="both"/>
        <w:ind w:left="120" w:right="300"/>
        <w:spacing w:after="0" w:line="244" w:lineRule="auto"/>
        <w:rPr>
          <w:sz w:val="20"/>
          <w:szCs w:val="20"/>
          <w:color w:val="auto"/>
        </w:rPr>
      </w:pPr>
      <w:r>
        <w:rPr>
          <w:rFonts w:ascii="Arial" w:cs="Arial" w:eastAsia="Arial" w:hAnsi="Arial"/>
          <w:sz w:val="17"/>
          <w:szCs w:val="17"/>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43" w:lineRule="exact"/>
        <w:rPr>
          <w:sz w:val="20"/>
          <w:szCs w:val="20"/>
          <w:color w:val="auto"/>
        </w:rPr>
      </w:pPr>
    </w:p>
    <w:p>
      <w:pPr>
        <w:jc w:val="both"/>
        <w:ind w:left="120" w:right="100"/>
        <w:spacing w:after="0" w:line="232" w:lineRule="auto"/>
        <w:rPr>
          <w:sz w:val="20"/>
          <w:szCs w:val="20"/>
          <w:color w:val="auto"/>
        </w:rPr>
      </w:pPr>
      <w:r>
        <w:rPr>
          <w:rFonts w:ascii="Arial" w:cs="Arial" w:eastAsia="Arial" w:hAnsi="Arial"/>
          <w:sz w:val="17"/>
          <w:szCs w:val="17"/>
          <w:color w:val="auto"/>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w:t>
      </w:r>
    </w:p>
    <w:p>
      <w:pPr>
        <w:ind w:left="120" w:right="300"/>
        <w:spacing w:after="0" w:line="234" w:lineRule="auto"/>
        <w:rPr>
          <w:sz w:val="20"/>
          <w:szCs w:val="20"/>
          <w:color w:val="auto"/>
        </w:rPr>
      </w:pPr>
      <w:r>
        <w:rPr>
          <w:rFonts w:ascii="Arial" w:cs="Arial" w:eastAsia="Arial" w:hAnsi="Arial"/>
          <w:sz w:val="17"/>
          <w:szCs w:val="17"/>
          <w:color w:val="auto"/>
        </w:rPr>
        <w:t>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190" w:lineRule="exact"/>
        <w:rPr>
          <w:sz w:val="20"/>
          <w:szCs w:val="20"/>
          <w:color w:val="auto"/>
        </w:rPr>
      </w:pPr>
    </w:p>
    <w:p>
      <w:pPr>
        <w:ind w:left="980" w:right="60" w:hanging="432"/>
        <w:spacing w:after="0" w:line="235"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w:t>
      </w:r>
    </w:p>
    <w:p>
      <w:pPr>
        <w:spacing w:after="0" w:line="26" w:lineRule="exact"/>
        <w:rPr>
          <w:rFonts w:ascii="MS PGothic" w:cs="MS PGothic" w:eastAsia="MS PGothic" w:hAnsi="MS PGothic"/>
          <w:sz w:val="13"/>
          <w:szCs w:val="13"/>
          <w:color w:val="auto"/>
        </w:rPr>
      </w:pPr>
    </w:p>
    <w:p>
      <w:pPr>
        <w:ind w:left="980" w:hanging="432"/>
        <w:spacing w:after="0" w:line="236"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civil False Claims Act, or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FCA. The criminal FCA provides for criminal penalties for submitting false claims, including imprisonment and criminal fines.</w:t>
      </w:r>
    </w:p>
    <w:p>
      <w:pPr>
        <w:spacing w:after="0" w:line="34" w:lineRule="exact"/>
        <w:rPr>
          <w:sz w:val="20"/>
          <w:szCs w:val="20"/>
          <w:color w:val="auto"/>
        </w:rPr>
      </w:pPr>
    </w:p>
    <w:p>
      <w:pPr>
        <w:ind w:left="980" w:right="40" w:hanging="432"/>
        <w:spacing w:after="0" w:line="235"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8" w:lineRule="exact"/>
        <w:rPr>
          <w:rFonts w:ascii="MS PGothic" w:cs="MS PGothic" w:eastAsia="MS PGothic" w:hAnsi="MS PGothic"/>
          <w:sz w:val="13"/>
          <w:szCs w:val="13"/>
          <w:color w:val="auto"/>
        </w:rPr>
      </w:pPr>
    </w:p>
    <w:p>
      <w:pPr>
        <w:ind w:left="980" w:right="60" w:hanging="432"/>
        <w:spacing w:after="0" w:line="235"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U.S. federal Health Insurance Portability and Accountability Act of 1996,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8" w:lineRule="exact"/>
        <w:rPr>
          <w:rFonts w:ascii="MS PGothic" w:cs="MS PGothic" w:eastAsia="MS PGothic" w:hAnsi="MS PGothic"/>
          <w:sz w:val="13"/>
          <w:szCs w:val="13"/>
          <w:color w:val="auto"/>
        </w:rPr>
      </w:pPr>
    </w:p>
    <w:p>
      <w:pPr>
        <w:ind w:left="980" w:hanging="432"/>
        <w:spacing w:after="0" w:line="234"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7"/>
          <w:szCs w:val="17"/>
          <w:i w:val="1"/>
          <w:iCs w:val="1"/>
          <w:color w:val="auto"/>
        </w:rPr>
        <w:t>i.e.</w:t>
      </w:r>
      <w:r>
        <w:rPr>
          <w:rFonts w:ascii="Arial" w:cs="Arial" w:eastAsia="Arial" w:hAnsi="Arial"/>
          <w:sz w:val="17"/>
          <w:szCs w:val="17"/>
          <w:color w:val="auto"/>
        </w:rPr>
        <w:t>,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27"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U.S. Federal Food, Drug and Cosmetic Act prohibits, among other things, the adulteration or misbranding of drugs, biologics and medical devices.</w:t>
      </w:r>
    </w:p>
    <w:p>
      <w:pPr>
        <w:spacing w:after="0" w:line="22" w:lineRule="exact"/>
        <w:rPr>
          <w:rFonts w:ascii="MS PGothic" w:cs="MS PGothic" w:eastAsia="MS PGothic" w:hAnsi="MS PGothic"/>
          <w:sz w:val="13"/>
          <w:szCs w:val="13"/>
          <w:color w:val="auto"/>
        </w:rPr>
      </w:pPr>
    </w:p>
    <w:p>
      <w:pPr>
        <w:ind w:left="980" w:right="140" w:hanging="432"/>
        <w:spacing w:after="0" w:line="234"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under the Physician Payments Sunshine Act to physician assistants, nurse practitioners and other mid-level practitioners, with reporting requirements beginning in 2022 for payments made or ownership or investment interests held in 2021.</w:t>
      </w:r>
    </w:p>
    <w:p>
      <w:pPr>
        <w:spacing w:after="0" w:line="26" w:lineRule="exact"/>
        <w:rPr>
          <w:rFonts w:ascii="MS PGothic" w:cs="MS PGothic" w:eastAsia="MS PGothic" w:hAnsi="MS PGothic"/>
          <w:sz w:val="13"/>
          <w:szCs w:val="13"/>
          <w:color w:val="auto"/>
        </w:rPr>
      </w:pPr>
    </w:p>
    <w:p>
      <w:pPr>
        <w:ind w:left="980" w:right="80" w:hanging="432"/>
        <w:spacing w:after="0" w:line="235"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26" w:lineRule="exact"/>
        <w:rPr>
          <w:rFonts w:ascii="MS PGothic" w:cs="MS PGothic" w:eastAsia="MS PGothic" w:hAnsi="MS PGothic"/>
          <w:sz w:val="13"/>
          <w:szCs w:val="13"/>
          <w:color w:val="auto"/>
        </w:rPr>
      </w:pPr>
    </w:p>
    <w:p>
      <w:pPr>
        <w:ind w:left="980" w:right="80" w:hanging="432"/>
        <w:spacing w:after="0" w:line="235"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200"/>
        <w:spacing w:after="0" w:line="235" w:lineRule="auto"/>
        <w:rPr>
          <w:sz w:val="20"/>
          <w:szCs w:val="20"/>
          <w:color w:val="auto"/>
        </w:rPr>
      </w:pPr>
      <w:r>
        <w:rPr>
          <w:rFonts w:ascii="Arial" w:cs="Arial" w:eastAsia="Arial" w:hAnsi="Arial"/>
          <w:sz w:val="17"/>
          <w:szCs w:val="17"/>
          <w:color w:val="auto"/>
        </w:rPr>
        <w:t>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28" w:lineRule="exact"/>
        <w:rPr>
          <w:sz w:val="20"/>
          <w:szCs w:val="20"/>
          <w:color w:val="auto"/>
        </w:rPr>
      </w:pPr>
    </w:p>
    <w:p>
      <w:pPr>
        <w:ind w:left="980" w:right="400" w:hanging="432"/>
        <w:spacing w:after="0" w:line="243"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European and other foreign law equivalents of each of the laws also impose legal requirements, including reporting requirements detailing interactions with and payments to healthcare providers.</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132" w:lineRule="exact"/>
        <w:rPr>
          <w:sz w:val="20"/>
          <w:szCs w:val="20"/>
          <w:color w:val="auto"/>
        </w:rPr>
      </w:pPr>
    </w:p>
    <w:p>
      <w:pPr>
        <w:jc w:val="both"/>
        <w:ind w:left="120" w:right="440"/>
        <w:spacing w:after="0" w:line="249" w:lineRule="auto"/>
        <w:rPr>
          <w:sz w:val="20"/>
          <w:szCs w:val="20"/>
          <w:color w:val="auto"/>
        </w:rPr>
      </w:pPr>
      <w:r>
        <w:rPr>
          <w:rFonts w:ascii="Arial" w:cs="Arial" w:eastAsia="Arial" w:hAnsi="Arial"/>
          <w:sz w:val="17"/>
          <w:szCs w:val="17"/>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1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131" w:lineRule="exact"/>
        <w:rPr>
          <w:sz w:val="20"/>
          <w:szCs w:val="20"/>
          <w:color w:val="auto"/>
        </w:rPr>
      </w:pPr>
    </w:p>
    <w:p>
      <w:pPr>
        <w:ind w:left="120" w:right="640"/>
        <w:spacing w:after="0" w:line="267" w:lineRule="auto"/>
        <w:rPr>
          <w:sz w:val="20"/>
          <w:szCs w:val="20"/>
          <w:color w:val="auto"/>
        </w:rPr>
      </w:pPr>
      <w:r>
        <w:rPr>
          <w:rFonts w:ascii="Arial" w:cs="Arial" w:eastAsia="Arial" w:hAnsi="Arial"/>
          <w:sz w:val="17"/>
          <w:szCs w:val="17"/>
          <w:b w:val="1"/>
          <w:bCs w:val="1"/>
          <w:i w:val="1"/>
          <w:iCs w:val="1"/>
          <w:color w:val="auto"/>
        </w:rPr>
        <w:t>If we do not comply with laws regulating the protection of the environment and health and human safety, our business could be adversely affected.</w:t>
      </w:r>
    </w:p>
    <w:p>
      <w:pPr>
        <w:spacing w:after="0" w:line="125"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134"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 Disruptions at the FDA and other agencies, such as recent furloughs or government shutdowns, may also slow the time necessary for new drugs to be reviewed and/or approved by necessary government agencies, which would adversely affect our business.</w:t>
      </w:r>
    </w:p>
    <w:p>
      <w:pPr>
        <w:spacing w:after="0" w:line="128"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1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business activities may be subject to the U.S.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130"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b w:val="1"/>
          <w:bCs w:val="1"/>
          <w:i w:val="1"/>
          <w:iCs w:val="1"/>
          <w:color w:val="auto"/>
        </w:rPr>
        <w:t>Data collection under European and U.S. laws is governed by restrictive regulations addressing the collection, use, processing and, in the case of Europe, cross-border transfer, of personal information.</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in part,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67"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European data protection laws also generally prohibit the transfer of personal data from Europe, including the European Economic Area,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recently invalidated by a decision of the European Union’s highest court. The same decision also cast doubt on the ability to use one of the primary alternatives to the Privacy Shield, namely, the European Commission’s Standard Contractual Clauses, to lawfully transfer personal data from Europe to the United States and most other countries. At present, there are few if any viable alternatives to the Privacy Shield and the Standard Contractual Clauses. To the extent that we were to rely on the EU-U.S. Privacy Shield Framework or the Standard Contractual Clauses, we will not be able to do so in the future, which could increase our costs and limit our ability to process personal data from the EU.</w:t>
      </w:r>
    </w:p>
    <w:p>
      <w:pPr>
        <w:spacing w:after="0" w:line="14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Further, Brexit has created uncertainty with regard to data protection regulation in the UK.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UK, including the GDPR, after which the GDPR will be converted into UK law. Beginning in 2021, the UK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Additionally, a new privacy law, the California Privacy Rights Act, or the CPRA, was approved by California voters in the election on November 3, 2020. The CPRA will modify the CCPA significantly, potentially resulting in further uncertainty and requiring us to incur additional costs and expenses in an effort to comply. As we expand our operations, preclinical studies and clinical trials, the CCPA and CPRA may increase our compliance costs and potential liability. Other states are beginning to consider and pass similar laws.</w:t>
      </w:r>
    </w:p>
    <w:p>
      <w:pPr>
        <w:spacing w:after="0" w:line="153"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73" w:lineRule="exact"/>
        <w:rPr>
          <w:sz w:val="20"/>
          <w:szCs w:val="20"/>
          <w:color w:val="auto"/>
        </w:rPr>
      </w:pPr>
    </w:p>
    <w:p>
      <w:pPr>
        <w:ind w:left="120" w:right="380"/>
        <w:spacing w:after="0" w:line="267" w:lineRule="auto"/>
        <w:rPr>
          <w:sz w:val="20"/>
          <w:szCs w:val="20"/>
          <w:color w:val="auto"/>
        </w:rPr>
      </w:pPr>
      <w:r>
        <w:rPr>
          <w:rFonts w:ascii="Arial" w:cs="Arial" w:eastAsia="Arial" w:hAnsi="Arial"/>
          <w:sz w:val="17"/>
          <w:szCs w:val="17"/>
          <w:b w:val="1"/>
          <w:bCs w:val="1"/>
          <w:i w:val="1"/>
          <w:iCs w:val="1"/>
          <w:color w:val="auto"/>
        </w:rPr>
        <w:t>If we are unable to obtain, maintain and enforce patent protection for our product candidates and related technology, our business could be materially harmed.</w:t>
      </w:r>
    </w:p>
    <w:p>
      <w:pPr>
        <w:spacing w:after="0" w:line="7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152"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claims we ultimately get allowed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 xml:space="preserve">narrowed, invalidated, circumvented or deemed unenforceable and such third parties may gain rights to such patents. We could also become involved in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opposition or derivation proceedings challenging our patent rights or the patent rights of others.</w:t>
      </w:r>
    </w:p>
    <w:p>
      <w:pPr>
        <w:spacing w:after="0" w:line="147"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152"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7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Additionally, the requirements for patentability may differ in certain countries. For example, in India, unlike the United States, there is no link between regulatory approval of a drug and its patent status, and patenting of medical uses of a claimed drug are 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31"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4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28"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b w:val="1"/>
          <w:bCs w:val="1"/>
          <w:i w:val="1"/>
          <w:iCs w:val="1"/>
          <w:color w:val="auto"/>
        </w:rPr>
        <w:t>Changes in patent laws or patent jurisprudence could diminish the value of patents in general, thereby impairing our ability to protect our product candidates.</w:t>
      </w:r>
    </w:p>
    <w:p>
      <w:pPr>
        <w:spacing w:after="0" w:line="125" w:lineRule="exact"/>
        <w:rPr>
          <w:sz w:val="20"/>
          <w:szCs w:val="20"/>
          <w:color w:val="auto"/>
        </w:rPr>
      </w:pPr>
    </w:p>
    <w:p>
      <w:pPr>
        <w:ind w:left="120" w:right="200"/>
        <w:spacing w:after="0" w:line="234"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15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154"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7"/>
          <w:szCs w:val="17"/>
          <w:i w:val="1"/>
          <w:iCs w:val="1"/>
          <w:color w:val="auto"/>
        </w:rPr>
        <w:t>e.g.</w:t>
      </w:r>
      <w:r>
        <w:rPr>
          <w:rFonts w:ascii="Arial" w:cs="Arial" w:eastAsia="Arial" w:hAnsi="Arial"/>
          <w:sz w:val="17"/>
          <w:szCs w:val="17"/>
          <w:color w:val="auto"/>
        </w:rPr>
        <w:t>, via post-grant reviews or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both"/>
        <w:ind w:left="120" w:right="80"/>
        <w:spacing w:after="0" w:line="248" w:lineRule="auto"/>
        <w:rPr>
          <w:sz w:val="20"/>
          <w:szCs w:val="20"/>
          <w:color w:val="auto"/>
        </w:rPr>
      </w:pP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reviews). Because of a lower evidentiary standard in USPTO proceedings compared to the evidentiary standard in U.S. federal court</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95"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Accordingly, a third party may attempt to use the USPTO procedures to invalidate our patent claims that would not have been invalidated if first challenged by the third party as a defendant in a district court action.</w:t>
      </w:r>
    </w:p>
    <w:p>
      <w:pPr>
        <w:spacing w:after="0" w:line="144"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7"/>
          <w:szCs w:val="17"/>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patents covering one or more of our product candidates could be found invalid or unenforceable if challenged.</w:t>
      </w:r>
    </w:p>
    <w:p>
      <w:pPr>
        <w:spacing w:after="0" w:line="17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48"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7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protection, prosecution, assertion and defense for some of our product candidates may be dependent on third parties.</w:t>
      </w:r>
    </w:p>
    <w:p>
      <w:pPr>
        <w:spacing w:after="0" w:line="17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There may be times in the future when certain patents that relate to our product candidates or any approved products are controlled by our licensees or licensors, such as with respect to our Stanford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128"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harmed. Adequate remedies may not exist in the event of unauthorized use or disclosure of our proprietary information.</w:t>
      </w:r>
    </w:p>
    <w:p>
      <w:pPr>
        <w:spacing w:after="0" w:line="136"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and trade secrets, which could be expensive, time-consuming and unsuccessful.</w:t>
      </w:r>
    </w:p>
    <w:p>
      <w:pPr>
        <w:spacing w:after="0" w:line="125"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50"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The following are examples of litigation and other adversarial proceedings or disputes that we could become a party to involving our patents or patents licensed to us:</w:t>
      </w:r>
    </w:p>
    <w:p>
      <w:pPr>
        <w:spacing w:after="0" w:line="185" w:lineRule="exact"/>
        <w:rPr>
          <w:sz w:val="20"/>
          <w:szCs w:val="20"/>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we may initiate litigation or other proceedings against third parties to enforce our patent and trade secret rights;</w:t>
      </w:r>
    </w:p>
    <w:p>
      <w:pPr>
        <w:spacing w:after="0" w:line="34" w:lineRule="exact"/>
        <w:rPr>
          <w:rFonts w:ascii="MS PGothic" w:cs="MS PGothic" w:eastAsia="MS PGothic" w:hAnsi="MS PGothic"/>
          <w:sz w:val="13"/>
          <w:szCs w:val="13"/>
          <w:color w:val="auto"/>
        </w:rPr>
      </w:pPr>
    </w:p>
    <w:p>
      <w:pPr>
        <w:ind w:left="980" w:right="700" w:hanging="432"/>
        <w:spacing w:after="0" w:line="24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22"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22" w:lineRule="exact"/>
        <w:rPr>
          <w:rFonts w:ascii="MS PGothic" w:cs="MS PGothic" w:eastAsia="MS PGothic" w:hAnsi="MS PGothic"/>
          <w:sz w:val="13"/>
          <w:szCs w:val="13"/>
          <w:color w:val="auto"/>
        </w:rPr>
      </w:pPr>
    </w:p>
    <w:p>
      <w:pPr>
        <w:ind w:left="980" w:right="120" w:hanging="432"/>
        <w:spacing w:after="0" w:line="238"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25"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128"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 We may become involved in lawsuits to protect or enforce our patents and trade secrets, which could be expensive, time consuming and unsuccessful.”</w:t>
      </w:r>
    </w:p>
    <w:p>
      <w:pPr>
        <w:spacing w:after="0" w:line="134" w:lineRule="exact"/>
        <w:rPr>
          <w:sz w:val="20"/>
          <w:szCs w:val="20"/>
          <w:color w:val="auto"/>
        </w:rPr>
      </w:pPr>
    </w:p>
    <w:p>
      <w:pPr>
        <w:ind w:left="120" w:right="260"/>
        <w:spacing w:after="0" w:line="267" w:lineRule="auto"/>
        <w:rPr>
          <w:sz w:val="20"/>
          <w:szCs w:val="20"/>
          <w:color w:val="auto"/>
        </w:rPr>
      </w:pPr>
      <w:r>
        <w:rPr>
          <w:rFonts w:ascii="Arial" w:cs="Arial" w:eastAsia="Arial" w:hAnsi="Arial"/>
          <w:sz w:val="17"/>
          <w:szCs w:val="17"/>
          <w:b w:val="1"/>
          <w:bCs w:val="1"/>
          <w:i w:val="1"/>
          <w:iCs w:val="1"/>
          <w:color w:val="auto"/>
        </w:rPr>
        <w:t>Our commercial success depends significantly on our ability to operate without infringing the patents and other proprietary rights of third parties.</w:t>
      </w:r>
    </w:p>
    <w:p>
      <w:pPr>
        <w:spacing w:after="0" w:line="125"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149" w:lineRule="exact"/>
        <w:rPr>
          <w:sz w:val="20"/>
          <w:szCs w:val="20"/>
          <w:color w:val="auto"/>
        </w:rPr>
      </w:pPr>
    </w:p>
    <w:p>
      <w:pPr>
        <w:ind w:left="120" w:right="60"/>
        <w:spacing w:after="0"/>
        <w:rPr>
          <w:sz w:val="20"/>
          <w:szCs w:val="20"/>
          <w:color w:val="auto"/>
        </w:rPr>
      </w:pPr>
      <w:r>
        <w:rPr>
          <w:rFonts w:ascii="Arial" w:cs="Arial" w:eastAsia="Arial" w:hAnsi="Arial"/>
          <w:sz w:val="17"/>
          <w:szCs w:val="17"/>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SIRPa, pathways, and others that are based on entirely different approaches. These patents and applications could potentially be construed to cover our product candidates and their use. For example, we are aware of a U.S. patent application owned by University Health Network, or UHN, and The Hospital for Sick Children that may encompass certain therapies for the treatment of cancer using polypeptides comprising soluble human SIRPa. This patent application relates to the treatment of cancer with polypeptides comprising soluble human SIRPa. Trillium Therapeutics, our competitor, has an exclusive license to the U.S. patent application, and the USPTO has issued a notice of allowance with respect to the patent application. The European counterpart patent (EP 2 429 574) was revoked by the European Patent Office and UHN and The Hospital for Sick</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Children have appealed the decision. The patent claims under the U.S. patent, if granted, and the European patent, if the appeal by UHN and The Hospital for Sick Children is successful, could potentially limit our ability to pursue ALX148 in certain new indications or geographies in the future. However, we believe that we do not infringe claims listed in the allowed U.S. patent application.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5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151"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intellectual property rights will not necessarily provide us with competitive advantages.</w:t>
      </w:r>
    </w:p>
    <w:p>
      <w:pPr>
        <w:spacing w:after="0" w:line="176"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85" w:lineRule="exact"/>
        <w:rPr>
          <w:sz w:val="20"/>
          <w:szCs w:val="20"/>
          <w:color w:val="auto"/>
        </w:rPr>
      </w:pPr>
    </w:p>
    <w:p>
      <w:pPr>
        <w:ind w:left="980" w:right="20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others may be able to make products that are similar to our product candidates but that are not covered by the claims of the patents that we own or have exclusively licensed;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others may independently develop similar or alternative technologies without infringing our intellectual property rights;</w:t>
      </w:r>
    </w:p>
    <w:p>
      <w:pPr>
        <w:spacing w:after="0" w:line="34"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issued patents that we own or have exclusively licensed may not provide us with competitive advantages, or may be held invalid or unenforceable, as a result of legal challenges by our competitors;</w:t>
      </w:r>
    </w:p>
    <w:p>
      <w:pPr>
        <w:spacing w:after="0" w:line="22" w:lineRule="exact"/>
        <w:rPr>
          <w:rFonts w:ascii="MS PGothic" w:cs="MS PGothic" w:eastAsia="MS PGothic" w:hAnsi="MS PGothic"/>
          <w:sz w:val="13"/>
          <w:szCs w:val="13"/>
          <w:color w:val="auto"/>
        </w:rPr>
      </w:pPr>
    </w:p>
    <w:p>
      <w:pPr>
        <w:ind w:left="980" w:right="140" w:hanging="432"/>
        <w:spacing w:after="0" w:line="238"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25"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we may fail to develop additional proprietary technologies that are patentable;</w:t>
      </w:r>
    </w:p>
    <w:p>
      <w:pPr>
        <w:spacing w:after="0" w:line="34"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patents of others may have an adverse effect on our business, for example by preventing us from marketing one or more of our product candidates for one or more indications.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 aforementioned threats to our competitive advantage could have a material adverse effect on our business.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480"/>
        <w:spacing w:after="0" w:line="267" w:lineRule="auto"/>
        <w:rPr>
          <w:sz w:val="20"/>
          <w:szCs w:val="20"/>
          <w:color w:val="auto"/>
        </w:rPr>
      </w:pPr>
      <w:r>
        <w:rPr>
          <w:rFonts w:ascii="Arial" w:cs="Arial" w:eastAsia="Arial" w:hAnsi="Arial"/>
          <w:sz w:val="17"/>
          <w:szCs w:val="17"/>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8" w:lineRule="exact"/>
        <w:rPr>
          <w:sz w:val="20"/>
          <w:szCs w:val="20"/>
          <w:color w:val="auto"/>
        </w:rPr>
      </w:pPr>
    </w:p>
    <w:p>
      <w:pPr>
        <w:ind w:left="120" w:right="300"/>
        <w:spacing w:after="0" w:line="267" w:lineRule="auto"/>
        <w:rPr>
          <w:sz w:val="20"/>
          <w:szCs w:val="20"/>
          <w:color w:val="auto"/>
        </w:rPr>
      </w:pPr>
      <w:r>
        <w:rPr>
          <w:rFonts w:ascii="Arial" w:cs="Arial" w:eastAsia="Arial" w:hAnsi="Arial"/>
          <w:sz w:val="17"/>
          <w:szCs w:val="17"/>
          <w:b w:val="1"/>
          <w:bCs w:val="1"/>
          <w:i w:val="1"/>
          <w:iCs w:val="1"/>
          <w:color w:val="auto"/>
        </w:rPr>
        <w:t>Our rights to develop and commercialize our product candidates may be subject, in part, to the terms and conditions of agreements with others.</w:t>
      </w:r>
    </w:p>
    <w:p>
      <w:pPr>
        <w:spacing w:after="0" w:line="125"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15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141"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Moreover, disputes may arise regarding intellectual property subject to a collaboration agreement, including:</w:t>
      </w:r>
    </w:p>
    <w:p>
      <w:pPr>
        <w:spacing w:after="0" w:line="196" w:lineRule="exact"/>
        <w:rPr>
          <w:sz w:val="20"/>
          <w:szCs w:val="20"/>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scope of the option or license rights granted under the agreement and other interpretation-related issues;</w:t>
      </w:r>
    </w:p>
    <w:p>
      <w:pPr>
        <w:spacing w:after="0" w:line="34"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extent to which our technology and processes infringe on intellectual property of the collaborator that is not subject to the option or license rights granted under the agreement;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sublicensing of patent and other rights under our collaborative development relationships;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our diligence obligations under the agreement and what activities satisfy those diligence obligations;</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inventorship and ownership of inventions and know-how resulting from the joint creation or use of intellectual property by our collaborators and us and our other partners;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priority of invention of patented technology.</w:t>
      </w:r>
    </w:p>
    <w:p>
      <w:pPr>
        <w:spacing w:after="0" w:line="15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w:t>
      </w:r>
    </w:p>
    <w:p>
      <w:pPr>
        <w:spacing w:after="0" w:line="73"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In order to successfully implement our plans and strategies, we will need to grow the size of our organization, and we may experience difficulties in managing this growth.</w:t>
      </w:r>
    </w:p>
    <w:p>
      <w:pPr>
        <w:spacing w:after="0" w:line="71"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As of September 30, 2020, we had 18 employees, including 8 employees engaged in research and development. In order to successfully implement our development and commercialization plans and strategies, and as we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190" w:lineRule="exact"/>
        <w:rPr>
          <w:sz w:val="20"/>
          <w:szCs w:val="20"/>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identifying, recruiting, integrating, maintaining and motivating additional employees;</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managing our internal development efforts effectively, including the clinical and FDA review process for ALX148 and any other future product candidates, while complying with any contractual obligations to contractors and other third parties we may have;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improving our operational, financial and management controls, reporting systems and procedures.</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Our future financial performance and our ability to successfully develop and, if approved, commercialize ALX148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ALX148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If we are not able to effectively expand our organization by hiring new employees and/or engaging additional third-party service providers, we may not be able to successfully implement the tasks necessary to further develop and commercialize ALX148 and other future product candidates and, accordingly, may not achieve our research, development and commercialization goals.</w:t>
      </w:r>
    </w:p>
    <w:p>
      <w:pPr>
        <w:spacing w:after="0" w:line="127"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Our product candidates are based on a novel technology, which makes it difficult to predict the time and cost of product candidate development.</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ALX148,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128" w:lineRule="exact"/>
        <w:rPr>
          <w:sz w:val="20"/>
          <w:szCs w:val="20"/>
          <w:color w:val="auto"/>
        </w:rPr>
      </w:pPr>
    </w:p>
    <w:p>
      <w:pPr>
        <w:ind w:left="120" w:right="460"/>
        <w:spacing w:after="0" w:line="267" w:lineRule="auto"/>
        <w:rPr>
          <w:sz w:val="20"/>
          <w:szCs w:val="20"/>
          <w:color w:val="auto"/>
        </w:rPr>
      </w:pPr>
      <w:r>
        <w:rPr>
          <w:rFonts w:ascii="Arial" w:cs="Arial" w:eastAsia="Arial" w:hAnsi="Arial"/>
          <w:sz w:val="17"/>
          <w:szCs w:val="17"/>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25"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5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48" w:lineRule="exact"/>
        <w:rPr>
          <w:sz w:val="20"/>
          <w:szCs w:val="20"/>
          <w:color w:val="auto"/>
        </w:rPr>
      </w:pPr>
    </w:p>
    <w:p>
      <w:pPr>
        <w:ind w:left="120" w:right="780"/>
        <w:spacing w:after="0" w:line="243" w:lineRule="auto"/>
        <w:rPr>
          <w:sz w:val="20"/>
          <w:szCs w:val="20"/>
          <w:color w:val="auto"/>
        </w:rPr>
      </w:pPr>
      <w:r>
        <w:rPr>
          <w:rFonts w:ascii="Arial" w:cs="Arial" w:eastAsia="Arial" w:hAnsi="Arial"/>
          <w:sz w:val="17"/>
          <w:szCs w:val="17"/>
          <w:color w:val="auto"/>
        </w:rPr>
        <w:t>Many of the other biotechnology companies that we compete against for qualified personnel have considerably more financial and other resources, different risk profiles and a more extended history in the industry than we do. They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134" w:lineRule="exact"/>
        <w:rPr>
          <w:sz w:val="20"/>
          <w:szCs w:val="20"/>
          <w:color w:val="auto"/>
        </w:rPr>
      </w:pPr>
    </w:p>
    <w:p>
      <w:pPr>
        <w:ind w:left="120" w:right="200"/>
        <w:spacing w:after="0" w:line="267" w:lineRule="auto"/>
        <w:rPr>
          <w:sz w:val="20"/>
          <w:szCs w:val="20"/>
          <w:color w:val="auto"/>
        </w:rPr>
      </w:pPr>
      <w:r>
        <w:rPr>
          <w:rFonts w:ascii="Arial" w:cs="Arial" w:eastAsia="Arial" w:hAnsi="Arial"/>
          <w:sz w:val="17"/>
          <w:szCs w:val="17"/>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125"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191" w:lineRule="exact"/>
        <w:rPr>
          <w:sz w:val="20"/>
          <w:szCs w:val="20"/>
          <w:color w:val="auto"/>
        </w:rPr>
      </w:pPr>
    </w:p>
    <w:p>
      <w:pPr>
        <w:ind w:left="980" w:right="280" w:hanging="432"/>
        <w:spacing w:after="0" w:line="238"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failure by us to obtain and maintain regulatory approvals for the use of our products in various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rejection or qualification of foreign clinical trial data by the competent authorities of other countries;</w:t>
      </w:r>
    </w:p>
    <w:p>
      <w:pPr>
        <w:spacing w:after="0" w:line="34"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complexities and difficulties in obtaining, maintaining, protecting and enforcing our intellectual property, including as a result of potentially relevant third-party patent rights;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difficulties in staffing and managing foreign operations;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limits in our ability to penetrate international markets;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financial risks, such as longer payment cycles, difficulty collecting accounts receivable, the impact of local and regional financial crises on demand and payment for our drugs;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exposure to foreign currency exchange rate fluctuations;</w:t>
      </w:r>
    </w:p>
    <w:p>
      <w:pPr>
        <w:spacing w:after="0" w:line="34"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political and economic instability, including wars, terrorism and political unrest, boycotts, curtailment of trade and other business restrictions;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natural disasters, outbreaks or public health crises, such as the COVID-19 pandemic;</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certain expenses including, among others, expenses for travel, translation and insurance; and</w:t>
      </w:r>
    </w:p>
    <w:p>
      <w:pPr>
        <w:spacing w:after="0" w:line="34" w:lineRule="exact"/>
        <w:rPr>
          <w:rFonts w:ascii="MS PGothic" w:cs="MS PGothic" w:eastAsia="MS PGothic" w:hAnsi="MS PGothic"/>
          <w:sz w:val="13"/>
          <w:szCs w:val="13"/>
          <w:color w:val="auto"/>
        </w:rPr>
      </w:pPr>
    </w:p>
    <w:p>
      <w:pPr>
        <w:jc w:val="both"/>
        <w:ind w:left="980" w:right="30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these factors could harm our future international expansion and operations and, consequently, our results of operations.</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560"/>
        <w:spacing w:after="0" w:line="249" w:lineRule="auto"/>
        <w:rPr>
          <w:sz w:val="20"/>
          <w:szCs w:val="20"/>
          <w:color w:val="auto"/>
        </w:rPr>
      </w:pPr>
      <w:r>
        <w:rPr>
          <w:rFonts w:ascii="Arial" w:cs="Arial" w:eastAsia="Arial" w:hAnsi="Arial"/>
          <w:sz w:val="17"/>
          <w:szCs w:val="17"/>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28"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149"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151"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Because we have limited financial and managerial resources, we focus on research programs that we identify for specific indications. As a result, we may forego or delay pursuit of opportunities with other product candidates or for</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0"/>
        <w:spacing w:after="0" w:line="243" w:lineRule="auto"/>
        <w:rPr>
          <w:sz w:val="20"/>
          <w:szCs w:val="20"/>
          <w:color w:val="auto"/>
        </w:rPr>
      </w:pPr>
      <w:r>
        <w:rPr>
          <w:rFonts w:ascii="Arial" w:cs="Arial" w:eastAsia="Arial" w:hAnsi="Arial"/>
          <w:sz w:val="17"/>
          <w:szCs w:val="17"/>
          <w:color w:val="auto"/>
        </w:rPr>
        <w:t>other indications that later prove to have greater commercial potential. Our resource allocation decisions may cause us to fail to capitalize on viable commercial therapies or profitable market opportunities.</w:t>
      </w:r>
    </w:p>
    <w:p>
      <w:pPr>
        <w:spacing w:after="0" w:line="144"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Our spending on current and future research and development programs, such as ALX148,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29" w:lineRule="exact"/>
        <w:rPr>
          <w:sz w:val="20"/>
          <w:szCs w:val="20"/>
          <w:color w:val="auto"/>
        </w:rPr>
      </w:pPr>
    </w:p>
    <w:p>
      <w:pPr>
        <w:ind w:left="120" w:right="740"/>
        <w:spacing w:after="0" w:line="267" w:lineRule="auto"/>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clinical trials and preclinical research.</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December 2019, COVID-19 was reported to have surfaced in Wuhan, China. Since then, the virus has spread to most other countries across the world, including all 50 states within the United States, resulting in the World Health Organization characterizing COVID-19 as a pandemic. As a result of measures imposed by the governments in affected regions, many commercial activities, businesses and schools have been suspended as part of quarantines and other measures intended to contain this pandemic. The extent to which the COVID-19 pandemic ultimately impacts our business will depend on future developments, which are highly uncertain and cannot be predicted, such as the duration of the outbreak,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to spread around the globe, we may experience disruptions that could severely impact our business, current and planned clinical trials and preclinical research, including:</w:t>
      </w:r>
    </w:p>
    <w:p>
      <w:pPr>
        <w:spacing w:after="0" w:line="188" w:lineRule="exact"/>
        <w:rPr>
          <w:sz w:val="20"/>
          <w:szCs w:val="20"/>
          <w:color w:val="auto"/>
        </w:rPr>
      </w:pPr>
    </w:p>
    <w:p>
      <w:pPr>
        <w:ind w:left="980" w:right="10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delays or difficulties in enrolling and retaining subjects, particularly elderly subjects, who are at a higher risk of severe illness or death from COVID-19, in our ongoing clinical trial of ALX148 and our future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difficulties interpreting data from our clinical trials due to the possible effects of COVID-19 on subjects;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clinical trials;</w:t>
      </w:r>
    </w:p>
    <w:p>
      <w:pPr>
        <w:spacing w:after="0" w:line="22"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interruption of key clinical trial activities, such as clinical trial site monitoring, due to limitations on travel imposed or recommended by federal or state governments, employers and others;</w:t>
      </w:r>
    </w:p>
    <w:p>
      <w:pPr>
        <w:spacing w:after="0" w:line="22"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25"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interruptions, difficulties or delays arising in our existing operations and company culture as a result of all of our employees working remotely, including those hired during the COVID-19 pandemic;</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delays in receiving approval from regulatory authorities to initiate our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interruptions in preclinical studies due to restricted or limited operations at the CROs conducting such studies;</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interruptions or delays in the operations of the FDA or other domestic or foreign regulatory authorities, which may impact review and approval timelines;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delays in receiving the supplies, materials and services needed to conduct clinical trials and preclinical research;</w:t>
      </w:r>
    </w:p>
    <w:p>
      <w:pPr>
        <w:spacing w:after="0" w:line="34"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which may result in unexpected costs or require us to discontinue the clinical trial altogether;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interruptions or delays to our development pipeline;</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0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delays in necessary interactions with regulators, ethics committees and other important agencies and contractors due to limitations in employee resources or forced furlough of government or contractor personnel;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refusal of the FDA to accept data from clinical trials in affected geographies outside of the United States.</w:t>
      </w:r>
    </w:p>
    <w:p>
      <w:pPr>
        <w:spacing w:after="0" w:line="156"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still assessing the impact that the COVID-19 pandemic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or due to shutdowns that may be requested or mandated by federal, state and local governmental authorities. For example, on March 16, 2020, San Mateo County, where our headquarters are located, issued a “shelter-in-place” order, effective March 17, 2020, and on March 19, 2020, the Executive Department of the State of California issued Executive Order N-33-20, ordering all individuals in the State of California to stay home or at their place of residence except as needed to maintain continuity of operations of the federal critical infrastructure sectors. Although San Mateo County and the State of California subsequently took steps toward reopening businesses, the State of California recently placed San Mateo County on its monitoring list due to an increase in the rate of COVID-19 cases in the county, reversing the reopening of many workplaces. In August 2020, California implemented the Blueprint for a Safer Economy, which uses COVID-19 case rates and test positivity rates in each county to determine the extent to which businesses may reopen. Under the Blueprint for a Safer Economy, most business operations in San Mateo County, where our primary operations are located, remain restricted. As a result of such state orders, the majority of our employees are currently telecommuting, which may impact certain of our operations over the near term and long term.</w:t>
      </w:r>
    </w:p>
    <w:p>
      <w:pPr>
        <w:spacing w:after="0" w:line="152"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Additionally, certain third parties with whom we engage or may engage, including collaborators, contract organizations, third-party manufacturers, suppliers, clinical trial sites, regulators and other third parties are similarly adjusting their operations and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there could be delays in the procurement of materials or manufacturing supply chains for one or more of our product candidates, which could delay or otherwise impact our preclinical studies and our planned clinical trials. Additionally, all of our preclinical studies are conducted by CROs, which could be discontinued or delayed as a result of the pandemic. It is also likely that the disproportionate impact of COVID-19 on hospitals and clinical sites will have an impact on recruitment and retention for our planned clinical trials. CROs have also made certain adjustments to the operation of such trials in an effort to ensure the monitoring and safety of patients and minimize risks to trial integrity during the pandemic in accordance with the guidance issued by the FDA and may need to make further adjustments in the future that could impact the timing or enrollment of our clinical trials. Many of these adjustments are new and untested, may not be effective, may increase costs and may have unforeseen effects on the enrollment, progress and completion of these trials and the findings from these trials. While we are currently continuing our clinical trials and preclinical studies, we may experience delays in the completion of our clinical trials, preclinical activities and subject enrollment, may need to suspend our clinical trials and may encounter other negative impacts to such trials due to the effects of the COVID-19 pandemic.</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Further, as a result of the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description of how the individual’s participation was altered; and analyses and corresponding discussions that address the impact of implemented contingency measures (</w:t>
      </w:r>
      <w:r>
        <w:rPr>
          <w:rFonts w:ascii="Arial" w:cs="Arial" w:eastAsia="Arial" w:hAnsi="Arial"/>
          <w:sz w:val="17"/>
          <w:szCs w:val="17"/>
          <w:i w:val="1"/>
          <w:iCs w:val="1"/>
          <w:color w:val="auto"/>
        </w:rPr>
        <w:t>e.g.</w:t>
      </w:r>
      <w:r>
        <w:rPr>
          <w:rFonts w:ascii="Arial" w:cs="Arial" w:eastAsia="Arial" w:hAnsi="Arial"/>
          <w:sz w:val="17"/>
          <w:szCs w:val="17"/>
          <w:color w:val="auto"/>
        </w:rPr>
        <w:t>,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150"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The COVID-19 pandemic continues to rapidly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47"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section and in this “Risk Factors” section.</w:t>
      </w:r>
    </w:p>
    <w:p>
      <w:pPr>
        <w:spacing w:after="0" w:line="124"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14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may seek to enter into collaborations, licenses and other similar arrangements for the development or commercialization of our product candidates, due to capital costs required to develop or commercialize the product candidate in such markets.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5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acquire businesses or assets and we may not realize the benefits of such acquisitions.</w:t>
      </w:r>
    </w:p>
    <w:p>
      <w:pPr>
        <w:spacing w:after="0" w:line="176"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We may acquire businesses or assets or create joint ventures with third parties that we believe may complement our existing product candidates. We may not be able to realize the benefit of acquiring such businesses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Also, the anticipated benefit of any joint venture or acquisition may not materialize or such joint venture or acquisition may be prohibited. The Loan Agreement which governs our term loan limits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28"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b w:val="1"/>
          <w:bCs w:val="1"/>
          <w:i w:val="1"/>
          <w:iCs w:val="1"/>
          <w:color w:val="auto"/>
        </w:rPr>
        <w:t>The terms of our Loan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4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 The $6.0 million in term loans under the Loan Agreement bear interest at a floating per annum interest rate equal to the greater of 7.0% or 2.0% plus the prime rate as reported in The Wall Street Journal. We are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Loan Agreement contains customary affirmative and negative covenants, indemnification provisions and events of default. The affirmative covenants include, among others, covenants requiring us and our subsidiaries to maintain legal existence and good standing, deliver certain financial reports, keep inventory in good and marketable condition, timely file tax returns and reports, maintain insurance, maintain operating accounts and maintain certain intellectual property rights. The negative covenants include, among others, restrictions on transferring or licensing our assets, changing our business, engaging in mergers or acquisitions, incurring additional indebtedness, paying dividends or making other distributions and creating other liens on our assets, in each case subject to customary exceptions.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080"/>
          </w:cols>
          <w:pgMar w:left="32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Lenders could declare a default under the Loan Agreement upon the occurrence of any event that the Lenders interpret as a material adverse change as defined under the Loan Agreement,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76"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subsequent shifts in our stock ownership, some of which are outside our control. As of December 31, 2019, we had net operating loss carryforwards for U.S. state income tax purposes of approximately $30.9 million, and our ability to utilize those net operating loss carryforwards could be limited by an “ownership change” as described above, which could result in increased tax liability to our company.</w:t>
      </w:r>
    </w:p>
    <w:p>
      <w:pPr>
        <w:spacing w:after="0" w:line="15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As of December 31, 2019, we had Irish net operating loss carryforwards of approximately $4.0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do not know whether an active, liquid and orderly trading market will be sustained for our common stock.</w:t>
      </w:r>
    </w:p>
    <w:p>
      <w:pPr>
        <w:spacing w:after="0" w:line="122" w:lineRule="exact"/>
        <w:rPr>
          <w:sz w:val="20"/>
          <w:szCs w:val="20"/>
          <w:color w:val="auto"/>
        </w:rPr>
      </w:pPr>
    </w:p>
    <w:p>
      <w:pPr>
        <w:jc w:val="both"/>
        <w:ind w:left="120" w:right="200"/>
        <w:spacing w:after="0" w:line="236" w:lineRule="auto"/>
        <w:rPr>
          <w:sz w:val="20"/>
          <w:szCs w:val="20"/>
          <w:color w:val="auto"/>
        </w:rPr>
      </w:pPr>
      <w:r>
        <w:rPr>
          <w:rFonts w:ascii="Arial" w:cs="Arial" w:eastAsia="Arial" w:hAnsi="Arial"/>
          <w:sz w:val="17"/>
          <w:szCs w:val="17"/>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129"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b w:val="1"/>
          <w:bCs w:val="1"/>
          <w:i w:val="1"/>
          <w:iCs w:val="1"/>
          <w:color w:val="auto"/>
        </w:rPr>
        <w:t>Investors in this offering will pay a much higher price than the book value of our common stock and therefore you will incur immediate and substantial dilution of your investment.</w:t>
      </w:r>
    </w:p>
    <w:p>
      <w:pPr>
        <w:spacing w:after="0" w:line="125"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The public offering price of our common stock in this offering will be substantially higher than the net tangible book value per common share based on the total value of our tangible assets less our total liabilities immediately following</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this offering. Therefore, if you purchase common stock in this offering, you will experience immediate and substantial dilution of approximately $65.33 per share, representing the difference between our as adjusted net tangible book value per share after giving effect to this offering and the public offering price of $76.00 per share. As of September 30, 2020, we had outstanding stock options to purchase 4,751,589 shares of our common stock, some of which have exercise prices below the initial public offering price. In addition, following this offering, purchasers in this offering will have contributed approximately 33.3% of the total gross consideration paid by stockholders to us to purchase shares of our common stock, but will own only approximately 6.0% of the shares of common stock outstanding immediately after this offering. Furthermore, if the underwriters exercise their option to purchase additional shares, or outstanding options and warrants are exercised, you could experience further dilution. For a further description of the dilution that you will experience immediately after this offering, see the section titled “Dilution.”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17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are beyond our control. We priced our initial public offering at $19.00 per share on July 16, 2020 and our common stock reached a high of $88.90 per share on November 23, 2020 and a low of $28.01 per share on July 23, 2020. On December 9, 2020, the last reported sale price of our common stock was $81.73 per share. In addition to those discussed in this “Risk Factors” section and elsewhere in this prospectus, the following factors may cause the market price of our common stock to fluctuate:</w:t>
      </w:r>
    </w:p>
    <w:p>
      <w:pPr>
        <w:spacing w:after="0" w:line="190" w:lineRule="exact"/>
        <w:rPr>
          <w:sz w:val="20"/>
          <w:szCs w:val="20"/>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results and timing of our preclinical studies and clinical trials and studies and trials of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failure or discontinuation of any of our development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issues in manufacturing our product candidates or any future approved products;</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regulatory developments or enforcement in the United States and foreign countries with respect to our product candidates or our competitors’ products;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competition from existing products or new products that may emerge;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our growth and development relative to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developments or disputes concerning patents or other proprietary rights;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introduction of new product candidates or technological innovations by us or our competitors;</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announcements by us, our future strategic partners or our competitors of significant acquisitions, strategic partnerships, joint ventures or capital commitments;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estimates or recommendations by securities analysts, if any cover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fluctuations in the valuation of companies perceived by investors to be comparable to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public concern over our product candidates or any future approved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litigation;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future sales of our common stock by us, our insiders or our other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expiration of market stand-off or lock-up agreements;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share price and volume fluctuations attributable to inconsistent trading volume levels of our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additions or departures of key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changes in the structure of health care payment systems in the United States or overseas;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failure of any of our product candidates, if approved, to achieve commercial success;</w:t>
      </w:r>
    </w:p>
    <w:p>
      <w:pPr>
        <w:spacing w:after="0" w:line="34" w:lineRule="exact"/>
        <w:rPr>
          <w:rFonts w:ascii="MS PGothic" w:cs="MS PGothic" w:eastAsia="MS PGothic" w:hAnsi="MS PGothic"/>
          <w:sz w:val="13"/>
          <w:szCs w:val="13"/>
          <w:color w:val="auto"/>
        </w:rPr>
      </w:pPr>
    </w:p>
    <w:p>
      <w:pPr>
        <w:ind w:left="980" w:right="78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economic and other external factors such as macroeconomic, disasters, crises or health matters, including the impact of the COVID-19 pandemic;</w:t>
      </w:r>
    </w:p>
    <w:p>
      <w:pPr>
        <w:spacing w:after="0" w:line="22"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period-to-period fluctuations in our financial condition and results of operations, including the timing of payment or receipt of any future milestone or other payments under commercialization or licensing agreements;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announcements or expectations of additional financing efforts;</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overall fluctuations in U.S. equity markets, general market conditions and market conditions for biotechnology stocks;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other factors that may be unanticipated or out of our control.</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addition, the stock market has recently experienced significant volatility, particularly with respect to biotechnology and other life sciences company stocks as a result of the COVID-19 pandemic and the U.S. presidential election.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14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24"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2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5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49"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Furthermore, our operating results may fluctuate due to a variety of other factors, many of which are outside of our control and may be difficult to predict, including the following:</w:t>
      </w:r>
    </w:p>
    <w:p>
      <w:pPr>
        <w:spacing w:after="0" w:line="185" w:lineRule="exact"/>
        <w:rPr>
          <w:sz w:val="20"/>
          <w:szCs w:val="20"/>
          <w:color w:val="auto"/>
        </w:rPr>
      </w:pPr>
    </w:p>
    <w:p>
      <w:pPr>
        <w:ind w:left="980" w:right="18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our ability to enroll subjects in clinical trials and the timing of enrollment;</w:t>
      </w:r>
    </w:p>
    <w:p>
      <w:pPr>
        <w:spacing w:after="0" w:line="34"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expenditures that we will or may incur to acquire or develop additional product candidates and technologies or other assets;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timing and outcomes of clinical trials for ALX148, and any of our other product candidates, or competing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need to conduct unanticipated clinical trials or trials that are larger or more complex than anticipated;</w:t>
      </w:r>
    </w:p>
    <w:p>
      <w:pPr>
        <w:spacing w:after="0" w:line="34"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competition from existing and potential future products that compete with ALX148 and any of our other product candidates, and changes in the competitive landscape of our industry, including consolidation among our competitors or partners;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any delays in regulatory review or approval of ALX148 or any of our other product candidates;</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level of demand for ALX148 and any of our other product candidates, if approved, which may fluctuate significantly and be difficult to predict;</w:t>
      </w:r>
    </w:p>
    <w:p>
      <w:pPr>
        <w:spacing w:after="0" w:line="22"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risk/benefit profile, cost and reimbursement policies with respect to our product candidates, if approved, and existing and potential future products that compete with ALX148 and any of our other product candidates;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34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ability to commercialize ALX148 and any of our other product candidates, if approved, inside and outside of the United States, either independently or working with third parties;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ability to establish and maintain collaborations, licensing or other arrangements;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ability to adequately support future growth;</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potential unforeseen business disruptions that increase our costs or expenses;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future accounting pronouncements or changes in our accounting policies;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COVID-19 pandemic;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changing and volatile global economic and political environment.</w:t>
      </w:r>
    </w:p>
    <w:p>
      <w:pPr>
        <w:spacing w:after="0" w:line="156"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7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w:t>
      </w:r>
    </w:p>
    <w:p>
      <w:pPr>
        <w:spacing w:after="0" w:line="147"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As of November 1, 2020, we had 37,107,522 shares of our common stock outstanding. Of these shares, only the shares sold in our initial public offering by us (other than the shares purchased in our initial public offering by holders of 5% or more of our capital stock and the company directed shares purchased in our initial public offering by a director or an officer of the company) are currently freely tradable without restriction in the public market. The remaining 30,541,522 shares are currently prohibited without the permission of the underwriters of our initial public offering or otherwise restricted under securities laws, market standoff agreements entered into by our stockholders with us or lock-up agreements entered into by our directors, officers and stockholders with the underwriters. However, subject to applicable securities law restrictions and excluding shares of restricted stock that will remain unvested, some of these shares will be able to be sold in the public market beginning January 13, 2021, which is the 180th day after the date of our initial public offering.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54"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In addition, on July 17, 2020, we filed a registration statement on Form S-8 to register 3,563,962 shares of our common stock reserved for future issuance under our equity compensation plans. As a result, shares registered under this registration statement on Form S-8 will be available for sale in the public market subject to the satisfaction of applicable vesting arrangements and the exercise of such options, the lock-up arrangements described above and, in the case of our affiliates, the restrictions of Rule 144.</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Moreover, holders of an aggregate of 24,429,399 shares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150"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In connection with this offering, our executive officers, directors and certain of our stockholders affiliated with certain of our directors entered into lock-up agreements with the underwriters under which they have agreed, subject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to specific exceptions, not to sell, directly or indirectly, any shares of common stock without the permission of Jefferies LLC, Credit Suisse Securities (USA) LLC and Piper Sandler &amp; Co. for a period of 90 days following the date of this offering. We refer to such period as the lock-up period. When the lock-up period expires, we and our securityholders subject to a lock-up agreement will be able to sell our shares in the public market. In addition, the underwriters may, in their sole discretion, release all or some portion of the shares subject to lock-up agreements at any time and for any reason.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131"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share price and trading volume could decline.</w:t>
      </w:r>
    </w:p>
    <w:p>
      <w:pPr>
        <w:spacing w:after="0" w:line="12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128"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We have incurred and will continue to incur significant increased costs and management resources as a result of operating as a public company.</w:t>
      </w:r>
    </w:p>
    <w:p>
      <w:pPr>
        <w:spacing w:after="0" w:line="12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have incurred and will continue to incur significant legal, accounting, compliance and other expenses as a public company and these expenses may increase even more after we are no longer an “emerging growth company.” Our management and other personnel need to devote a substantial amount of time and incur significant expense in connection with compliance initiatives. For example, as a public company, we must adopt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addition, we anticipate implementing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51"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initial public offering, we increased our directors’ and officers’ insurance coverage, which substantially increased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360"/>
        <w:spacing w:after="0" w:line="267"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our initial public offering, although, if we have more than $1.07 billion in annual revenue, if the market value of our common stock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stock less attractive if we choose to rely on these exemptions. In addition, the JOBS Act provides that an emerging growth company can take advantage of an extended transition period for complying with new or revised accounting standards. We have elected to use this extended transition period. As a result, our condensed consolidated financial statements may not be comparable to companies that comply with the new or revised accounting standards as of public company effective dates. If some investors find our common stock less attractive as a result of any of our reliance on these exemptions, there may be a less active trading market for our common stock and our share price may be more volatile.</w:t>
      </w:r>
    </w:p>
    <w:p>
      <w:pPr>
        <w:spacing w:after="0" w:line="130"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Our management team will have broad discretion to use the net proceeds from this offering and its investment of these proceeds may not yield a favorable return.</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management team will have broad discretion in the application of the net proceeds from this offering and could spend or invest the proceeds in ways with which our stockholders disagree.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and royalties on sales of any future approved product. Accordingly, we will have broad discretion in using these proceeds. Until the net proceeds are used, they may be placed in investments that do not produce significant income or that may lose.</w:t>
      </w:r>
    </w:p>
    <w:p>
      <w:pPr>
        <w:spacing w:after="0" w:line="129"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125"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As of November 1, 2020, our executive officers, directors, holders of 5% or more of our capital stock and their respective affiliates beneficially owned approximately 63.7% of our outstanding voting stock.</w:t>
      </w:r>
    </w:p>
    <w:p>
      <w:pPr>
        <w:spacing w:after="0" w:line="14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We do not anticipate paying cash dividends and, accordingly, stockholders must rely on share appreciation for any return on their investment.</w:t>
      </w:r>
    </w:p>
    <w:p>
      <w:pPr>
        <w:spacing w:after="0" w:line="12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In addition, the Loan Agreement restricts our ability to pay dividends or make other distributions. As a result, capital appreciation, if any, of our common stock will be your sole source of gain on your investment for the foreseeable future. Investors seeking cash dividends should not invest in our common stock.</w:t>
      </w:r>
    </w:p>
    <w:p>
      <w:pPr>
        <w:spacing w:after="0" w:line="130"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34"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125"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will:</w:t>
      </w:r>
    </w:p>
    <w:p>
      <w:pPr>
        <w:spacing w:after="0" w:line="190" w:lineRule="exact"/>
        <w:rPr>
          <w:sz w:val="20"/>
          <w:szCs w:val="20"/>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establish that our board of directors is divided into three classes, with each class serving staggered three-year terms;</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provide that our directors may only be removed for cause;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eliminate cumulative voting in the election of directors;</w:t>
      </w:r>
    </w:p>
    <w:p>
      <w:pPr>
        <w:spacing w:after="0" w:line="34"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issue shares of convertible preferred stock and determine the price and other terms of those shares, including preferences and voting rights, without stockholder approval;</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provide our board of directors with the exclusive right to elect a director to fill a vacancy or newly created directorship;</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permit stockholders to only take actions at a duly called annual or special meeting and not by written consent;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prohibit stockholders from calling a special meeting of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amend the bylaws; and</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20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require the affirmative vote of at least 66 2/3% or more of the outstanding shares of common stock to amend many of the provisions described above.</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27" w:lineRule="exact"/>
        <w:rPr>
          <w:sz w:val="20"/>
          <w:szCs w:val="20"/>
          <w:color w:val="auto"/>
        </w:rPr>
      </w:pPr>
    </w:p>
    <w:p>
      <w:pPr>
        <w:ind w:left="120" w:right="400"/>
        <w:spacing w:after="0" w:line="249"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190" w:lineRule="exact"/>
        <w:rPr>
          <w:sz w:val="20"/>
          <w:szCs w:val="20"/>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any derivative action or proceeding brought on behalf of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any action asserting a claim of breach of a fiduciary duty;</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that is governed by the internal affairs doctrine.</w:t>
      </w:r>
    </w:p>
    <w:p>
      <w:pPr>
        <w:spacing w:after="0" w:line="156"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144"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29"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our remediation measures are not effective, we may not be able to report our financial condition or results of operations accurately or on a timely basis.</w:t>
      </w:r>
    </w:p>
    <w:p>
      <w:pPr>
        <w:spacing w:after="0" w:line="125"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SOX. During our review and testing, we may identify deficiencies and be unable to remediate them before we must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provide the required reports. In connection with the audit of our consolidated financial statements for each of the years ended December 31, 2018 and December 31, 2019, we and our independent registered public accounting firm identified material weaknesses in our internal control over financial reporting resulting from a lack of sufficient qualified personnel. For the year ended December 31, 2018, the material weaknesses related to (i) independent reviews of journal entries not being performed prior to posting, (ii) account reconciliations not being performed and independently reviewed on a timely basis and (iii) lack of independent review of technical accounting matters. For the year ended December 31, 2019, (i) and (ii) remained unremediated.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During the first, second and third quarters of 2020, we have undertaken specific remediation actions to address the control deficiencies in our financial reporting. We have established more robust processes related to the review of complex accounting transactions, preparation of account reconciliations and review of journal entries which are outlined elsewhere in this prospectus.</w:t>
      </w:r>
    </w:p>
    <w:p>
      <w:pPr>
        <w:spacing w:after="0" w:line="154"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While we have begun taking measures and plan to continue to take measures to design and implement an effective control environment, we cannot assure you that the measures we have taken to date, and are continuing to implement, will be sufficient to remediate or prevent future material weaknesses. 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29" w:lineRule="exact"/>
        <w:rPr>
          <w:sz w:val="20"/>
          <w:szCs w:val="20"/>
          <w:color w:val="auto"/>
        </w:rPr>
      </w:pPr>
    </w:p>
    <w:p>
      <w:pPr>
        <w:ind w:left="120" w:right="680"/>
        <w:spacing w:after="0" w:line="267"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w:t>
      </w:r>
    </w:p>
    <w:p>
      <w:pPr>
        <w:ind w:left="120"/>
        <w:spacing w:after="0" w:line="232" w:lineRule="auto"/>
        <w:rPr>
          <w:sz w:val="20"/>
          <w:szCs w:val="20"/>
          <w:color w:val="auto"/>
        </w:rPr>
      </w:pPr>
      <w:r>
        <w:rPr>
          <w:rFonts w:ascii="Arial" w:cs="Arial" w:eastAsia="Arial" w:hAnsi="Arial"/>
          <w:sz w:val="17"/>
          <w:szCs w:val="17"/>
          <w:color w:val="auto"/>
        </w:rPr>
        <w:t>controls and procedures, are designed to prevent fraud. Any failure to implement required new or improved controls, or difficulties encountered in</w:t>
      </w:r>
    </w:p>
    <w:p>
      <w:pPr>
        <w:ind w:left="120"/>
        <w:spacing w:after="0" w:line="232" w:lineRule="auto"/>
        <w:rPr>
          <w:sz w:val="20"/>
          <w:szCs w:val="20"/>
          <w:color w:val="auto"/>
        </w:rPr>
      </w:pPr>
      <w:r>
        <w:rPr>
          <w:rFonts w:ascii="Arial" w:cs="Arial" w:eastAsia="Arial" w:hAnsi="Arial"/>
          <w:sz w:val="17"/>
          <w:szCs w:val="17"/>
          <w:color w:val="auto"/>
        </w:rPr>
        <w:t>their implementation, could cause us to fail to meet our reporting obligations. In addition, any testing by us conducted in connection with</w:t>
      </w:r>
    </w:p>
    <w:p>
      <w:pPr>
        <w:ind w:left="120"/>
        <w:spacing w:after="0" w:line="232" w:lineRule="auto"/>
        <w:rPr>
          <w:sz w:val="20"/>
          <w:szCs w:val="20"/>
          <w:color w:val="auto"/>
        </w:rPr>
      </w:pPr>
      <w:r>
        <w:rPr>
          <w:rFonts w:ascii="Arial" w:cs="Arial" w:eastAsia="Arial" w:hAnsi="Arial"/>
          <w:sz w:val="17"/>
          <w:szCs w:val="17"/>
          <w:color w:val="auto"/>
        </w:rPr>
        <w:t>Section 404(a) of SOX or any subsequent testing by our independent registered public accounting firm in connection with Section 404(b) of SOX,</w:t>
      </w:r>
    </w:p>
    <w:p>
      <w:pPr>
        <w:ind w:left="120"/>
        <w:spacing w:after="0" w:line="232" w:lineRule="auto"/>
        <w:rPr>
          <w:sz w:val="20"/>
          <w:szCs w:val="20"/>
          <w:color w:val="auto"/>
        </w:rPr>
      </w:pPr>
      <w:r>
        <w:rPr>
          <w:rFonts w:ascii="Arial" w:cs="Arial" w:eastAsia="Arial" w:hAnsi="Arial"/>
          <w:sz w:val="17"/>
          <w:szCs w:val="17"/>
          <w:color w:val="auto"/>
        </w:rPr>
        <w:t>may reveal deficiencies in our internal controls over financial reporting that are deemed to be significant deficiencies or material weaknesses or</w:t>
      </w:r>
    </w:p>
    <w:p>
      <w:pPr>
        <w:ind w:left="120"/>
        <w:spacing w:after="0" w:line="232" w:lineRule="auto"/>
        <w:rPr>
          <w:sz w:val="20"/>
          <w:szCs w:val="20"/>
          <w:color w:val="auto"/>
        </w:rPr>
      </w:pPr>
      <w:r>
        <w:rPr>
          <w:rFonts w:ascii="Arial" w:cs="Arial" w:eastAsia="Arial" w:hAnsi="Arial"/>
          <w:sz w:val="17"/>
          <w:szCs w:val="17"/>
          <w:color w:val="auto"/>
        </w:rPr>
        <w:t>that may require prospective or retroactive changes to our consolidated financial statements or identify other areas for further attention or</w:t>
      </w:r>
    </w:p>
    <w:p>
      <w:pPr>
        <w:ind w:left="120"/>
        <w:spacing w:after="0" w:line="232" w:lineRule="auto"/>
        <w:rPr>
          <w:sz w:val="20"/>
          <w:szCs w:val="20"/>
          <w:color w:val="auto"/>
        </w:rPr>
      </w:pPr>
      <w:r>
        <w:rPr>
          <w:rFonts w:ascii="Arial" w:cs="Arial" w:eastAsia="Arial" w:hAnsi="Arial"/>
          <w:sz w:val="17"/>
          <w:szCs w:val="17"/>
          <w:color w:val="auto"/>
        </w:rPr>
        <w:t>improvement. As discussed above, we have identified material weaknesses in the past which we are in the process of remedying. However, our</w:t>
      </w:r>
    </w:p>
    <w:p>
      <w:pPr>
        <w:ind w:left="120"/>
        <w:spacing w:after="0" w:line="232" w:lineRule="auto"/>
        <w:rPr>
          <w:sz w:val="20"/>
          <w:szCs w:val="20"/>
          <w:color w:val="auto"/>
        </w:rPr>
      </w:pPr>
      <w:r>
        <w:rPr>
          <w:rFonts w:ascii="Arial" w:cs="Arial" w:eastAsia="Arial" w:hAnsi="Arial"/>
          <w:sz w:val="17"/>
          <w:szCs w:val="17"/>
          <w:color w:val="auto"/>
        </w:rPr>
        <w:t>efforts to remediate previous material weaknesses may not be effective or prevent any future deficiency in our internal control over financial</w:t>
      </w:r>
    </w:p>
    <w:p>
      <w:pPr>
        <w:ind w:left="120"/>
        <w:spacing w:after="0" w:line="232" w:lineRule="auto"/>
        <w:rPr>
          <w:sz w:val="20"/>
          <w:szCs w:val="20"/>
          <w:color w:val="auto"/>
        </w:rPr>
      </w:pPr>
      <w:r>
        <w:rPr>
          <w:rFonts w:ascii="Arial" w:cs="Arial" w:eastAsia="Arial" w:hAnsi="Arial"/>
          <w:sz w:val="17"/>
          <w:szCs w:val="17"/>
          <w:color w:val="auto"/>
        </w:rPr>
        <w:t>reporting. Inferior internal controls could also cause investors to lose confidence in our reported financial information, which could have a negative</w:t>
      </w:r>
    </w:p>
    <w:p>
      <w:pPr>
        <w:ind w:left="120"/>
        <w:spacing w:after="0"/>
        <w:rPr>
          <w:sz w:val="20"/>
          <w:szCs w:val="20"/>
          <w:color w:val="auto"/>
        </w:rPr>
      </w:pPr>
      <w:r>
        <w:rPr>
          <w:rFonts w:ascii="Arial" w:cs="Arial" w:eastAsia="Arial" w:hAnsi="Arial"/>
          <w:sz w:val="17"/>
          <w:szCs w:val="17"/>
          <w:color w:val="auto"/>
        </w:rPr>
        <w:t>effect on the trading price of our common stock.</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connection with our evaluation of our internal controls over financial reporting, we expect to upgrade our finance and accounting systems and team. If we are unable to accomplish these objectives in a timely and effective manner, our ability to comply with the financial reporting requirements and other rules that apply to reporting companies could be adversely impacted. Any failure to maintain effective internal control over financial reporting could have a material adverse effect on our business, financial condition and results of operations and the trading price of our common stock.</w:t>
      </w:r>
    </w:p>
    <w:p>
      <w:pPr>
        <w:spacing w:after="0" w:line="150"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an “emerging growth company” under the JOBS Act, our independent registered public accounting firm will not be required to attest to the effectiveness of our internal controls over financial reporting pursuant to Section 404(b).</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50"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consolidated financial statement restatements and require us to incur the expense of remediation.</w:t>
      </w:r>
    </w:p>
    <w:p>
      <w:pPr>
        <w:spacing w:after="0" w:line="127" w:lineRule="exact"/>
        <w:rPr>
          <w:sz w:val="20"/>
          <w:szCs w:val="20"/>
          <w:color w:val="auto"/>
        </w:rPr>
      </w:pPr>
    </w:p>
    <w:p>
      <w:pPr>
        <w:ind w:left="120" w:right="380"/>
        <w:spacing w:after="0" w:line="267" w:lineRule="auto"/>
        <w:rPr>
          <w:sz w:val="20"/>
          <w:szCs w:val="20"/>
          <w:color w:val="auto"/>
        </w:rPr>
      </w:pPr>
      <w:r>
        <w:rPr>
          <w:rFonts w:ascii="Arial" w:cs="Arial" w:eastAsia="Arial" w:hAnsi="Arial"/>
          <w:sz w:val="17"/>
          <w:szCs w:val="17"/>
          <w:b w:val="1"/>
          <w:bCs w:val="1"/>
          <w:i w:val="1"/>
          <w:iCs w:val="1"/>
          <w:color w:val="auto"/>
        </w:rPr>
        <w:t>Participation in this offering by our existing stockholders and/or their affiliated entities may reduce the public float for our common stock.</w:t>
      </w:r>
    </w:p>
    <w:p>
      <w:pPr>
        <w:spacing w:after="0" w:line="125"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30"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125"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Risks</w:t>
      </w:r>
    </w:p>
    <w:p>
      <w:pPr>
        <w:spacing w:after="0" w:line="73" w:lineRule="exact"/>
        <w:rPr>
          <w:sz w:val="20"/>
          <w:szCs w:val="20"/>
          <w:color w:val="auto"/>
        </w:rPr>
      </w:pPr>
    </w:p>
    <w:p>
      <w:pPr>
        <w:ind w:left="120" w:right="580"/>
        <w:spacing w:after="0" w:line="249" w:lineRule="auto"/>
        <w:rPr>
          <w:sz w:val="20"/>
          <w:szCs w:val="20"/>
          <w:color w:val="auto"/>
        </w:rPr>
      </w:pPr>
      <w:r>
        <w:rPr>
          <w:rFonts w:ascii="Arial" w:cs="Arial" w:eastAsia="Arial" w:hAnsi="Arial"/>
          <w:sz w:val="17"/>
          <w:szCs w:val="17"/>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4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disruptions could seriously harm our future revenue and financial condition and increase our costs and expenses.</w:t>
      </w:r>
    </w:p>
    <w:p>
      <w:pPr>
        <w:spacing w:after="0" w:line="176"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disruptions and delays or incur financial damages as a result of system failures or security breaches.</w:t>
      </w:r>
    </w:p>
    <w:p>
      <w:pPr>
        <w:spacing w:after="0" w:line="176"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or security breach that causes interruptions in our own or in third-party service providers’ operations could result in a material disruption of our drug discovery and development programs. A system failure or security breach that causes the loss of clinical trial data from completed or future clinical trials could result in delays in our regulatory approval efforts and significantly increase our costs in order to recover or reproduce the lost data. In addition, to the extent that any disruption or security breach results in a loss or damage to our data or applications or inappropriate disclosure of confidential or proprietary information,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could also cause us to incur additional costs to remedy the damages that arise from such disruption, failure or security breach.</w:t>
      </w:r>
    </w:p>
    <w:p>
      <w:pPr>
        <w:spacing w:after="0" w:line="154"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76"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47" w:lineRule="exact"/>
        <w:rPr>
          <w:sz w:val="20"/>
          <w:szCs w:val="20"/>
          <w:color w:val="auto"/>
        </w:rPr>
      </w:pPr>
    </w:p>
    <w:p>
      <w:pPr>
        <w:jc w:val="both"/>
        <w:ind w:left="120" w:right="140"/>
        <w:spacing w:after="0" w:line="236" w:lineRule="auto"/>
        <w:rPr>
          <w:sz w:val="20"/>
          <w:szCs w:val="20"/>
          <w:color w:val="auto"/>
        </w:rPr>
      </w:pPr>
      <w:r>
        <w:rPr>
          <w:rFonts w:ascii="Arial" w:cs="Arial" w:eastAsia="Arial" w:hAnsi="Arial"/>
          <w:sz w:val="17"/>
          <w:szCs w:val="17"/>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7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060"/>
          </w:cols>
          <w:pgMar w:left="320" w:top="459"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5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88" w:lineRule="exact"/>
        <w:rPr>
          <w:sz w:val="20"/>
          <w:szCs w:val="20"/>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financial performance;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sufficiency of our existing cash to fund our future operating expenses and capital expenditure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plans relating to commercializing our product candidates, if approved, including the geographic areas of focus and our ability to grow a sales team;</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implementation of our strategic plans for our business and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size of the market opportunity for our product candidates in each of the diseases we target;</w:t>
      </w:r>
    </w:p>
    <w:p>
      <w:pPr>
        <w:spacing w:after="0" w:line="34" w:lineRule="exact"/>
        <w:rPr>
          <w:rFonts w:ascii="MS PGothic" w:cs="MS PGothic" w:eastAsia="MS PGothic" w:hAnsi="MS PGothic"/>
          <w:sz w:val="13"/>
          <w:szCs w:val="13"/>
          <w:color w:val="auto"/>
        </w:rPr>
      </w:pPr>
    </w:p>
    <w:p>
      <w:pPr>
        <w:jc w:val="both"/>
        <w:ind w:left="980" w:right="260" w:hanging="432"/>
        <w:spacing w:after="0" w:line="238"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reliance on third parties to conduct preclinical research activities, and for the manufacture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beneficial characteristics, safety, efficacy and therapeutic effects of our product candidates;</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estimates of the number of patients in the United States who suffer from the diseases we target and the number of subjects that will enroll in our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progress and focus of our current and future clinical trials, and the reporting of data from those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ability to advance product candidates into and successfully complete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ability of our clinical trials to demonstrate the safety and efficacy of our product candidates, and other positive results;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our industry, including competing product candidates and therapies;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plans relating to the further development and manufacturing of our product candidates, including additional indications that we may pursue;</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ability to obtain, and negotiate favorable terms of, any collaboration, licensing or other arrangements that may be necessary or desirable to develop, manufacture or commercialize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existing regulations and regulatory developments in the United States and other jurisdictions;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potential and ability to successfully manufacture and supply our product candidates for clinical trials and for commercial use, if approved;</w:t>
      </w:r>
    </w:p>
    <w:p>
      <w:pPr>
        <w:spacing w:after="0" w:line="22"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continued reliance on third parties to conduct additional clinical trials of our product candidates, and for the manufacture of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340" w:hanging="432"/>
        <w:spacing w:after="0" w:line="243"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including our technology platform and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impact of the COVID-19 pandemic on our business;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period during which we will qualify as an emerging growth company under the JOBS Act;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anticipated use of our existing cash and cash equivalents and the proceeds from this offering.</w:t>
      </w:r>
    </w:p>
    <w:p>
      <w:pPr>
        <w:spacing w:after="0" w:line="156"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MARKET, INDUSTRY AND OTHER DATA</w:t>
      </w:r>
    </w:p>
    <w:p>
      <w:pPr>
        <w:spacing w:after="0" w:line="33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020"/>
          </w:cols>
          <w:pgMar w:left="320" w:top="459" w:right="5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336"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We expect that the net proceeds from our issuance and sale of shares of our common stock in this offering will be approximately $169.4 million, or approximately $194.9 million if the underwriters exercise their option to purchase additional shares in full, based on the offering price of $76.00 per share and after deducting the underwriting discounts and commissions and estimated offering expenses payable by us.</w:t>
      </w:r>
    </w:p>
    <w:p>
      <w:pPr>
        <w:spacing w:after="0" w:line="147"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and facilitate our future access to the public capital markets.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intend to use the net proceeds, together with our existing cash and cash equivalents, from the offering as follows:</w:t>
      </w:r>
    </w:p>
    <w:p>
      <w:pPr>
        <w:spacing w:after="0" w:line="196" w:lineRule="exact"/>
        <w:rPr>
          <w:sz w:val="20"/>
          <w:szCs w:val="20"/>
          <w:color w:val="auto"/>
        </w:rPr>
      </w:pPr>
    </w:p>
    <w:p>
      <w:pPr>
        <w:ind w:left="980" w:right="80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approximately $50.0 million to advance the clinical development of ALX148 through initiation and completion of our Phase 2 combination clinical trials in HNSCC and gastric/GEJ;</w:t>
      </w:r>
    </w:p>
    <w:p>
      <w:pPr>
        <w:spacing w:after="0" w:line="22"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approximately $30.0 million to advance the clinical development of ALX148 through initiation and completion of our Phase 1b/2 combination clinical trial in MDS;</w:t>
      </w:r>
    </w:p>
    <w:p>
      <w:pPr>
        <w:spacing w:after="0" w:line="22"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approximately $20.0 million to advance the clinical development of ALX148 through initiation and completion of our Phase 1b/2 combination clinical trial in AML;</w:t>
      </w:r>
    </w:p>
    <w:p>
      <w:pPr>
        <w:spacing w:after="0" w:line="22" w:lineRule="exact"/>
        <w:rPr>
          <w:rFonts w:ascii="MS PGothic" w:cs="MS PGothic" w:eastAsia="MS PGothic" w:hAnsi="MS PGothic"/>
          <w:sz w:val="13"/>
          <w:szCs w:val="13"/>
          <w:color w:val="auto"/>
        </w:rPr>
      </w:pPr>
    </w:p>
    <w:p>
      <w:pPr>
        <w:ind w:left="980" w:right="38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approximately $75.0 million to advance the clinical development of ALX148 and potentially initiate clinical trials for additional solid tumor indications including colorectal, lung, breast and gastric cancer, if there are compelling clinical data;</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approximately $25.0 million for manufacturing activities related to chemistry, manufacturing and controls, or CMC, activities;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approximately $10.0 million for current and proposed collaborations and investigator sponsored trials;</w:t>
      </w:r>
    </w:p>
    <w:p>
      <w:pPr>
        <w:spacing w:after="0" w:line="34" w:lineRule="exact"/>
        <w:rPr>
          <w:rFonts w:ascii="MS PGothic" w:cs="MS PGothic" w:eastAsia="MS PGothic" w:hAnsi="MS PGothic"/>
          <w:sz w:val="13"/>
          <w:szCs w:val="13"/>
          <w:color w:val="auto"/>
        </w:rPr>
      </w:pPr>
    </w:p>
    <w:p>
      <w:pPr>
        <w:jc w:val="both"/>
        <w:ind w:left="980" w:right="320" w:hanging="432"/>
        <w:spacing w:after="0" w:line="238"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approximately $7.0 million to pay off our outstanding term loan (for more information regarding our term loan, see “Management’s Discussion and Analysis of Financial Condition and Results of Operations—Liquidity and Capital Resources; Plan of Operations— Silicon Valley Bank and WestRiver Group Loan and Security Agreement”); and</w:t>
      </w:r>
    </w:p>
    <w:p>
      <w:pPr>
        <w:spacing w:after="0" w:line="25"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remainder for other development work associated with advancing ALX148 and for working capital and other general corporate purposes.</w:t>
      </w:r>
    </w:p>
    <w:p>
      <w:pPr>
        <w:spacing w:after="0" w:line="144"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Pending the specific use of net proceeds as described in this prospectus, we intend to invest the net proceeds to us from this offering in short and intermediate-term investment grade instruments, certificates of deposit or guaranteed obligations of the U.S. government in accordance with our investment policy.</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expected use of proceeds from this offering represents our current intentions based on our present plans and business condition. As of the date of this prospectus,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48"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The net proceeds from this offering, together with our existing cash and cash equivalents, may not be sufficient for us to fund our clinical programs, and we may need to raise additional capital to achieve our business objectives. Based on current business plans, we believe that the net proceeds from this offering, together with our existing cash and cash equivalents, will be sufficient to fund our planned operations through 2024.</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 In addition, the terms of our Loan Agreement place certain limitations on the amount of cash dividends we can pay.</w:t>
      </w:r>
    </w:p>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900"/>
          </w:cols>
          <w:pgMar w:left="320" w:top="459" w:right="6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our cash and cash equivalents and our capitalization as of September 30, 2020:</w:t>
      </w:r>
    </w:p>
    <w:p>
      <w:pPr>
        <w:spacing w:after="0" w:line="196" w:lineRule="exact"/>
        <w:rPr>
          <w:sz w:val="20"/>
          <w:szCs w:val="20"/>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on an actual basis;</w:t>
      </w:r>
    </w:p>
    <w:p>
      <w:pPr>
        <w:spacing w:after="0" w:line="34" w:lineRule="exact"/>
        <w:rPr>
          <w:rFonts w:ascii="MS PGothic" w:cs="MS PGothic" w:eastAsia="MS PGothic" w:hAnsi="MS PGothic"/>
          <w:sz w:val="13"/>
          <w:szCs w:val="13"/>
          <w:color w:val="auto"/>
        </w:rPr>
      </w:pPr>
    </w:p>
    <w:p>
      <w:pPr>
        <w:ind w:left="980" w:right="120" w:hanging="432"/>
        <w:spacing w:after="0" w:line="238"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an as adjusted basis to give effect to the sale and issuance of shares of our common stock by us in this offering, at the public offering price of $76.00 per share and after deducting underwriting discounts and commissions and estimated offering expenses payable by us.</w:t>
      </w:r>
    </w:p>
    <w:p>
      <w:pPr>
        <w:spacing w:after="0" w:line="147"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You should read this information in conjunction with our financial statements and the related notes and the sections titled “Selected Consolidated Financial Data” and “Management’s Discussion and Analysis of Financial Condition and Results of Operations” that are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AS OF SEPTEMBER 30, 2020</w:t>
            </w:r>
          </w:p>
        </w:tc>
        <w:tc>
          <w:tcPr>
            <w:tcW w:w="0" w:type="dxa"/>
            <w:vAlign w:val="bottom"/>
          </w:tcPr>
          <w:p>
            <w:pPr>
              <w:spacing w:after="0"/>
              <w:rPr>
                <w:sz w:val="1"/>
                <w:szCs w:val="1"/>
                <w:color w:val="auto"/>
              </w:rPr>
            </w:pPr>
          </w:p>
        </w:tc>
      </w:tr>
      <w:tr>
        <w:trPr>
          <w:trHeight w:val="156"/>
        </w:trPr>
        <w:tc>
          <w:tcPr>
            <w:tcW w:w="84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2"/>
          </w:tcPr>
          <w:p>
            <w:pPr>
              <w:jc w:val="right"/>
              <w:ind w:right="488"/>
              <w:spacing w:after="0" w:line="155" w:lineRule="exact"/>
              <w:rPr>
                <w:sz w:val="20"/>
                <w:szCs w:val="20"/>
                <w:color w:val="auto"/>
              </w:rPr>
            </w:pPr>
            <w:r>
              <w:rPr>
                <w:rFonts w:ascii="Arial" w:cs="Arial" w:eastAsia="Arial" w:hAnsi="Arial"/>
                <w:sz w:val="14"/>
                <w:szCs w:val="14"/>
                <w:b w:val="1"/>
                <w:bCs w:val="1"/>
                <w:color w:val="auto"/>
              </w:rPr>
              <w:t>ACTUAL</w:t>
            </w:r>
          </w:p>
        </w:tc>
        <w:tc>
          <w:tcPr>
            <w:tcW w:w="1180" w:type="dxa"/>
            <w:vAlign w:val="bottom"/>
            <w:tcBorders>
              <w:top w:val="single" w:sz="8" w:color="auto"/>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AS ADJUSTED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gridSpan w:val="2"/>
          </w:tcPr>
          <w:p>
            <w:pPr>
              <w:jc w:val="center"/>
              <w:ind w:right="38"/>
              <w:spacing w:after="0" w:line="143" w:lineRule="exact"/>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(in thousands, except share and</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per share amounts)</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368"/>
              <w:spacing w:after="0" w:line="189" w:lineRule="exact"/>
              <w:rPr>
                <w:sz w:val="20"/>
                <w:szCs w:val="20"/>
                <w:color w:val="auto"/>
              </w:rPr>
            </w:pPr>
            <w:r>
              <w:rPr>
                <w:rFonts w:ascii="Arial" w:cs="Arial" w:eastAsia="Arial" w:hAnsi="Arial"/>
                <w:sz w:val="17"/>
                <w:szCs w:val="17"/>
                <w:color w:val="auto"/>
              </w:rPr>
              <w:t>259,484</w:t>
            </w:r>
          </w:p>
        </w:tc>
        <w:tc>
          <w:tcPr>
            <w:tcW w:w="460" w:type="dxa"/>
            <w:vAlign w:val="bottom"/>
            <w:shd w:val="clear" w:color="auto" w:fill="CCEEFF"/>
          </w:tcPr>
          <w:p>
            <w:pPr>
              <w:jc w:val="right"/>
              <w:ind w:right="278"/>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428,911</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7"/>
                <w:szCs w:val="17"/>
                <w:color w:val="auto"/>
              </w:rPr>
              <w:t>Term loan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vMerge w:val="continue"/>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368"/>
              <w:spacing w:after="0" w:line="183" w:lineRule="exact"/>
              <w:rPr>
                <w:sz w:val="20"/>
                <w:szCs w:val="20"/>
                <w:color w:val="auto"/>
              </w:rPr>
            </w:pPr>
            <w:r>
              <w:rPr>
                <w:rFonts w:ascii="Arial" w:cs="Arial" w:eastAsia="Arial" w:hAnsi="Arial"/>
                <w:sz w:val="17"/>
                <w:szCs w:val="17"/>
                <w:color w:val="auto"/>
              </w:rPr>
              <w:t>5,760</w:t>
            </w:r>
          </w:p>
        </w:tc>
        <w:tc>
          <w:tcPr>
            <w:tcW w:w="460" w:type="dxa"/>
            <w:vAlign w:val="bottom"/>
          </w:tcPr>
          <w:p>
            <w:pPr>
              <w:jc w:val="right"/>
              <w:ind w:right="278"/>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5,760</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Stockholders’ equity:</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440" w:type="dxa"/>
            <w:vAlign w:val="bottom"/>
          </w:tcPr>
          <w:p>
            <w:pPr>
              <w:ind w:left="500"/>
              <w:spacing w:after="0" w:line="183" w:lineRule="exact"/>
              <w:rPr>
                <w:sz w:val="20"/>
                <w:szCs w:val="20"/>
                <w:color w:val="auto"/>
              </w:rPr>
            </w:pPr>
            <w:r>
              <w:rPr>
                <w:rFonts w:ascii="Arial" w:cs="Arial" w:eastAsia="Arial" w:hAnsi="Arial"/>
                <w:sz w:val="17"/>
                <w:szCs w:val="17"/>
                <w:color w:val="auto"/>
              </w:rPr>
              <w:t>Preferred stock, par value $0.001 per share; 100,000,000 shares authorized, no shares issued or</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760"/>
              <w:spacing w:after="0"/>
              <w:rPr>
                <w:sz w:val="20"/>
                <w:szCs w:val="20"/>
                <w:color w:val="auto"/>
              </w:rPr>
            </w:pPr>
            <w:r>
              <w:rPr>
                <w:rFonts w:ascii="Arial" w:cs="Arial" w:eastAsia="Arial" w:hAnsi="Arial"/>
                <w:sz w:val="17"/>
                <w:szCs w:val="17"/>
                <w:color w:val="auto"/>
              </w:rPr>
              <w:t>outstanding, actual and as adjusted</w:t>
            </w:r>
          </w:p>
        </w:tc>
        <w:tc>
          <w:tcPr>
            <w:tcW w:w="120" w:type="dxa"/>
            <w:vAlign w:val="bottom"/>
          </w:tcPr>
          <w:p>
            <w:pPr>
              <w:spacing w:after="0"/>
              <w:rPr>
                <w:sz w:val="16"/>
                <w:szCs w:val="16"/>
                <w:color w:val="auto"/>
              </w:rPr>
            </w:pPr>
          </w:p>
        </w:tc>
        <w:tc>
          <w:tcPr>
            <w:tcW w:w="1160" w:type="dxa"/>
            <w:vAlign w:val="bottom"/>
            <w:gridSpan w:val="2"/>
          </w:tcPr>
          <w:p>
            <w:pPr>
              <w:jc w:val="right"/>
              <w:ind w:right="368"/>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500"/>
              <w:spacing w:after="0" w:line="183" w:lineRule="exact"/>
              <w:rPr>
                <w:sz w:val="20"/>
                <w:szCs w:val="20"/>
                <w:color w:val="auto"/>
              </w:rPr>
            </w:pPr>
            <w:r>
              <w:rPr>
                <w:rFonts w:ascii="Arial" w:cs="Arial" w:eastAsia="Arial" w:hAnsi="Arial"/>
                <w:sz w:val="17"/>
                <w:szCs w:val="17"/>
                <w:color w:val="auto"/>
              </w:rPr>
              <w:t>Common stock, par value $0.001 per share; 1,000,000,000 shares authorized, 37,107,522 shares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issued and outstanding, actual; 1,000,000,000 shares authorized, 39,487,522 shares issued and</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outstanding, as adjusted</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68"/>
              <w:spacing w:after="0"/>
              <w:rPr>
                <w:sz w:val="20"/>
                <w:szCs w:val="20"/>
                <w:color w:val="auto"/>
              </w:rPr>
            </w:pPr>
            <w:r>
              <w:rPr>
                <w:rFonts w:ascii="Arial" w:cs="Arial" w:eastAsia="Arial" w:hAnsi="Arial"/>
                <w:sz w:val="17"/>
                <w:szCs w:val="17"/>
                <w:color w:val="auto"/>
              </w:rPr>
              <w:t>37</w:t>
            </w:r>
          </w:p>
        </w:tc>
        <w:tc>
          <w:tcPr>
            <w:tcW w:w="4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89"/>
        </w:trPr>
        <w:tc>
          <w:tcPr>
            <w:tcW w:w="8440" w:type="dxa"/>
            <w:vAlign w:val="bottom"/>
          </w:tcPr>
          <w:p>
            <w:pPr>
              <w:ind w:left="500"/>
              <w:spacing w:after="0" w:line="189" w:lineRule="exact"/>
              <w:rPr>
                <w:sz w:val="20"/>
                <w:szCs w:val="20"/>
                <w:color w:val="auto"/>
              </w:rPr>
            </w:pPr>
            <w:r>
              <w:rPr>
                <w:rFonts w:ascii="Arial" w:cs="Arial" w:eastAsia="Arial" w:hAnsi="Arial"/>
                <w:sz w:val="17"/>
                <w:szCs w:val="17"/>
                <w:color w:val="auto"/>
              </w:rPr>
              <w:t>Additional paid-in capital</w:t>
            </w:r>
          </w:p>
        </w:tc>
        <w:tc>
          <w:tcPr>
            <w:tcW w:w="120" w:type="dxa"/>
            <w:vAlign w:val="bottom"/>
          </w:tcPr>
          <w:p>
            <w:pPr>
              <w:spacing w:after="0"/>
              <w:rPr>
                <w:sz w:val="16"/>
                <w:szCs w:val="16"/>
                <w:color w:val="auto"/>
              </w:rPr>
            </w:pPr>
          </w:p>
        </w:tc>
        <w:tc>
          <w:tcPr>
            <w:tcW w:w="1160" w:type="dxa"/>
            <w:vAlign w:val="bottom"/>
            <w:gridSpan w:val="2"/>
          </w:tcPr>
          <w:p>
            <w:pPr>
              <w:jc w:val="right"/>
              <w:ind w:right="368"/>
              <w:spacing w:after="0" w:line="189" w:lineRule="exact"/>
              <w:rPr>
                <w:sz w:val="20"/>
                <w:szCs w:val="20"/>
                <w:color w:val="auto"/>
              </w:rPr>
            </w:pPr>
            <w:r>
              <w:rPr>
                <w:rFonts w:ascii="Arial" w:cs="Arial" w:eastAsia="Arial" w:hAnsi="Arial"/>
                <w:sz w:val="17"/>
                <w:szCs w:val="17"/>
                <w:color w:val="auto"/>
              </w:rPr>
              <w:t>351,727</w:t>
            </w:r>
          </w:p>
        </w:tc>
        <w:tc>
          <w:tcPr>
            <w:tcW w:w="46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521,152</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Accumulated deficit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08"/>
              <w:spacing w:after="0" w:line="189" w:lineRule="exact"/>
              <w:rPr>
                <w:sz w:val="20"/>
                <w:szCs w:val="20"/>
                <w:color w:val="auto"/>
              </w:rPr>
            </w:pPr>
            <w:r>
              <w:rPr>
                <w:rFonts w:ascii="Arial" w:cs="Arial" w:eastAsia="Arial" w:hAnsi="Arial"/>
                <w:sz w:val="17"/>
                <w:szCs w:val="17"/>
                <w:color w:val="auto"/>
              </w:rPr>
              <w:t>(99,748)</w:t>
            </w:r>
          </w:p>
        </w:tc>
        <w:tc>
          <w:tcPr>
            <w:tcW w:w="4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(99,748)</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1000"/>
              <w:spacing w:after="0"/>
              <w:rPr>
                <w:sz w:val="20"/>
                <w:szCs w:val="20"/>
                <w:color w:val="auto"/>
              </w:rPr>
            </w:pPr>
            <w:r>
              <w:rPr>
                <w:rFonts w:ascii="Arial" w:cs="Arial" w:eastAsia="Arial" w:hAnsi="Arial"/>
                <w:sz w:val="17"/>
                <w:szCs w:val="17"/>
                <w:color w:val="auto"/>
              </w:rPr>
              <w:t>Total stockholders’ equity</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68"/>
              <w:spacing w:after="0"/>
              <w:rPr>
                <w:sz w:val="20"/>
                <w:szCs w:val="20"/>
                <w:color w:val="auto"/>
              </w:rPr>
            </w:pPr>
            <w:r>
              <w:rPr>
                <w:rFonts w:ascii="Arial" w:cs="Arial" w:eastAsia="Arial" w:hAnsi="Arial"/>
                <w:sz w:val="17"/>
                <w:szCs w:val="17"/>
                <w:color w:val="auto"/>
              </w:rPr>
              <w:t>252,016</w:t>
            </w:r>
          </w:p>
        </w:tc>
        <w:tc>
          <w:tcPr>
            <w:tcW w:w="4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421,443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440" w:type="dxa"/>
            <w:vAlign w:val="bottom"/>
            <w:shd w:val="clear" w:color="auto" w:fill="CCEEFF"/>
          </w:tcPr>
          <w:p>
            <w:pPr>
              <w:ind w:left="1500"/>
              <w:spacing w:after="0" w:line="189" w:lineRule="exact"/>
              <w:rPr>
                <w:sz w:val="20"/>
                <w:szCs w:val="20"/>
                <w:color w:val="auto"/>
              </w:rPr>
            </w:pPr>
            <w:r>
              <w:rPr>
                <w:rFonts w:ascii="Arial" w:cs="Arial" w:eastAsia="Arial" w:hAnsi="Arial"/>
                <w:sz w:val="17"/>
                <w:szCs w:val="17"/>
                <w:color w:val="auto"/>
              </w:rPr>
              <w:t>Total capitalization</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368"/>
              <w:spacing w:after="0" w:line="189" w:lineRule="exact"/>
              <w:rPr>
                <w:sz w:val="20"/>
                <w:szCs w:val="20"/>
                <w:color w:val="auto"/>
              </w:rPr>
            </w:pPr>
            <w:r>
              <w:rPr>
                <w:rFonts w:ascii="Arial" w:cs="Arial" w:eastAsia="Arial" w:hAnsi="Arial"/>
                <w:sz w:val="17"/>
                <w:szCs w:val="17"/>
                <w:color w:val="auto"/>
              </w:rPr>
              <w:t>252,016</w:t>
            </w:r>
          </w:p>
        </w:tc>
        <w:tc>
          <w:tcPr>
            <w:tcW w:w="460" w:type="dxa"/>
            <w:vAlign w:val="bottom"/>
            <w:shd w:val="clear" w:color="auto" w:fill="CCEEFF"/>
          </w:tcPr>
          <w:p>
            <w:pPr>
              <w:jc w:val="right"/>
              <w:ind w:right="278"/>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421,443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120" w:right="60"/>
        <w:spacing w:after="0" w:line="243" w:lineRule="auto"/>
        <w:rPr>
          <w:sz w:val="20"/>
          <w:szCs w:val="20"/>
          <w:color w:val="auto"/>
        </w:rPr>
      </w:pPr>
      <w:r>
        <w:rPr>
          <w:rFonts w:ascii="Arial" w:cs="Arial" w:eastAsia="Arial" w:hAnsi="Arial"/>
          <w:sz w:val="17"/>
          <w:szCs w:val="17"/>
          <w:color w:val="auto"/>
        </w:rPr>
        <w:t>The number of shares of our common stock to be outstanding after this offering, as adjusted in the table above, is based on 37,107,522 shares of our common stock outstanding as of September 30, 2020 and excludes:</w:t>
      </w:r>
    </w:p>
    <w:p>
      <w:pPr>
        <w:spacing w:after="0" w:line="185" w:lineRule="exact"/>
        <w:rPr>
          <w:sz w:val="20"/>
          <w:szCs w:val="20"/>
          <w:color w:val="auto"/>
        </w:rPr>
      </w:pPr>
    </w:p>
    <w:p>
      <w:pPr>
        <w:ind w:left="980" w:right="140" w:hanging="432"/>
        <w:spacing w:after="0" w:line="243"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4,751,589 shares of common stock, issuable upon exercise of options outstanding as of September 30, 2020, at a weighted-average exercise price of $8.09 per share;</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57,200 shares of common stock issuable upon exercise of options granted after September 30, 2020, at a weighted-average exercise price of $49.57 per share;</w:t>
      </w:r>
    </w:p>
    <w:p>
      <w:pPr>
        <w:spacing w:after="0" w:line="22" w:lineRule="exact"/>
        <w:rPr>
          <w:rFonts w:ascii="MS PGothic" w:cs="MS PGothic" w:eastAsia="MS PGothic" w:hAnsi="MS PGothic"/>
          <w:sz w:val="13"/>
          <w:szCs w:val="13"/>
          <w:color w:val="auto"/>
        </w:rPr>
      </w:pPr>
    </w:p>
    <w:p>
      <w:pPr>
        <w:ind w:left="980" w:right="40" w:hanging="432"/>
        <w:spacing w:after="0" w:line="236"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2,941,162 shares of common stock reserved for issuance pursuant to future awards under our Amended and Restated 2020 Equity Incentive Plan, or the 2020 Plan, as of September 30, 2020, plus any future increases in the number of shares of common stock reserved for issuance under our 2020 Plan pursuant to provisions thereof that automatically increase the share reserve under the plan each year; and</w:t>
      </w:r>
    </w:p>
    <w:p>
      <w:pPr>
        <w:spacing w:after="0" w:line="27"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400,000 shares of common stock reserved for future issuance under our Employee Stock Purchase Plan, or the ESPP, plus any future increases in the number of shares of common stock reserved for issuance under the ESPP pursuant to provisions thereof that automatically increase the share reserve under the plan each year.</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immediately after this offering.</w:t>
      </w:r>
    </w:p>
    <w:p>
      <w:pPr>
        <w:spacing w:after="0" w:line="147"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Our historical net tangible book value as of September 30, 2020 was $252.0 million, or $6.79 per share of our common stock. Our historical net tangible book value per share is determined by dividing our total tangible assets less total liabilities by the actual number of outstanding shares of our common stock.</w:t>
      </w:r>
    </w:p>
    <w:p>
      <w:pPr>
        <w:spacing w:after="0" w:line="147"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After giving further effect to our sale of 2,380,000 shares of common stock in this offering at the public offering price of $76.00 per share and after deducting the underwriting discounts and commissions and estimated offering expenses payable by us, our as adjusted net tangible book value as of September 30, 2020 would have been approximately $421.4 million, or approximately $10.67 per share. This represents an immediate increase in as adjusted net tangible book value of $3.88 per share to our existing stockholders and an immediate dilution in as adjusted net tangible book value of approximately $65.33 per share to new investors purchasing common stock in this offering. Dilution per share to new investors purchasing common stock in this offering is determined by subtracting as adjusted net tangible book value per share after this offering from the public offering price per share paid by new investors.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9260" w:type="dxa"/>
            <w:vAlign w:val="bottom"/>
            <w:shd w:val="clear" w:color="auto" w:fill="CCEEFF"/>
          </w:tcPr>
          <w:p>
            <w:pPr>
              <w:spacing w:after="0"/>
              <w:rPr>
                <w:sz w:val="20"/>
                <w:szCs w:val="20"/>
                <w:color w:val="auto"/>
              </w:rPr>
            </w:pPr>
            <w:r>
              <w:rPr>
                <w:rFonts w:ascii="Arial" w:cs="Arial" w:eastAsia="Arial" w:hAnsi="Arial"/>
                <w:sz w:val="17"/>
                <w:szCs w:val="17"/>
                <w:color w:val="auto"/>
              </w:rPr>
              <w:t>The public offering price per share</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76.00</w:t>
            </w:r>
          </w:p>
        </w:tc>
      </w:tr>
      <w:tr>
        <w:trPr>
          <w:trHeight w:val="189"/>
        </w:trPr>
        <w:tc>
          <w:tcPr>
            <w:tcW w:w="9260" w:type="dxa"/>
            <w:vAlign w:val="bottom"/>
          </w:tcPr>
          <w:p>
            <w:pPr>
              <w:ind w:left="500"/>
              <w:spacing w:after="0" w:line="189" w:lineRule="exact"/>
              <w:rPr>
                <w:sz w:val="20"/>
                <w:szCs w:val="20"/>
                <w:color w:val="auto"/>
              </w:rPr>
            </w:pPr>
            <w:r>
              <w:rPr>
                <w:rFonts w:ascii="Arial" w:cs="Arial" w:eastAsia="Arial" w:hAnsi="Arial"/>
                <w:sz w:val="17"/>
                <w:szCs w:val="17"/>
                <w:color w:val="auto"/>
              </w:rPr>
              <w:t>Historical net tangible book value per share as of September 30, 2020</w:t>
            </w:r>
          </w:p>
        </w:tc>
        <w:tc>
          <w:tcPr>
            <w:tcW w:w="8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w w:val="98"/>
              </w:rPr>
              <w:t>$6.79</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92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Increase in net tangible book value per share attributable to new investors in this offering</w:t>
            </w:r>
          </w:p>
        </w:tc>
        <w:tc>
          <w:tcPr>
            <w:tcW w:w="8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3.88</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9260" w:type="dxa"/>
            <w:vAlign w:val="bottom"/>
          </w:tcPr>
          <w:p>
            <w:pPr>
              <w:spacing w:after="0"/>
              <w:rPr>
                <w:sz w:val="20"/>
                <w:szCs w:val="20"/>
                <w:color w:val="auto"/>
              </w:rPr>
            </w:pPr>
            <w:r>
              <w:rPr>
                <w:rFonts w:ascii="Arial" w:cs="Arial" w:eastAsia="Arial" w:hAnsi="Arial"/>
                <w:sz w:val="17"/>
                <w:szCs w:val="17"/>
                <w:color w:val="auto"/>
              </w:rPr>
              <w:t>As adjusted net tangible book value per share after this offering</w:t>
            </w:r>
          </w:p>
        </w:tc>
        <w:tc>
          <w:tcPr>
            <w:tcW w:w="4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10.67</w:t>
            </w:r>
          </w:p>
        </w:tc>
        <w:tc>
          <w:tcPr>
            <w:tcW w:w="60" w:type="dxa"/>
            <w:vAlign w:val="bottom"/>
          </w:tcPr>
          <w:p>
            <w:pPr>
              <w:spacing w:after="0"/>
              <w:rPr>
                <w:sz w:val="17"/>
                <w:szCs w:val="17"/>
                <w:color w:val="auto"/>
              </w:rPr>
            </w:pPr>
          </w:p>
        </w:tc>
      </w:tr>
      <w:tr>
        <w:trPr>
          <w:trHeight w:val="189"/>
        </w:trPr>
        <w:tc>
          <w:tcPr>
            <w:tcW w:w="9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per share to new investors purchasing shares in this offering</w:t>
            </w:r>
          </w:p>
        </w:tc>
        <w:tc>
          <w:tcPr>
            <w:tcW w:w="110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65.33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If the underwriters fully exercise their option to purchase additional shares at the public offering price of $76.00 per share, as adjusted net tangible book value after this offering would increase to approximately $11.22 per share, and there would be an immediate dilution of approximately $64.78 per share to new investors.</w:t>
      </w:r>
    </w:p>
    <w:p>
      <w:pPr>
        <w:spacing w:after="0" w:line="147"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The following table summarizes, on an as adjusted basis, as of September 30, 2020, the difference between the number of shares of common stock purchased from us, the total consideration paid, and the weighted-average price per share paid, by existing stockholders and by new investors in this offering, at the public offering price of $76.00 per share and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26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SHARES PURCHASED</w:t>
            </w:r>
          </w:p>
        </w:tc>
        <w:tc>
          <w:tcPr>
            <w:tcW w:w="180" w:type="dxa"/>
            <w:vAlign w:val="bottom"/>
          </w:tcPr>
          <w:p>
            <w:pPr>
              <w:spacing w:after="0"/>
              <w:rPr>
                <w:sz w:val="14"/>
                <w:szCs w:val="14"/>
                <w:color w:val="auto"/>
              </w:rPr>
            </w:pPr>
          </w:p>
        </w:tc>
        <w:tc>
          <w:tcPr>
            <w:tcW w:w="242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TOTAL CONSIDERATION</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22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119"/>
              <w:spacing w:after="0" w:line="14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PERCENT</w:t>
            </w:r>
          </w:p>
        </w:tc>
        <w:tc>
          <w:tcPr>
            <w:tcW w:w="180" w:type="dxa"/>
            <w:vAlign w:val="bottom"/>
          </w:tcPr>
          <w:p>
            <w:pPr>
              <w:spacing w:after="0"/>
              <w:rPr>
                <w:sz w:val="15"/>
                <w:szCs w:val="15"/>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PERCENT</w:t>
            </w:r>
          </w:p>
        </w:tc>
        <w:tc>
          <w:tcPr>
            <w:tcW w:w="16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Existing stockholders before this offering</w:t>
            </w:r>
          </w:p>
        </w:tc>
        <w:tc>
          <w:tcPr>
            <w:tcW w:w="9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80" w:type="dxa"/>
            <w:vAlign w:val="bottom"/>
            <w:vMerge w:val="continue"/>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37,107,522</w:t>
            </w:r>
          </w:p>
        </w:tc>
        <w:tc>
          <w:tcPr>
            <w:tcW w:w="360" w:type="dxa"/>
            <w:vAlign w:val="bottom"/>
            <w:vMerge w:val="continue"/>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color w:val="auto"/>
              </w:rPr>
              <w:t>94.0%</w:t>
            </w:r>
          </w:p>
        </w:tc>
        <w:tc>
          <w:tcPr>
            <w:tcW w:w="180" w:type="dxa"/>
            <w:vAlign w:val="bottom"/>
            <w:vMerge w:val="continue"/>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$362,770,656</w:t>
            </w:r>
          </w:p>
        </w:tc>
        <w:tc>
          <w:tcPr>
            <w:tcW w:w="360" w:type="dxa"/>
            <w:vAlign w:val="bottom"/>
            <w:vMerge w:val="continue"/>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color w:val="auto"/>
              </w:rPr>
              <w:t>66.7%</w:t>
            </w:r>
          </w:p>
        </w:tc>
        <w:tc>
          <w:tcPr>
            <w:tcW w:w="1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6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9.78</w:t>
            </w:r>
          </w:p>
        </w:tc>
        <w:tc>
          <w:tcPr>
            <w:tcW w:w="0" w:type="dxa"/>
            <w:vAlign w:val="bottom"/>
          </w:tcPr>
          <w:p>
            <w:pPr>
              <w:spacing w:after="0"/>
              <w:rPr>
                <w:sz w:val="1"/>
                <w:szCs w:val="1"/>
                <w:color w:val="auto"/>
              </w:rPr>
            </w:pPr>
          </w:p>
        </w:tc>
      </w:tr>
      <w:tr>
        <w:trPr>
          <w:trHeight w:val="189"/>
        </w:trPr>
        <w:tc>
          <w:tcPr>
            <w:tcW w:w="5080" w:type="dxa"/>
            <w:vAlign w:val="bottom"/>
          </w:tcPr>
          <w:p>
            <w:pPr>
              <w:spacing w:after="0" w:line="189" w:lineRule="exact"/>
              <w:rPr>
                <w:sz w:val="20"/>
                <w:szCs w:val="20"/>
                <w:color w:val="auto"/>
              </w:rPr>
            </w:pPr>
            <w:r>
              <w:rPr>
                <w:rFonts w:ascii="Arial" w:cs="Arial" w:eastAsia="Arial" w:hAnsi="Arial"/>
                <w:sz w:val="17"/>
                <w:szCs w:val="17"/>
                <w:color w:val="auto"/>
              </w:rPr>
              <w:t>Investors participating in this offering</w:t>
            </w:r>
          </w:p>
        </w:tc>
        <w:tc>
          <w:tcPr>
            <w:tcW w:w="12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2,380,000</w:t>
            </w: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6.0</w:t>
            </w:r>
          </w:p>
        </w:tc>
        <w:tc>
          <w:tcPr>
            <w:tcW w:w="160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180,880,000</w:t>
            </w: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33.3</w:t>
            </w: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76.00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0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w:t>
            </w:r>
          </w:p>
        </w:tc>
        <w:tc>
          <w:tcPr>
            <w:tcW w:w="12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39,487,522</w:t>
            </w:r>
          </w:p>
        </w:tc>
        <w:tc>
          <w:tcPr>
            <w:tcW w:w="10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100%</w:t>
            </w:r>
          </w:p>
        </w:tc>
        <w:tc>
          <w:tcPr>
            <w:tcW w:w="16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543,650,656</w:t>
            </w:r>
          </w:p>
        </w:tc>
        <w:tc>
          <w:tcPr>
            <w:tcW w:w="10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420"/>
        <w:spacing w:after="0" w:line="232" w:lineRule="auto"/>
        <w:rPr>
          <w:sz w:val="20"/>
          <w:szCs w:val="20"/>
          <w:color w:val="auto"/>
        </w:rPr>
      </w:pPr>
      <w:r>
        <w:rPr>
          <w:rFonts w:ascii="Arial" w:cs="Arial" w:eastAsia="Arial" w:hAnsi="Arial"/>
          <w:sz w:val="17"/>
          <w:szCs w:val="17"/>
          <w:color w:val="auto"/>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w:t>
      </w:r>
    </w:p>
    <w:p>
      <w:pPr>
        <w:ind w:left="120" w:right="100"/>
        <w:spacing w:after="0" w:line="243" w:lineRule="auto"/>
        <w:rPr>
          <w:sz w:val="20"/>
          <w:szCs w:val="20"/>
          <w:color w:val="auto"/>
        </w:rPr>
      </w:pPr>
      <w:r>
        <w:rPr>
          <w:rFonts w:ascii="Arial" w:cs="Arial" w:eastAsia="Arial" w:hAnsi="Arial"/>
          <w:sz w:val="17"/>
          <w:szCs w:val="17"/>
          <w:color w:val="auto"/>
        </w:rPr>
        <w:t>93.1% of the total number of shares of our common stock outstanding after this offering, and the number of shares of common stock held by new investors participating in the offering would be increased to 6.9% of the total number of shares outstanding after this offering.</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The foregoing tables and calculations (other than the historical net tangible book value calculations) are based on 37,107,522 shares of our common stock outstanding as of September 30, 2020, and excludes:</w:t>
      </w:r>
    </w:p>
    <w:p>
      <w:pPr>
        <w:spacing w:after="0" w:line="185" w:lineRule="exact"/>
        <w:rPr>
          <w:sz w:val="20"/>
          <w:szCs w:val="20"/>
          <w:color w:val="auto"/>
        </w:rPr>
      </w:pPr>
    </w:p>
    <w:p>
      <w:pPr>
        <w:ind w:left="980" w:right="12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4,751,589 shares of common stock, issuable upon exercise of options outstanding as of September 30, 2020, at a weighted-average exercise price of $8.09 per share;</w:t>
      </w:r>
    </w:p>
    <w:p>
      <w:pPr>
        <w:spacing w:after="0" w:line="22"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57,200 shares of common stock issuable upon exercise of options granted after September 30, 2020, at a weighted-average exercise price of $49.57 per share;</w:t>
      </w:r>
    </w:p>
    <w:p>
      <w:pPr>
        <w:spacing w:after="0" w:line="22" w:lineRule="exact"/>
        <w:rPr>
          <w:rFonts w:ascii="MS PGothic" w:cs="MS PGothic" w:eastAsia="MS PGothic" w:hAnsi="MS PGothic"/>
          <w:sz w:val="13"/>
          <w:szCs w:val="13"/>
          <w:color w:val="auto"/>
        </w:rPr>
      </w:pPr>
    </w:p>
    <w:p>
      <w:pPr>
        <w:jc w:val="both"/>
        <w:ind w:left="980" w:right="60" w:hanging="432"/>
        <w:spacing w:after="0" w:line="238"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2,941,162 shares of common stock reserved for issuance pursuant to future awards under our 2020 Plan, as of September 30, 2020, plus any future increases in the number of shares of common stock reserved for issuance under our 2020 Plan pursuant to provisions thereof that automatically increase the share reserve under the plan each year; and</w:t>
      </w:r>
    </w:p>
    <w:p>
      <w:pPr>
        <w:spacing w:after="0" w:line="25" w:lineRule="exact"/>
        <w:rPr>
          <w:rFonts w:ascii="MS PGothic" w:cs="MS PGothic" w:eastAsia="MS PGothic" w:hAnsi="MS PGothic"/>
          <w:sz w:val="13"/>
          <w:szCs w:val="13"/>
          <w:color w:val="auto"/>
        </w:rPr>
      </w:pPr>
    </w:p>
    <w:p>
      <w:pPr>
        <w:ind w:left="980" w:right="180" w:hanging="432"/>
        <w:spacing w:after="0" w:line="238"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400,000 shares of common stock reserved for future issuance under our ESPP, plus any future increases in the number of shares of common stock reserved for issuance under the ESPP pursuant to provisions thereof that automatically increase the share reserve under the plan each year.</w:t>
      </w:r>
    </w:p>
    <w:p>
      <w:pPr>
        <w:spacing w:after="0" w:line="147"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To the extent that any outstanding options are exercised or new options are issued under the equity benefit plans, or we issue additional shares of common stock or convertible securities in the future, there will be further dilution to investors participating in this offering.</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36" w:lineRule="exact"/>
        <w:rPr>
          <w:sz w:val="20"/>
          <w:szCs w:val="20"/>
          <w:color w:val="auto"/>
        </w:rPr>
      </w:pPr>
    </w:p>
    <w:p>
      <w:pPr>
        <w:ind w:left="120" w:right="120"/>
        <w:spacing w:after="0" w:line="233" w:lineRule="auto"/>
        <w:rPr>
          <w:sz w:val="20"/>
          <w:szCs w:val="20"/>
          <w:color w:val="auto"/>
        </w:rPr>
      </w:pPr>
      <w:r>
        <w:rPr>
          <w:rFonts w:ascii="Arial" w:cs="Arial" w:eastAsia="Arial" w:hAnsi="Arial"/>
          <w:sz w:val="17"/>
          <w:szCs w:val="17"/>
          <w:color w:val="auto"/>
        </w:rPr>
        <w:t>The following tables set forth our selected consolidated financial data for the periods and as of the dates indicated. We derived our consolidated statements of operations and comprehensive loss data for the years ended December 31, 2018 and December 31, 2019, and our consolidated balance sheet data as of December 31, 2018 and December 31, 2019, from our audited consolidated financial statements included elsewhere in this prospectus. The consolidated statements of operations and comprehensive loss data for the nine months ended September 30, 2019 and September 30, 2020, and the consolidated balance sheet data as of September 30, 2020 have been derived from our unaudited interim condensed consolidated financial statements included elsewhere in this prospectus. In our opinion, these unaudited interim condensed consolidated financial statements have been prepared on a basis consistent with our audited consolidated financial statements and contain all adjustments, consisting only of normal and recurring adjustments, necessary for a fair presentation of such consolidated financial data. Our historical results are not necessarily indicative of the results that may be expected in the future. You should read the following selected consolidated financial data in conjunction with our consolidated financial statements and related notes included elsewhere in this prospectus and the information in the section titled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23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Operations and Comprehensive Loss</w:t>
            </w:r>
          </w:p>
        </w:tc>
        <w:tc>
          <w:tcPr>
            <w:tcW w:w="120" w:type="dxa"/>
            <w:vAlign w:val="bottom"/>
          </w:tcPr>
          <w:p>
            <w:pPr>
              <w:spacing w:after="0"/>
              <w:rPr>
                <w:sz w:val="15"/>
                <w:szCs w:val="15"/>
                <w:color w:val="auto"/>
              </w:rPr>
            </w:pPr>
          </w:p>
        </w:tc>
        <w:tc>
          <w:tcPr>
            <w:tcW w:w="25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23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598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gridSpan w:val="10"/>
          </w:tcPr>
          <w:p>
            <w:pPr>
              <w:jc w:val="right"/>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2,067</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4,796</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3,583</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1,182</w:t>
            </w: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000"/>
              <w:spacing w:after="0" w:line="189" w:lineRule="exact"/>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11,270</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16,306</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9,571</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16,819</w:t>
            </w:r>
          </w:p>
        </w:tc>
        <w:tc>
          <w:tcPr>
            <w:tcW w:w="0" w:type="dxa"/>
            <w:vAlign w:val="bottom"/>
          </w:tcPr>
          <w:p>
            <w:pPr>
              <w:spacing w:after="0"/>
              <w:rPr>
                <w:sz w:val="1"/>
                <w:szCs w:val="1"/>
                <w:color w:val="auto"/>
              </w:rPr>
            </w:pPr>
          </w:p>
        </w:tc>
      </w:tr>
      <w:tr>
        <w:trPr>
          <w:trHeight w:val="189"/>
        </w:trPr>
        <w:tc>
          <w:tcPr>
            <w:tcW w:w="5980" w:type="dxa"/>
            <w:vAlign w:val="bottom"/>
          </w:tcPr>
          <w:p>
            <w:pPr>
              <w:ind w:left="1000"/>
              <w:spacing w:after="0" w:line="189" w:lineRule="exact"/>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6"/>
                <w:szCs w:val="16"/>
                <w:color w:val="auto"/>
              </w:rPr>
            </w:pPr>
          </w:p>
        </w:tc>
        <w:tc>
          <w:tcPr>
            <w:tcW w:w="10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2,601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3,313</w:t>
            </w:r>
          </w:p>
        </w:tc>
        <w:tc>
          <w:tcPr>
            <w:tcW w:w="120" w:type="dxa"/>
            <w:vAlign w:val="bottom"/>
          </w:tcPr>
          <w:p>
            <w:pPr>
              <w:spacing w:after="0"/>
              <w:rPr>
                <w:sz w:val="16"/>
                <w:szCs w:val="16"/>
                <w:color w:val="auto"/>
              </w:rPr>
            </w:pPr>
          </w:p>
        </w:tc>
        <w:tc>
          <w:tcPr>
            <w:tcW w:w="122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2,205</w:t>
            </w:r>
          </w:p>
        </w:tc>
        <w:tc>
          <w:tcPr>
            <w:tcW w:w="30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9,126</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0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1,880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4,360</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3,257</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150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15,751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23,979</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15,033</w:t>
            </w:r>
          </w:p>
        </w:tc>
        <w:tc>
          <w:tcPr>
            <w:tcW w:w="3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27,020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(13,684)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(19,183)</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(11,450)</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(25,838)</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0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(660)</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net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(4)</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00"/>
              <w:spacing w:after="0"/>
              <w:rPr>
                <w:sz w:val="20"/>
                <w:szCs w:val="20"/>
                <w:color w:val="auto"/>
              </w:rPr>
            </w:pPr>
            <w:r>
              <w:rPr>
                <w:rFonts w:ascii="Arial" w:cs="Arial" w:eastAsia="Arial" w:hAnsi="Arial"/>
                <w:sz w:val="17"/>
                <w:szCs w:val="17"/>
                <w:color w:val="auto"/>
              </w:rPr>
              <w:t>Loss before income taxes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(13,686)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(19,209)</w:t>
            </w:r>
          </w:p>
        </w:tc>
        <w:tc>
          <w:tcPr>
            <w:tcW w:w="12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(11,454)</w:t>
            </w:r>
          </w:p>
        </w:tc>
        <w:tc>
          <w:tcPr>
            <w:tcW w:w="3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(26,907)</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(25)</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00"/>
              <w:spacing w:after="0"/>
              <w:rPr>
                <w:sz w:val="20"/>
                <w:szCs w:val="20"/>
                <w:color w:val="auto"/>
              </w:rPr>
            </w:pPr>
            <w:r>
              <w:rPr>
                <w:rFonts w:ascii="Arial" w:cs="Arial" w:eastAsia="Arial" w:hAnsi="Arial"/>
                <w:sz w:val="17"/>
                <w:szCs w:val="17"/>
                <w:color w:val="auto"/>
              </w:rPr>
              <w:t>Net loss and comprehensive loss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(13,731)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(19,243)</w:t>
            </w:r>
          </w:p>
        </w:tc>
        <w:tc>
          <w:tcPr>
            <w:tcW w:w="12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(11,479)</w:t>
            </w:r>
          </w:p>
        </w:tc>
        <w:tc>
          <w:tcPr>
            <w:tcW w:w="3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(26,966)</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(3,671)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(4,028)</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(2,957)</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(5,202)</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00"/>
              <w:spacing w:after="0"/>
              <w:rPr>
                <w:sz w:val="20"/>
                <w:szCs w:val="20"/>
                <w:color w:val="auto"/>
              </w:rPr>
            </w:pPr>
            <w:r>
              <w:rPr>
                <w:rFonts w:ascii="Arial" w:cs="Arial" w:eastAsia="Arial" w:hAnsi="Arial"/>
                <w:sz w:val="17"/>
                <w:szCs w:val="17"/>
                <w:color w:val="auto"/>
              </w:rPr>
              <w:t>Net loss attributable to common stockholders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(17,402)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(23,271)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(14,436)</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(32,168)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per share attributable to common stockholders, basic and</w:t>
            </w:r>
          </w:p>
        </w:tc>
        <w:tc>
          <w:tcPr>
            <w:tcW w:w="120" w:type="dxa"/>
            <w:vAlign w:val="bottom"/>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020" w:type="dxa"/>
            <w:vAlign w:val="bottom"/>
            <w:gridSpan w:val="2"/>
            <w:vMerge w:val="restart"/>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(6.33)</w:t>
            </w:r>
          </w:p>
        </w:tc>
        <w:tc>
          <w:tcPr>
            <w:tcW w:w="280" w:type="dxa"/>
            <w:vAlign w:val="bottom"/>
            <w:gridSpan w:val="2"/>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200" w:type="dxa"/>
            <w:vAlign w:val="bottom"/>
            <w:gridSpan w:val="2"/>
            <w:vMerge w:val="restart"/>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(7.56)</w:t>
            </w:r>
          </w:p>
        </w:tc>
        <w:tc>
          <w:tcPr>
            <w:tcW w:w="120" w:type="dxa"/>
            <w:vAlign w:val="bottom"/>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220" w:type="dxa"/>
            <w:vAlign w:val="bottom"/>
            <w:gridSpan w:val="2"/>
            <w:vMerge w:val="restart"/>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(4.72)</w:t>
            </w:r>
          </w:p>
        </w:tc>
        <w:tc>
          <w:tcPr>
            <w:tcW w:w="30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vMerge w:val="restart"/>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10"/>
        </w:trPr>
        <w:tc>
          <w:tcPr>
            <w:tcW w:w="5980" w:type="dxa"/>
            <w:vAlign w:val="bottom"/>
            <w:shd w:val="clear" w:color="auto" w:fill="CCEEFF"/>
          </w:tcPr>
          <w:p>
            <w:pPr>
              <w:ind w:left="240"/>
              <w:spacing w:after="0" w:line="10" w:lineRule="exact"/>
              <w:rPr>
                <w:sz w:val="20"/>
                <w:szCs w:val="20"/>
                <w:color w:val="auto"/>
              </w:rPr>
            </w:pPr>
            <w:r>
              <w:rPr>
                <w:rFonts w:ascii="Arial" w:cs="Arial" w:eastAsia="Arial" w:hAnsi="Arial"/>
                <w:sz w:val="1"/>
                <w:szCs w:val="1"/>
                <w:color w:val="auto"/>
              </w:rPr>
              <w:t>diluted</w:t>
            </w:r>
          </w:p>
        </w:tc>
        <w:tc>
          <w:tcPr>
            <w:tcW w:w="120" w:type="dxa"/>
            <w:vAlign w:val="bottom"/>
            <w:vMerge w:val="continue"/>
            <w:shd w:val="clear" w:color="auto" w:fill="CCEEFF"/>
          </w:tcPr>
          <w:p>
            <w:pPr>
              <w:spacing w:after="0" w:line="20" w:lineRule="exact"/>
              <w:rPr>
                <w:sz w:val="1"/>
                <w:szCs w:val="1"/>
                <w:color w:val="auto"/>
              </w:rPr>
            </w:pPr>
          </w:p>
        </w:tc>
        <w:tc>
          <w:tcPr>
            <w:tcW w:w="1020" w:type="dxa"/>
            <w:vAlign w:val="bottom"/>
            <w:gridSpan w:val="2"/>
            <w:vMerge w:val="continue"/>
            <w:shd w:val="clear" w:color="auto" w:fill="CCEEFF"/>
          </w:tcPr>
          <w:p>
            <w:pPr>
              <w:spacing w:after="0" w:line="20" w:lineRule="exact"/>
              <w:rPr>
                <w:sz w:val="1"/>
                <w:szCs w:val="1"/>
                <w:color w:val="auto"/>
              </w:rPr>
            </w:pPr>
          </w:p>
        </w:tc>
        <w:tc>
          <w:tcPr>
            <w:tcW w:w="280" w:type="dxa"/>
            <w:vAlign w:val="bottom"/>
            <w:gridSpan w:val="2"/>
            <w:vMerge w:val="continue"/>
            <w:shd w:val="clear" w:color="auto" w:fill="CCEEFF"/>
          </w:tcPr>
          <w:p>
            <w:pPr>
              <w:spacing w:after="0" w:line="20" w:lineRule="exact"/>
              <w:rPr>
                <w:sz w:val="1"/>
                <w:szCs w:val="1"/>
                <w:color w:val="auto"/>
              </w:rPr>
            </w:pPr>
          </w:p>
        </w:tc>
        <w:tc>
          <w:tcPr>
            <w:tcW w:w="1200" w:type="dxa"/>
            <w:vAlign w:val="bottom"/>
            <w:gridSpan w:val="2"/>
            <w:vMerge w:val="continue"/>
            <w:shd w:val="clear" w:color="auto" w:fill="CCEEFF"/>
          </w:tcPr>
          <w:p>
            <w:pPr>
              <w:spacing w:after="0" w:line="20" w:lineRule="exact"/>
              <w:rPr>
                <w:sz w:val="1"/>
                <w:szCs w:val="1"/>
                <w:color w:val="auto"/>
              </w:rPr>
            </w:pPr>
          </w:p>
        </w:tc>
        <w:tc>
          <w:tcPr>
            <w:tcW w:w="120" w:type="dxa"/>
            <w:vAlign w:val="bottom"/>
            <w:vMerge w:val="continue"/>
            <w:shd w:val="clear" w:color="auto" w:fill="CCEEFF"/>
          </w:tcPr>
          <w:p>
            <w:pPr>
              <w:spacing w:after="0" w:line="20" w:lineRule="exact"/>
              <w:rPr>
                <w:sz w:val="1"/>
                <w:szCs w:val="1"/>
                <w:color w:val="auto"/>
              </w:rPr>
            </w:pPr>
          </w:p>
        </w:tc>
        <w:tc>
          <w:tcPr>
            <w:tcW w:w="1220" w:type="dxa"/>
            <w:vAlign w:val="bottom"/>
            <w:gridSpan w:val="2"/>
            <w:vMerge w:val="continue"/>
            <w:shd w:val="clear" w:color="auto" w:fill="CCEEFF"/>
          </w:tcPr>
          <w:p>
            <w:pPr>
              <w:spacing w:after="0" w:line="20" w:lineRule="exact"/>
              <w:rPr>
                <w:sz w:val="1"/>
                <w:szCs w:val="1"/>
                <w:color w:val="auto"/>
              </w:rPr>
            </w:pPr>
          </w:p>
        </w:tc>
        <w:tc>
          <w:tcPr>
            <w:tcW w:w="300" w:type="dxa"/>
            <w:vAlign w:val="bottom"/>
            <w:vMerge w:val="continue"/>
            <w:shd w:val="clear" w:color="auto" w:fill="CCEEFF"/>
          </w:tcPr>
          <w:p>
            <w:pPr>
              <w:spacing w:after="0" w:line="20" w:lineRule="exact"/>
              <w:rPr>
                <w:sz w:val="1"/>
                <w:szCs w:val="1"/>
                <w:color w:val="auto"/>
              </w:rPr>
            </w:pPr>
          </w:p>
        </w:tc>
        <w:tc>
          <w:tcPr>
            <w:tcW w:w="78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980" w:type="dxa"/>
            <w:vAlign w:val="bottom"/>
            <w:shd w:val="clear" w:color="auto" w:fill="CCEEFF"/>
          </w:tcPr>
          <w:p>
            <w:pPr>
              <w:ind w:left="760"/>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500"/>
              <w:spacing w:after="0"/>
              <w:rPr>
                <w:sz w:val="20"/>
                <w:szCs w:val="20"/>
                <w:color w:val="auto"/>
              </w:rPr>
            </w:pPr>
            <w:r>
              <w:rPr>
                <w:rFonts w:ascii="Arial" w:cs="Arial" w:eastAsia="Arial" w:hAnsi="Arial"/>
                <w:sz w:val="17"/>
                <w:szCs w:val="17"/>
                <w:color w:val="auto"/>
              </w:rPr>
              <w:t>Weighted-average shares used to compute net loss per share</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80" w:type="dxa"/>
            <w:vAlign w:val="bottom"/>
          </w:tcPr>
          <w:p>
            <w:pPr>
              <w:ind w:left="760"/>
              <w:spacing w:after="0"/>
              <w:rPr>
                <w:sz w:val="20"/>
                <w:szCs w:val="20"/>
                <w:color w:val="auto"/>
              </w:rPr>
            </w:pPr>
            <w:r>
              <w:rPr>
                <w:rFonts w:ascii="Arial" w:cs="Arial" w:eastAsia="Arial" w:hAnsi="Arial"/>
                <w:sz w:val="17"/>
                <w:szCs w:val="17"/>
                <w:color w:val="auto"/>
              </w:rPr>
              <w:t>attributable to common stockholders, basic and diluted</w:t>
            </w: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2,750,838</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3,076,461</w:t>
            </w:r>
          </w:p>
        </w:tc>
        <w:tc>
          <w:tcPr>
            <w:tcW w:w="120" w:type="dxa"/>
            <w:vAlign w:val="bottom"/>
          </w:tcPr>
          <w:p>
            <w:pPr>
              <w:spacing w:after="0"/>
              <w:rPr>
                <w:sz w:val="16"/>
                <w:szCs w:val="16"/>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3,061,082</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12,052,876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40" w:right="220" w:hanging="249"/>
        <w:spacing w:after="0" w:line="183" w:lineRule="auto"/>
        <w:tabs>
          <w:tab w:leader="none" w:pos="54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See Note 10 to our audited consolidated financial statements included elsewhere in this prospectus for an explanation of the method used to calculate historical net loss per share and the weighted-average number of shares used in the computation of the per share amounts.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213995</wp:posOffset>
            </wp:positionV>
            <wp:extent cx="67119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50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34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Pr>
          <w:p>
            <w:pPr>
              <w:spacing w:after="0"/>
              <w:rPr>
                <w:sz w:val="15"/>
                <w:szCs w:val="15"/>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3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50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2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3500" w:type="dxa"/>
            <w:vAlign w:val="bottom"/>
            <w:gridSpan w:val="3"/>
          </w:tcPr>
          <w:p>
            <w:pPr>
              <w:jc w:val="right"/>
              <w:ind w:right="520"/>
              <w:spacing w:after="0" w:line="189" w:lineRule="exact"/>
              <w:rPr>
                <w:sz w:val="20"/>
                <w:szCs w:val="20"/>
                <w:color w:val="auto"/>
              </w:rPr>
            </w:pPr>
            <w:r>
              <w:rPr>
                <w:rFonts w:ascii="Arial" w:cs="Arial" w:eastAsia="Arial" w:hAnsi="Arial"/>
                <w:sz w:val="17"/>
                <w:szCs w:val="17"/>
                <w:color w:val="auto"/>
              </w:rPr>
              <w:t>$  8,262</w:t>
            </w:r>
          </w:p>
        </w:tc>
        <w:tc>
          <w:tcPr>
            <w:tcW w:w="114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  9,017</w:t>
            </w:r>
          </w:p>
        </w:tc>
        <w:tc>
          <w:tcPr>
            <w:tcW w:w="2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259,484</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(1)</w:t>
            </w:r>
          </w:p>
        </w:tc>
        <w:tc>
          <w:tcPr>
            <w:tcW w:w="3500" w:type="dxa"/>
            <w:vAlign w:val="bottom"/>
            <w:gridSpan w:val="3"/>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8,335</w:t>
            </w:r>
          </w:p>
        </w:tc>
        <w:tc>
          <w:tcPr>
            <w:tcW w:w="114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4,825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255,207</w:t>
            </w:r>
          </w:p>
        </w:tc>
        <w:tc>
          <w:tcPr>
            <w:tcW w:w="0" w:type="dxa"/>
            <w:vAlign w:val="bottom"/>
          </w:tcPr>
          <w:p>
            <w:pPr>
              <w:spacing w:after="0"/>
              <w:rPr>
                <w:sz w:val="1"/>
                <w:szCs w:val="1"/>
                <w:color w:val="auto"/>
              </w:rPr>
            </w:pP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3500" w:type="dxa"/>
            <w:vAlign w:val="bottom"/>
            <w:gridSpan w:val="3"/>
          </w:tcPr>
          <w:p>
            <w:pPr>
              <w:jc w:val="right"/>
              <w:ind w:right="520"/>
              <w:spacing w:after="0" w:line="189" w:lineRule="exact"/>
              <w:rPr>
                <w:sz w:val="20"/>
                <w:szCs w:val="20"/>
                <w:color w:val="auto"/>
              </w:rPr>
            </w:pPr>
            <w:r>
              <w:rPr>
                <w:rFonts w:ascii="Arial" w:cs="Arial" w:eastAsia="Arial" w:hAnsi="Arial"/>
                <w:sz w:val="17"/>
                <w:szCs w:val="17"/>
                <w:color w:val="auto"/>
              </w:rPr>
              <w:t>11,164</w:t>
            </w:r>
          </w:p>
        </w:tc>
        <w:tc>
          <w:tcPr>
            <w:tcW w:w="114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10,676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262,449</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3500" w:type="dxa"/>
            <w:vAlign w:val="bottom"/>
            <w:gridSpan w:val="3"/>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2,009</w:t>
            </w:r>
          </w:p>
        </w:tc>
        <w:tc>
          <w:tcPr>
            <w:tcW w:w="114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10,952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10,433</w:t>
            </w:r>
          </w:p>
        </w:tc>
        <w:tc>
          <w:tcPr>
            <w:tcW w:w="0" w:type="dxa"/>
            <w:vAlign w:val="bottom"/>
          </w:tcPr>
          <w:p>
            <w:pPr>
              <w:spacing w:after="0"/>
              <w:rPr>
                <w:sz w:val="1"/>
                <w:szCs w:val="1"/>
                <w:color w:val="auto"/>
              </w:rPr>
            </w:pP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7"/>
                <w:szCs w:val="17"/>
                <w:color w:val="auto"/>
              </w:rPr>
              <w:t>Convertible preferred shares</w:t>
            </w:r>
          </w:p>
        </w:tc>
        <w:tc>
          <w:tcPr>
            <w:tcW w:w="3500" w:type="dxa"/>
            <w:vAlign w:val="bottom"/>
            <w:gridSpan w:val="3"/>
          </w:tcPr>
          <w:p>
            <w:pPr>
              <w:jc w:val="right"/>
              <w:ind w:right="520"/>
              <w:spacing w:after="0" w:line="189" w:lineRule="exact"/>
              <w:rPr>
                <w:sz w:val="20"/>
                <w:szCs w:val="20"/>
                <w:color w:val="auto"/>
              </w:rPr>
            </w:pPr>
            <w:r>
              <w:rPr>
                <w:rFonts w:ascii="Arial" w:cs="Arial" w:eastAsia="Arial" w:hAnsi="Arial"/>
                <w:sz w:val="17"/>
                <w:szCs w:val="17"/>
                <w:color w:val="auto"/>
              </w:rPr>
              <w:t>60,933</w:t>
            </w:r>
          </w:p>
        </w:tc>
        <w:tc>
          <w:tcPr>
            <w:tcW w:w="114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70,363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deficit</w:t>
            </w:r>
          </w:p>
        </w:tc>
        <w:tc>
          <w:tcPr>
            <w:tcW w:w="3500" w:type="dxa"/>
            <w:vAlign w:val="bottom"/>
            <w:gridSpan w:val="3"/>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(53,539)</w:t>
            </w:r>
          </w:p>
        </w:tc>
        <w:tc>
          <w:tcPr>
            <w:tcW w:w="114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(72,782)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(99,748)</w:t>
            </w:r>
          </w:p>
        </w:tc>
        <w:tc>
          <w:tcPr>
            <w:tcW w:w="0" w:type="dxa"/>
            <w:vAlign w:val="bottom"/>
          </w:tcPr>
          <w:p>
            <w:pPr>
              <w:spacing w:after="0"/>
              <w:rPr>
                <w:sz w:val="1"/>
                <w:szCs w:val="1"/>
                <w:color w:val="auto"/>
              </w:rPr>
            </w:pPr>
          </w:p>
        </w:tc>
      </w:tr>
      <w:tr>
        <w:trPr>
          <w:trHeight w:val="205"/>
        </w:trPr>
        <w:tc>
          <w:tcPr>
            <w:tcW w:w="5060" w:type="dxa"/>
            <w:vAlign w:val="bottom"/>
          </w:tcPr>
          <w:p>
            <w:pPr>
              <w:spacing w:after="0"/>
              <w:rPr>
                <w:sz w:val="20"/>
                <w:szCs w:val="20"/>
                <w:color w:val="auto"/>
              </w:rPr>
            </w:pPr>
            <w:r>
              <w:rPr>
                <w:rFonts w:ascii="Arial" w:cs="Arial" w:eastAsia="Arial" w:hAnsi="Arial"/>
                <w:sz w:val="17"/>
                <w:szCs w:val="17"/>
                <w:color w:val="auto"/>
              </w:rPr>
              <w:t>Total shareholders’ equity (deficit)</w:t>
            </w:r>
          </w:p>
        </w:tc>
        <w:tc>
          <w:tcPr>
            <w:tcW w:w="3500" w:type="dxa"/>
            <w:vAlign w:val="bottom"/>
            <w:gridSpan w:val="3"/>
          </w:tcPr>
          <w:p>
            <w:pPr>
              <w:jc w:val="right"/>
              <w:ind w:right="460"/>
              <w:spacing w:after="0"/>
              <w:rPr>
                <w:sz w:val="20"/>
                <w:szCs w:val="20"/>
                <w:color w:val="auto"/>
              </w:rPr>
            </w:pPr>
            <w:r>
              <w:rPr>
                <w:rFonts w:ascii="Arial" w:cs="Arial" w:eastAsia="Arial" w:hAnsi="Arial"/>
                <w:sz w:val="17"/>
                <w:szCs w:val="17"/>
                <w:color w:val="auto"/>
              </w:rPr>
              <w:t>(51,778)</w:t>
            </w:r>
          </w:p>
        </w:tc>
        <w:tc>
          <w:tcPr>
            <w:tcW w:w="1140" w:type="dxa"/>
            <w:vAlign w:val="bottom"/>
            <w:gridSpan w:val="2"/>
          </w:tcPr>
          <w:p>
            <w:pPr>
              <w:jc w:val="right"/>
              <w:ind w:right="400"/>
              <w:spacing w:after="0"/>
              <w:rPr>
                <w:sz w:val="20"/>
                <w:szCs w:val="20"/>
                <w:color w:val="auto"/>
              </w:rPr>
            </w:pPr>
            <w:r>
              <w:rPr>
                <w:rFonts w:ascii="Arial" w:cs="Arial" w:eastAsia="Arial" w:hAnsi="Arial"/>
                <w:sz w:val="17"/>
                <w:szCs w:val="17"/>
                <w:color w:val="auto"/>
              </w:rPr>
              <w:t>(70,639)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252,016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1" w:lineRule="exact"/>
        <w:rPr>
          <w:sz w:val="20"/>
          <w:szCs w:val="20"/>
          <w:color w:val="auto"/>
        </w:rPr>
      </w:pPr>
    </w:p>
    <w:p>
      <w:pPr>
        <w:ind w:left="540" w:right="480" w:hanging="249"/>
        <w:spacing w:after="0" w:line="183" w:lineRule="auto"/>
        <w:tabs>
          <w:tab w:leader="none" w:pos="5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w:t>
      </w:r>
    </w:p>
    <w:p>
      <w:pPr>
        <w:spacing w:after="0" w:line="29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the section titled “Selected Consolidated Financial Data” and our consolidated financial statements and related notes included elsewhere in this prospectus. Some of the information contained in this discussion and analysis or set forth elsewhere in this prospectus,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prospectus.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As of October 1, 2020, we have dosed over 160 subjects with ALX148 across a range of hematologic and solid malignancies in combination with a number of leading anti-cancer agents. We plan to initiate additional studies in combination with leading anti-cancer agents. In hematologic malignancies, we have dosed the first subjects for the treatment of MDS and intend to advance ALX148 into clinical development for the treatment of AML in 2021. In solid tumors, we intend to initiate Phase 2 trials of ALX148 for the treatment of first-line head and neck cancer and second line gastric/GEJ cancer and a Phase 1 trial for the treatment of breast cancer in 2021.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2"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an internal reorganization effective as of the same date whereby ALX Oncology Limited became our wholly-owned subsidiary and all of the stockholders, warrant holders and option holders of ALX Oncology Limited became our stockholders, warrant holders and option holders, holding the same number of corresponding shares, warrants and/or options in us as they did in ALX Oncology Limited immediately prior to the internal reorganization. The information included herein are presented as that of ALX Oncology Holdings Inc., unless such information refers to a date prior to April 1, 2020, in which case it will reflect that of our predecessor company.</w:t>
      </w:r>
    </w:p>
    <w:p>
      <w:pPr>
        <w:spacing w:after="0" w:line="149"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Since our founding, we have devoted substantially all of our resources to identifying and developing ALX148, advancing preclinical programs, scaling up manufacturing, conducting clinical trials and providing general and administrative support for these operations. We have no products approved for marketing and we have never received any revenue from drug product sales. In July 2020, we consummated our initial public offering, raising net proceeds of $169.5 million, after deducting underwriting discounts and commissions of $13.0 million and offering-related expenses of $3.2 million. From inception through September 30, 2020, we have raised an aggregate of $350.4 million to fund our operations, of which $175.1 million were net proceeds from sales of our convertible preferred stock, $5.8 million were net proceeds from borrowings under a term loan, and $169.5 million were net proceeds from our initial public offering.</w:t>
      </w:r>
    </w:p>
    <w:p>
      <w:pPr>
        <w:spacing w:after="0" w:line="151" w:lineRule="exact"/>
        <w:rPr>
          <w:sz w:val="20"/>
          <w:szCs w:val="20"/>
          <w:color w:val="auto"/>
        </w:rPr>
      </w:pPr>
    </w:p>
    <w:p>
      <w:pPr>
        <w:ind w:left="120" w:right="540"/>
        <w:spacing w:after="0" w:line="238" w:lineRule="auto"/>
        <w:rPr>
          <w:sz w:val="20"/>
          <w:szCs w:val="20"/>
          <w:color w:val="auto"/>
        </w:rPr>
      </w:pPr>
      <w:r>
        <w:rPr>
          <w:rFonts w:ascii="Arial" w:cs="Arial" w:eastAsia="Arial" w:hAnsi="Arial"/>
          <w:sz w:val="17"/>
          <w:szCs w:val="17"/>
          <w:color w:val="auto"/>
        </w:rPr>
        <w:t>We have incurred net losses in each year since inception. Our net losses were $3.0 million and $10.2 million for the three months ended September 30, 2019 and 2020, respectively, and $11.5 million and $27.0 million for the nine months ended September 30, 2019 and 2020, respectively. As of December 31, 2019, and September 30, 2020,</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we had an accumulated deficit of $72.8 million and $99.7 million, respectively. Substantially all of our operating losses are a result of expenses incurred in connection with our research and development programs, primarily ALX148, and from general and administrative expenses associated with our operations.</w:t>
      </w:r>
    </w:p>
    <w:p>
      <w:pPr>
        <w:spacing w:after="0" w:line="147"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expect to continue to incur significant expenses and increasing operating losses over at least the foreseeable future. We expect our expenses will increase substantially in connection with our ongoing activities, as we:</w:t>
      </w:r>
    </w:p>
    <w:p>
      <w:pPr>
        <w:spacing w:after="0" w:line="185" w:lineRule="exact"/>
        <w:rPr>
          <w:sz w:val="20"/>
          <w:szCs w:val="20"/>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advance ALX148 through multiple clinical trials in multiple indications;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pursue regulatory approval of ALX148 in hematological malignancies and solid tumors;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continue our discovery and preclinical and clinical development efforts;</w:t>
      </w:r>
    </w:p>
    <w:p>
      <w:pPr>
        <w:spacing w:after="0" w:line="34" w:lineRule="exact"/>
        <w:rPr>
          <w:rFonts w:ascii="MS PGothic" w:cs="MS PGothic" w:eastAsia="MS PGothic" w:hAnsi="MS PGothic"/>
          <w:sz w:val="13"/>
          <w:szCs w:val="13"/>
          <w:color w:val="auto"/>
        </w:rPr>
      </w:pPr>
    </w:p>
    <w:p>
      <w:pPr>
        <w:ind w:left="980" w:right="88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obtain and maintain patent, trade secret and other intellectual property protection and regulatory exclusivity for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manufacture supplies for our preclinical studies and clinical trials;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continue to add operational, financial and management information systems to support ongoing operations as a public company.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Related-Party Revenue</w:t>
      </w:r>
    </w:p>
    <w:p>
      <w:pPr>
        <w:spacing w:after="0" w:line="41"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To date, we have not generated any revenue from product sales, licenses or collaborations and do not expect to generate any revenue from the sale of products in the foreseeable future. We recognized related-party revenue related to research and development services to Tallac Therapeutics, which ceased as of July 1, 2020, as further described in “—License and Collaboration Agreements—Related-Party Agreement” below. If our clinical development efforts for our product candidates are successful and result in regulatory approval, we may generate revenue from future product sales. If we enter into license or collaboration agreements for any of our product candidates or intellectual property, we may generate revenue in the future from payments as a result of such license or collaboration agreements. We cannot predict if, when, or to what extent we will generate revenue from the commercialization and sale of our product candidates including ALX148. We may never succeed in obtaining regulatory approval for any of our product candidates.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5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Research and development expenses consist primarily of costs incurred for the development of our lead product candidate, ALX148, which include:</w:t>
      </w:r>
    </w:p>
    <w:p>
      <w:pPr>
        <w:spacing w:after="0" w:line="185" w:lineRule="exact"/>
        <w:rPr>
          <w:sz w:val="20"/>
          <w:szCs w:val="20"/>
          <w:color w:val="auto"/>
        </w:rPr>
      </w:pPr>
    </w:p>
    <w:p>
      <w:pPr>
        <w:ind w:left="980" w:right="300" w:hanging="432"/>
        <w:spacing w:after="0" w:line="243" w:lineRule="auto"/>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expenses incurred in connection with the preclinical and clinical development, including expenses incurred under agreements with CROs;</w:t>
      </w:r>
    </w:p>
    <w:p>
      <w:pPr>
        <w:spacing w:after="0" w:line="22"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employee-related expenses, including salaries, related benefits, travel and stock-based compensation expense for employees engaged in research and development functions;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expenses related to production of clinical materials, including fees paid to CMOs;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laboratory and vendor expenses related to the execution of preclinical studies and clinical trials; and</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facilities and other expenses, which include expenses for rent and maintenance of facilities, depreciation and amortization expense and other supplies.</w:t>
      </w:r>
    </w:p>
    <w:p>
      <w:pPr>
        <w:spacing w:after="0" w:line="144"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148"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Our research and development expenses consist primarily of costs associated with the development of our lead product candidate ALX148 and include external costs, such as fees paid to consultants, central laboratories,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contractors, CMOs and CROs in connection with our preclinical and clinical development activities. We allocate expenses, such as employee salaries, benefits, facilities, travel and other miscellaneous expenses, based on an estimated percentage of time worked on each program.</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Almost all of our research and development expenses to date related to the clinical development of our lead product candidate, ALX148.</w:t>
      </w:r>
    </w:p>
    <w:p>
      <w:pPr>
        <w:spacing w:after="0" w:line="156"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research and development activities related to developing our product candidates, as our product candidates advance into later stages of development and as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incur expenses related to the preclinical research services that we contract from Tallac Therapeutics, as further described in “—License and Collaboration Agreements—Related-Party Agreement” below.</w:t>
      </w:r>
    </w:p>
    <w:p>
      <w:pPr>
        <w:spacing w:after="0" w:line="151"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The successful development of our current and future product candidates is highly uncertain. This is due to the numerous risks and uncertainties, including the following:</w:t>
      </w:r>
    </w:p>
    <w:p>
      <w:pPr>
        <w:spacing w:after="0" w:line="185" w:lineRule="exact"/>
        <w:rPr>
          <w:sz w:val="20"/>
          <w:szCs w:val="20"/>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successful completion of preclinical studies and clinical trials;</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delays in regulators or institutional review boards authorizing us or our investigators to commence our clinical trials or in our ability to negotiate agreements with clinical trial sites or CROs;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the number and location of clinical sites included in the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raising additional funds necessary to complete clinical development of our product candidates;</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obtaining and maintaining patent, trade secret and other intellectual property protection and regulatory exclusivity for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contracting with third-party manufacturers for clinical supplies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protecting and enforcing our rights in our intellectual property portfolio, including, if necessary, litigation;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maintaining a continued acceptable safety profile of the products following approval.</w:t>
      </w:r>
    </w:p>
    <w:p>
      <w:pPr>
        <w:spacing w:after="0" w:line="15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14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41" w:lineRule="exact"/>
        <w:rPr>
          <w:sz w:val="20"/>
          <w:szCs w:val="20"/>
          <w:color w:val="auto"/>
        </w:rPr>
      </w:pPr>
    </w:p>
    <w:p>
      <w:pPr>
        <w:ind w:left="120" w:right="460"/>
        <w:spacing w:after="0" w:line="238" w:lineRule="auto"/>
        <w:rPr>
          <w:sz w:val="20"/>
          <w:szCs w:val="20"/>
          <w:color w:val="auto"/>
        </w:rPr>
      </w:pPr>
      <w:r>
        <w:rPr>
          <w:rFonts w:ascii="Arial" w:cs="Arial" w:eastAsia="Arial" w:hAnsi="Arial"/>
          <w:sz w:val="17"/>
          <w:szCs w:val="17"/>
          <w:color w:val="auto"/>
        </w:rPr>
        <w:t>General and administrative expenses consist primarily of personnel-related expenses, facilities expenses, depreciation and amortization expenses and professional services expenses, including legal, human resources, audit, accounting and tax-related services. Personnel and related costs consist of salaries, benefits and stock-based compensation. Facilities costs consist of rent and maintenance of facilities.</w:t>
      </w:r>
    </w:p>
    <w:p>
      <w:pPr>
        <w:spacing w:after="0" w:line="147"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We anticipate that our general and administrative expenses will increase as a result of increased headcount, expanded infrastructure and higher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41"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We incur costs associated with related-party contract research services including direct labor and associated employee benefits, laboratory supplies and other expenses. These costs are recorded in cost of services for related-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party transactions as a component of total operating expenses in the accompanying consolidated statements of operations and comprehensive loss.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41"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other expense, net, consists of interest income on cash balances, interest expense that primarily includes amortization of deferred debt issuance costs, changes in the fair value of our convertible preferred stock warrant liability and foreign currency re-measurement and transaction gains and losses. Prior to our initial public offering, the underlying shares of our Series B convertible preferred stock warrants were contingently redeemable, and we accounted for these warrants as a liability at fair value and re-measured the fair value at each balance sheet date. As a result of the completion of our initial public offering, the Series B convertible preferred stock warrant liability was reclassified to stockholders’ equity and re-measurement was no longer required.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and Net Loss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Three and Nine Months Ended September 30, 2019 and September 30, 2020</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three and nine months ended 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8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5"/>
                <w:szCs w:val="15"/>
                <w:color w:val="auto"/>
              </w:rPr>
            </w:pPr>
          </w:p>
        </w:tc>
        <w:tc>
          <w:tcPr>
            <w:tcW w:w="14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5"/>
                <w:szCs w:val="15"/>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ind w:left="3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10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28"/>
              <w:spacing w:after="0" w:line="189" w:lineRule="exact"/>
              <w:rPr>
                <w:sz w:val="20"/>
                <w:szCs w:val="20"/>
                <w:color w:val="auto"/>
              </w:rPr>
            </w:pPr>
            <w:r>
              <w:rPr>
                <w:rFonts w:ascii="Arial" w:cs="Arial" w:eastAsia="Arial" w:hAnsi="Arial"/>
                <w:sz w:val="17"/>
                <w:szCs w:val="17"/>
                <w:color w:val="auto"/>
              </w:rPr>
              <w:t>1,256</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$(1,256)</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w:t>
            </w:r>
          </w:p>
        </w:tc>
        <w:tc>
          <w:tcPr>
            <w:tcW w:w="8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  3,583</w:t>
            </w:r>
          </w:p>
        </w:tc>
        <w:tc>
          <w:tcPr>
            <w:tcW w:w="2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1,182</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 (2,401)</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8"/>
              <w:spacing w:after="0" w:line="189" w:lineRule="exact"/>
              <w:rPr>
                <w:sz w:val="20"/>
                <w:szCs w:val="20"/>
                <w:color w:val="auto"/>
              </w:rPr>
            </w:pPr>
            <w:r>
              <w:rPr>
                <w:rFonts w:ascii="Arial" w:cs="Arial" w:eastAsia="Arial" w:hAnsi="Arial"/>
                <w:sz w:val="17"/>
                <w:szCs w:val="17"/>
                <w:color w:val="auto"/>
              </w:rPr>
              <w:t>2,210</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5,328</w:t>
            </w:r>
          </w:p>
        </w:tc>
        <w:tc>
          <w:tcPr>
            <w:tcW w:w="82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3,118</w:t>
            </w: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141%</w:t>
            </w:r>
          </w:p>
        </w:tc>
        <w:tc>
          <w:tcPr>
            <w:tcW w:w="8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9,571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16,819</w:t>
            </w:r>
          </w:p>
        </w:tc>
        <w:tc>
          <w:tcPr>
            <w:tcW w:w="8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7,248</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89"/>
        </w:trPr>
        <w:tc>
          <w:tcPr>
            <w:tcW w:w="422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938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4,481</w:t>
            </w:r>
          </w:p>
        </w:tc>
        <w:tc>
          <w:tcPr>
            <w:tcW w:w="82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3,543</w:t>
            </w: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378%</w:t>
            </w:r>
          </w:p>
        </w:tc>
        <w:tc>
          <w:tcPr>
            <w:tcW w:w="82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2,205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9,126</w:t>
            </w:r>
          </w:p>
        </w:tc>
        <w:tc>
          <w:tcPr>
            <w:tcW w:w="8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6,921</w:t>
            </w:r>
          </w:p>
        </w:tc>
        <w:tc>
          <w:tcPr>
            <w:tcW w:w="80" w:type="dxa"/>
            <w:vAlign w:val="bottom"/>
          </w:tcPr>
          <w:p>
            <w:pPr>
              <w:spacing w:after="0"/>
              <w:rPr>
                <w:sz w:val="16"/>
                <w:szCs w:val="16"/>
                <w:color w:val="auto"/>
              </w:rPr>
            </w:pPr>
          </w:p>
        </w:tc>
        <w:tc>
          <w:tcPr>
            <w:tcW w:w="5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 party revenue</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1,142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(1,142)</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w:t>
            </w:r>
          </w:p>
        </w:tc>
        <w:tc>
          <w:tcPr>
            <w:tcW w:w="8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3,257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1,075</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(2,182)</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4,290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9,809</w:t>
            </w: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5,519</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129%</w:t>
            </w:r>
          </w:p>
        </w:tc>
        <w:tc>
          <w:tcPr>
            <w:tcW w:w="820" w:type="dxa"/>
            <w:vAlign w:val="bottom"/>
            <w:gridSpan w:val="3"/>
          </w:tcPr>
          <w:p>
            <w:pPr>
              <w:jc w:val="right"/>
              <w:ind w:right="60"/>
              <w:spacing w:after="0"/>
              <w:rPr>
                <w:sz w:val="20"/>
                <w:szCs w:val="20"/>
                <w:color w:val="auto"/>
              </w:rPr>
            </w:pPr>
            <w:r>
              <w:rPr>
                <w:rFonts w:ascii="Arial" w:cs="Arial" w:eastAsia="Arial" w:hAnsi="Arial"/>
                <w:sz w:val="17"/>
                <w:szCs w:val="17"/>
                <w:color w:val="auto"/>
              </w:rPr>
              <w:t>15,033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27,020</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11,987</w:t>
            </w: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8"/>
              <w:spacing w:after="0" w:line="189" w:lineRule="exact"/>
              <w:rPr>
                <w:sz w:val="20"/>
                <w:szCs w:val="20"/>
                <w:color w:val="auto"/>
              </w:rPr>
            </w:pPr>
            <w:r>
              <w:rPr>
                <w:rFonts w:ascii="Arial" w:cs="Arial" w:eastAsia="Arial" w:hAnsi="Arial"/>
                <w:sz w:val="17"/>
                <w:szCs w:val="17"/>
                <w:color w:val="auto"/>
              </w:rPr>
              <w:t>(3,034)</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(9,809)</w:t>
            </w: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(6,775)</w:t>
            </w: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223%</w:t>
            </w:r>
          </w:p>
        </w:tc>
        <w:tc>
          <w:tcPr>
            <w:tcW w:w="8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(11,450)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7"/>
              </w:rPr>
              <w:t>(25,838)</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(14,388)</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(226)</w:t>
            </w: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(226)</w:t>
            </w:r>
          </w:p>
        </w:tc>
        <w:tc>
          <w:tcPr>
            <w:tcW w:w="680" w:type="dxa"/>
            <w:vAlign w:val="bottom"/>
            <w:gridSpan w:val="2"/>
          </w:tcPr>
          <w:p>
            <w:pPr>
              <w:jc w:val="right"/>
              <w:ind w:right="280"/>
              <w:spacing w:after="0"/>
              <w:rPr>
                <w:sz w:val="20"/>
                <w:szCs w:val="20"/>
                <w:color w:val="auto"/>
              </w:rPr>
            </w:pPr>
            <w:r>
              <w:rPr>
                <w:rFonts w:ascii="Arial" w:cs="Arial" w:eastAsia="Arial" w:hAnsi="Arial"/>
                <w:sz w:val="17"/>
                <w:szCs w:val="17"/>
                <w:color w:val="auto"/>
              </w:rPr>
              <w:t>N/M</w:t>
            </w: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(660)</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(660)</w:t>
            </w:r>
          </w:p>
        </w:tc>
        <w:tc>
          <w:tcPr>
            <w:tcW w:w="80" w:type="dxa"/>
            <w:vAlign w:val="bottom"/>
          </w:tcPr>
          <w:p>
            <w:pPr>
              <w:spacing w:after="0"/>
              <w:rPr>
                <w:sz w:val="17"/>
                <w:szCs w:val="17"/>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N/M</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net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8"/>
              <w:spacing w:after="0" w:line="189" w:lineRule="exact"/>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(111)</w:t>
            </w: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(109)</w:t>
            </w:r>
          </w:p>
        </w:tc>
        <w:tc>
          <w:tcPr>
            <w:tcW w:w="6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N/M</w:t>
            </w:r>
          </w:p>
        </w:tc>
        <w:tc>
          <w:tcPr>
            <w:tcW w:w="8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(409)</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(405)</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w w:val="96"/>
              </w:rPr>
              <w:t>N/M</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7"/>
                <w:szCs w:val="17"/>
                <w:color w:val="auto"/>
              </w:rPr>
              <w:t>(3,036)</w:t>
            </w: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(10,146)</w:t>
            </w: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(7,110)</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234%</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(11,454)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(26,907)</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(15,453)</w:t>
            </w: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8"/>
              <w:spacing w:after="0" w:line="189" w:lineRule="exact"/>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(35)</w:t>
            </w: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(27)</w:t>
            </w: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338%</w:t>
            </w:r>
          </w:p>
        </w:tc>
        <w:tc>
          <w:tcPr>
            <w:tcW w:w="8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(59)</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7"/>
                <w:szCs w:val="17"/>
                <w:color w:val="auto"/>
              </w:rPr>
              <w:t>(3,044)</w:t>
            </w: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(10,181)</w:t>
            </w: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(7,137)</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234%</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(11,479)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(26,966)</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(15,487)</w:t>
            </w: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Cumulative dividends allocated to preferred</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2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stockholders</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7"/>
                <w:szCs w:val="17"/>
                <w:color w:val="auto"/>
              </w:rPr>
              <w:t>(1,071)</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(578)</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493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(2,957)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(5,202)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(2,245)</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8"/>
              <w:spacing w:after="0"/>
              <w:rPr>
                <w:sz w:val="20"/>
                <w:szCs w:val="20"/>
                <w:color w:val="auto"/>
              </w:rPr>
            </w:pPr>
            <w:r>
              <w:rPr>
                <w:rFonts w:ascii="Arial" w:cs="Arial" w:eastAsia="Arial" w:hAnsi="Arial"/>
                <w:sz w:val="17"/>
                <w:szCs w:val="17"/>
                <w:color w:val="auto"/>
              </w:rPr>
              <w:t>(4,115)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(10,759)</w:t>
            </w:r>
          </w:p>
        </w:tc>
        <w:tc>
          <w:tcPr>
            <w:tcW w:w="820" w:type="dxa"/>
            <w:vAlign w:val="bottom"/>
            <w:gridSpan w:val="3"/>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(6,644)</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161%</w:t>
            </w:r>
          </w:p>
        </w:tc>
        <w:tc>
          <w:tcPr>
            <w:tcW w:w="82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(14,436)</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(32,168)</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(17,732)</w:t>
            </w: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N/M—not meaningful</w:t>
      </w:r>
    </w:p>
    <w:p>
      <w:pPr>
        <w:spacing w:after="0" w:line="208" w:lineRule="exact"/>
        <w:rPr>
          <w:sz w:val="20"/>
          <w:szCs w:val="20"/>
          <w:color w:val="auto"/>
        </w:rPr>
      </w:pPr>
    </w:p>
    <w:p>
      <w:pPr>
        <w:ind w:left="120" w:right="5260"/>
        <w:spacing w:after="0" w:line="310" w:lineRule="auto"/>
        <w:rPr>
          <w:sz w:val="20"/>
          <w:szCs w:val="20"/>
          <w:color w:val="auto"/>
        </w:rPr>
      </w:pPr>
      <w:r>
        <w:rPr>
          <w:rFonts w:ascii="Arial" w:cs="Arial" w:eastAsia="Arial" w:hAnsi="Arial"/>
          <w:sz w:val="17"/>
          <w:szCs w:val="17"/>
          <w:b w:val="1"/>
          <w:bCs w:val="1"/>
          <w:i w:val="1"/>
          <w:iCs w:val="1"/>
          <w:color w:val="auto"/>
        </w:rPr>
        <w:t xml:space="preserve">Comparisons of the Three Months Ended September 30, 2019 and 2020 </w:t>
      </w:r>
      <w:r>
        <w:rPr>
          <w:rFonts w:ascii="Arial" w:cs="Arial" w:eastAsia="Arial" w:hAnsi="Arial"/>
          <w:sz w:val="17"/>
          <w:szCs w:val="17"/>
          <w:i w:val="1"/>
          <w:iCs w:val="1"/>
          <w:color w:val="auto"/>
        </w:rPr>
        <w:t>Related-Party Revenue</w:t>
      </w:r>
    </w:p>
    <w:p>
      <w:pPr>
        <w:spacing w:after="0" w:line="1"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Related-party revenue for the three months ended September 30, 2019 and 2020, was $1.3 million and zero, respectively, which was generated solely from payments received for reimbursement of research and development expenses pursuant to the Research and Development Services Agreement with Tallac Therapeutics, or Tollnine Agreement, as further described in Note 9 to our condensed consolidated financial statements appearing elsewhere in this prospectus. The decrease of $1.3 million was due to the termination of the Tollnine Agreement on July 1, 2020.</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research and development expenses incurred for the three months ended 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21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5"/>
        </w:trPr>
        <w:tc>
          <w:tcPr>
            <w:tcW w:w="7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56"/>
        </w:trPr>
        <w:tc>
          <w:tcPr>
            <w:tcW w:w="7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r>
      <w:tr>
        <w:trPr>
          <w:trHeight w:val="155"/>
        </w:trPr>
        <w:tc>
          <w:tcPr>
            <w:tcW w:w="7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right"/>
              <w:ind w:right="20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89"/>
        </w:trPr>
        <w:tc>
          <w:tcPr>
            <w:tcW w:w="7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and development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1,717</w:t>
            </w:r>
          </w:p>
        </w:tc>
        <w:tc>
          <w:tcPr>
            <w:tcW w:w="4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4,612</w:t>
            </w:r>
          </w:p>
        </w:tc>
        <w:tc>
          <w:tcPr>
            <w:tcW w:w="1160" w:type="dxa"/>
            <w:vAlign w:val="bottom"/>
            <w:tcBorders>
              <w:right w:val="single" w:sz="8" w:color="CCEEFF"/>
            </w:tcBorders>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$2,895</w:t>
            </w: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169%</w:t>
            </w:r>
          </w:p>
        </w:tc>
      </w:tr>
      <w:tr>
        <w:trPr>
          <w:trHeight w:val="189"/>
        </w:trPr>
        <w:tc>
          <w:tcPr>
            <w:tcW w:w="716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4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431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1,039</w:t>
            </w:r>
          </w:p>
        </w:tc>
        <w:tc>
          <w:tcPr>
            <w:tcW w:w="1160" w:type="dxa"/>
            <w:vAlign w:val="bottom"/>
            <w:gridSpan w:val="3"/>
          </w:tcPr>
          <w:p>
            <w:pPr>
              <w:jc w:val="right"/>
              <w:ind w:right="440"/>
              <w:spacing w:after="0" w:line="189" w:lineRule="exact"/>
              <w:rPr>
                <w:sz w:val="20"/>
                <w:szCs w:val="20"/>
                <w:color w:val="auto"/>
              </w:rPr>
            </w:pPr>
            <w:r>
              <w:rPr>
                <w:rFonts w:ascii="Arial" w:cs="Arial" w:eastAsia="Arial" w:hAnsi="Arial"/>
                <w:sz w:val="17"/>
                <w:szCs w:val="17"/>
                <w:color w:val="auto"/>
              </w:rPr>
              <w:t>608</w:t>
            </w: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141%</w:t>
            </w:r>
          </w:p>
        </w:tc>
      </w:tr>
      <w:tr>
        <w:trPr>
          <w:trHeight w:val="189"/>
        </w:trPr>
        <w:tc>
          <w:tcPr>
            <w:tcW w:w="7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25</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(359)</w:t>
            </w:r>
          </w:p>
        </w:tc>
        <w:tc>
          <w:tcPr>
            <w:tcW w:w="1160" w:type="dxa"/>
            <w:vAlign w:val="bottom"/>
            <w:tcBorders>
              <w:right w:val="single" w:sz="8" w:color="CCEEFF"/>
            </w:tcBorders>
            <w:gridSpan w:val="3"/>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(384)</w:t>
            </w:r>
          </w:p>
        </w:tc>
        <w:tc>
          <w:tcPr>
            <w:tcW w:w="6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N/M</w:t>
            </w:r>
          </w:p>
        </w:tc>
      </w:tr>
      <w:tr>
        <w:trPr>
          <w:trHeight w:val="189"/>
        </w:trPr>
        <w:tc>
          <w:tcPr>
            <w:tcW w:w="716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14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36</w:t>
            </w:r>
          </w:p>
        </w:tc>
        <w:tc>
          <w:tcPr>
            <w:tcW w:w="1160" w:type="dxa"/>
            <w:vAlign w:val="bottom"/>
            <w:gridSpan w:val="3"/>
          </w:tcPr>
          <w:p>
            <w:pPr>
              <w:jc w:val="right"/>
              <w:ind w:right="400"/>
              <w:spacing w:after="0" w:line="189" w:lineRule="exact"/>
              <w:rPr>
                <w:sz w:val="20"/>
                <w:szCs w:val="20"/>
                <w:color w:val="auto"/>
              </w:rPr>
            </w:pPr>
            <w:r>
              <w:rPr>
                <w:rFonts w:ascii="Arial" w:cs="Arial" w:eastAsia="Arial" w:hAnsi="Arial"/>
                <w:sz w:val="17"/>
                <w:szCs w:val="17"/>
                <w:color w:val="auto"/>
              </w:rPr>
              <w:t>(1)</w:t>
            </w:r>
          </w:p>
        </w:tc>
        <w:tc>
          <w:tcPr>
            <w:tcW w:w="6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w:t>
            </w:r>
          </w:p>
        </w:tc>
      </w:tr>
      <w:tr>
        <w:trPr>
          <w:trHeight w:val="27"/>
        </w:trPr>
        <w:tc>
          <w:tcPr>
            <w:tcW w:w="7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7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2,210</w:t>
            </w:r>
          </w:p>
        </w:tc>
        <w:tc>
          <w:tcPr>
            <w:tcW w:w="4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5,328</w:t>
            </w:r>
          </w:p>
        </w:tc>
        <w:tc>
          <w:tcPr>
            <w:tcW w:w="1160" w:type="dxa"/>
            <w:vAlign w:val="bottom"/>
            <w:tcBorders>
              <w:right w:val="single" w:sz="8" w:color="CCEEFF"/>
            </w:tcBorders>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3,118</w:t>
            </w: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141%</w:t>
            </w:r>
          </w:p>
        </w:tc>
      </w:tr>
      <w:tr>
        <w:trPr>
          <w:trHeight w:val="20"/>
        </w:trPr>
        <w:tc>
          <w:tcPr>
            <w:tcW w:w="7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N/M—not meaningful</w:t>
      </w:r>
    </w:p>
    <w:p>
      <w:pPr>
        <w:spacing w:after="0" w:line="17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Research and development expenses for the three months ended September 30, 2019 was $2.2 million, compared to $5.3 million for the three months ended September 30, 2020. The increase of $3.1 million was primarily attributable to an increase of $2.9 million in clinical and development costs due to higher expenses associated with increased pre-clinical, clinical and other research costs in advancement of our current lead product candidate, ALX148, and an increase of $0.6 million in personnel-related costs, partially offset by a decrease of $0.4 million in stock-based compensation expense.</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general and administrative expenses incurred for the three months ended 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0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right"/>
              <w:ind w:right="440"/>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181</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1,339</w:t>
            </w:r>
          </w:p>
        </w:tc>
        <w:tc>
          <w:tcPr>
            <w:tcW w:w="1020" w:type="dxa"/>
            <w:vAlign w:val="bottom"/>
            <w:tcBorders>
              <w:right w:val="single" w:sz="8" w:color="CCEEFF"/>
            </w:tcBorders>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w w:val="99"/>
              </w:rPr>
              <w:t>$1,158</w:t>
            </w:r>
          </w:p>
        </w:tc>
        <w:tc>
          <w:tcPr>
            <w:tcW w:w="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189"/>
        </w:trPr>
        <w:tc>
          <w:tcPr>
            <w:tcW w:w="702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1,048</w:t>
            </w:r>
          </w:p>
        </w:tc>
        <w:tc>
          <w:tcPr>
            <w:tcW w:w="102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1,038</w:t>
            </w:r>
          </w:p>
        </w:tc>
        <w:tc>
          <w:tcPr>
            <w:tcW w:w="5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747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2,094</w:t>
            </w:r>
          </w:p>
        </w:tc>
        <w:tc>
          <w:tcPr>
            <w:tcW w:w="1020" w:type="dxa"/>
            <w:vAlign w:val="bottom"/>
            <w:tcBorders>
              <w:right w:val="single" w:sz="8" w:color="CCEEFF"/>
            </w:tcBorders>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1,347</w:t>
            </w:r>
          </w:p>
        </w:tc>
        <w:tc>
          <w:tcPr>
            <w:tcW w:w="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7"/>
                <w:szCs w:val="17"/>
                <w:color w:val="auto"/>
              </w:rPr>
              <w:t>Total general and administrative expenses</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938</w:t>
            </w:r>
          </w:p>
        </w:tc>
        <w:tc>
          <w:tcPr>
            <w:tcW w:w="12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7"/>
                <w:szCs w:val="17"/>
                <w:color w:val="auto"/>
              </w:rPr>
              <w:t>4,481</w:t>
            </w:r>
          </w:p>
        </w:tc>
        <w:tc>
          <w:tcPr>
            <w:tcW w:w="1020" w:type="dxa"/>
            <w:vAlign w:val="bottom"/>
            <w:gridSpan w:val="2"/>
          </w:tcPr>
          <w:p>
            <w:pPr>
              <w:jc w:val="right"/>
              <w:ind w:right="48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3,543</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N/M—not meaningful</w:t>
      </w:r>
    </w:p>
    <w:p>
      <w:pPr>
        <w:spacing w:after="0" w:line="17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General and administrative expenses for the three months ended September 30, 2019 was $0.9 million, compared to $4.5 million during the three months ended September 30, 2020. This increase of $3.5 million was primarily attributable to an increase in stock-based compensation expense of $1.0 million, which consists of $0.2 million related to the modification of stock option awards for a former employee as well as additional stock option awards granted in 2020 at higher fair values, and an increase in other general and administrative costs of $1.3 million, which includes higher professional service costs of $0.6 million primarily associated with accounting and legal activities and $0.4 million in directors and officers liability insurance premium. In addition, we incurred increased personnel-related costs of $1.2 million due to higher headcount.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52"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Cost of services for related-party revenue for the three months ended September 30, 2019 was $1.1 million, compared to zero during the three months ended September 30, 2020. This decrease of $1.1 million was due to the termination of the Tollnine Agreement effective July 1, 2020.</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5360"/>
        <w:spacing w:after="0" w:line="294" w:lineRule="auto"/>
        <w:rPr>
          <w:sz w:val="20"/>
          <w:szCs w:val="20"/>
          <w:color w:val="auto"/>
        </w:rPr>
      </w:pPr>
      <w:r>
        <w:rPr>
          <w:rFonts w:ascii="Arial" w:cs="Arial" w:eastAsia="Arial" w:hAnsi="Arial"/>
          <w:sz w:val="17"/>
          <w:szCs w:val="17"/>
          <w:b w:val="1"/>
          <w:bCs w:val="1"/>
          <w:i w:val="1"/>
          <w:iCs w:val="1"/>
          <w:color w:val="auto"/>
        </w:rPr>
        <w:t xml:space="preserve">Comparisons of the Nine months ended September 30, 2019 and 2020 </w:t>
      </w:r>
      <w:r>
        <w:rPr>
          <w:rFonts w:ascii="Arial" w:cs="Arial" w:eastAsia="Arial" w:hAnsi="Arial"/>
          <w:sz w:val="17"/>
          <w:szCs w:val="17"/>
          <w:i w:val="1"/>
          <w:iCs w:val="1"/>
          <w:color w:val="auto"/>
        </w:rPr>
        <w:t>Related-Party Revenue</w:t>
      </w:r>
    </w:p>
    <w:p>
      <w:pPr>
        <w:jc w:val="both"/>
        <w:ind w:left="120" w:right="460"/>
        <w:spacing w:after="0" w:line="232" w:lineRule="auto"/>
        <w:rPr>
          <w:sz w:val="20"/>
          <w:szCs w:val="20"/>
          <w:color w:val="auto"/>
        </w:rPr>
      </w:pPr>
      <w:r>
        <w:rPr>
          <w:rFonts w:ascii="Arial" w:cs="Arial" w:eastAsia="Arial" w:hAnsi="Arial"/>
          <w:sz w:val="17"/>
          <w:szCs w:val="17"/>
          <w:color w:val="auto"/>
        </w:rPr>
        <w:t>Related-party revenue for the nine months ended September 30, 2019 and 2020, was $3.6 million and $1.2 million, respectively, which was generated solely from payments received for reimbursement of research and development expenses pursuant to the Tollnine Agreement, as further described in Note 9 to our condensed consolidated financial statements appearing elsewhere in this prospectus. The decrease of</w:t>
      </w:r>
    </w:p>
    <w:p>
      <w:pPr>
        <w:ind w:left="120" w:right="100"/>
        <w:spacing w:after="0" w:line="243" w:lineRule="auto"/>
        <w:rPr>
          <w:sz w:val="20"/>
          <w:szCs w:val="20"/>
          <w:color w:val="auto"/>
        </w:rPr>
      </w:pPr>
      <w:r>
        <w:rPr>
          <w:rFonts w:ascii="Arial" w:cs="Arial" w:eastAsia="Arial" w:hAnsi="Arial"/>
          <w:sz w:val="17"/>
          <w:szCs w:val="17"/>
          <w:color w:val="auto"/>
        </w:rPr>
        <w:t>$2.4 million relates to decreased fee-for-service hours provided to Tallac Therapeutics as a result of winding down the Tollnine Agreement, which was terminated on July 1, 2020.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research and development expenses incurred for the nine months ended 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7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156"/>
        </w:trPr>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4"/>
          </w:tcPr>
          <w:p>
            <w:pPr>
              <w:jc w:val="right"/>
              <w:ind w:right="280"/>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and development costs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7,830</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11,913</w:t>
            </w:r>
          </w:p>
        </w:tc>
        <w:tc>
          <w:tcPr>
            <w:tcW w:w="960" w:type="dxa"/>
            <w:vAlign w:val="bottom"/>
            <w:tcBorders>
              <w:right w:val="single" w:sz="8" w:color="CCEEFF"/>
            </w:tcBorders>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99"/>
              </w:rPr>
              <w:t>$4,083</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w:t>
            </w:r>
          </w:p>
        </w:tc>
      </w:tr>
      <w:tr>
        <w:trPr>
          <w:trHeight w:val="189"/>
        </w:trPr>
        <w:tc>
          <w:tcPr>
            <w:tcW w:w="742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1,600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2,741</w:t>
            </w: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1,141</w:t>
            </w: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71%</w:t>
            </w: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79</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2,008</w:t>
            </w:r>
          </w:p>
        </w:tc>
        <w:tc>
          <w:tcPr>
            <w:tcW w:w="960" w:type="dxa"/>
            <w:vAlign w:val="bottom"/>
            <w:tcBorders>
              <w:right w:val="single" w:sz="8" w:color="CCEEFF"/>
            </w:tcBorders>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1,929</w:t>
            </w:r>
          </w:p>
        </w:tc>
        <w:tc>
          <w:tcPr>
            <w:tcW w:w="5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w w:val="96"/>
              </w:rPr>
              <w:t>N/M</w:t>
            </w:r>
          </w:p>
        </w:tc>
      </w:tr>
      <w:tr>
        <w:trPr>
          <w:trHeight w:val="189"/>
        </w:trPr>
        <w:tc>
          <w:tcPr>
            <w:tcW w:w="742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10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157</w:t>
            </w: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95</w:t>
            </w: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153%</w:t>
            </w: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9,571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16,819</w:t>
            </w:r>
          </w:p>
        </w:tc>
        <w:tc>
          <w:tcPr>
            <w:tcW w:w="960" w:type="dxa"/>
            <w:vAlign w:val="bottom"/>
            <w:tcBorders>
              <w:right w:val="single" w:sz="8" w:color="CCEEFF"/>
            </w:tcBorders>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7,248</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76%</w:t>
            </w: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N/M—not meaningful</w:t>
      </w:r>
    </w:p>
    <w:p>
      <w:pPr>
        <w:spacing w:after="0" w:line="174" w:lineRule="exact"/>
        <w:rPr>
          <w:sz w:val="20"/>
          <w:szCs w:val="20"/>
          <w:color w:val="auto"/>
        </w:rPr>
      </w:pPr>
    </w:p>
    <w:p>
      <w:pPr>
        <w:ind w:left="120" w:right="320"/>
        <w:spacing w:after="0" w:line="234" w:lineRule="auto"/>
        <w:rPr>
          <w:sz w:val="20"/>
          <w:szCs w:val="20"/>
          <w:color w:val="auto"/>
        </w:rPr>
      </w:pPr>
      <w:r>
        <w:rPr>
          <w:rFonts w:ascii="Arial" w:cs="Arial" w:eastAsia="Arial" w:hAnsi="Arial"/>
          <w:sz w:val="17"/>
          <w:szCs w:val="17"/>
          <w:color w:val="auto"/>
        </w:rPr>
        <w:t>Research and development expenses for the nine months ended September 30, 2019 was $9.6 million, compared to $16.8 million for the nine months ended September 30, 2020. The increase of $7.2 million was primarily attributable to an increase of $4.1 million in clinical and development costs primarily due to increased pre-clinical, clinical, and other research costs in advancement of our lead product candidate, ALX148, as well as an increase of $1.9 million in stock-based compensation expense primarily resulting from additional stock option awards granted in 2020 at higher fair values and the modification of stock option awards for former employees who transferred to Tallac Therapeutics, which increased stock-based compensation expense by $1.3 million. In addition, we incurred increased personnel-related costs of $1.1 million due to higher headcount.</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general and administrative expenses incurred for the nine months ended 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40" w:type="dxa"/>
            <w:vAlign w:val="bottom"/>
            <w:gridSpan w:val="4"/>
          </w:tcPr>
          <w:p>
            <w:pPr>
              <w:jc w:val="right"/>
              <w:ind w:right="280"/>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599</w:t>
            </w:r>
          </w:p>
        </w:tc>
        <w:tc>
          <w:tcPr>
            <w:tcW w:w="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2,577</w:t>
            </w:r>
          </w:p>
        </w:tc>
        <w:tc>
          <w:tcPr>
            <w:tcW w:w="960" w:type="dxa"/>
            <w:vAlign w:val="bottom"/>
            <w:tcBorders>
              <w:right w:val="single" w:sz="8" w:color="CCEEFF"/>
            </w:tcBorders>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99"/>
              </w:rPr>
              <w:t>$1,978</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189"/>
        </w:trPr>
        <w:tc>
          <w:tcPr>
            <w:tcW w:w="742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0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24</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1,685</w:t>
            </w: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1,661</w:t>
            </w:r>
          </w:p>
        </w:tc>
        <w:tc>
          <w:tcPr>
            <w:tcW w:w="5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w w:val="96"/>
              </w:rPr>
              <w:t>N/M</w:t>
            </w: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1,582</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4,864</w:t>
            </w:r>
          </w:p>
        </w:tc>
        <w:tc>
          <w:tcPr>
            <w:tcW w:w="960" w:type="dxa"/>
            <w:vAlign w:val="bottom"/>
            <w:tcBorders>
              <w:right w:val="single" w:sz="8" w:color="CCEEFF"/>
            </w:tcBorders>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3,282</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7"/>
                <w:szCs w:val="17"/>
                <w:color w:val="auto"/>
              </w:rPr>
              <w:t>Total general and administrative expenses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2,205</w:t>
            </w:r>
          </w:p>
        </w:tc>
        <w:tc>
          <w:tcPr>
            <w:tcW w:w="3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9,126</w:t>
            </w:r>
          </w:p>
        </w:tc>
        <w:tc>
          <w:tcPr>
            <w:tcW w:w="960" w:type="dxa"/>
            <w:vAlign w:val="bottom"/>
            <w:gridSpan w:val="2"/>
          </w:tcPr>
          <w:p>
            <w:pPr>
              <w:jc w:val="right"/>
              <w:ind w:right="42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6,921</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N/M—not meaningful</w:t>
      </w:r>
    </w:p>
    <w:p>
      <w:pPr>
        <w:spacing w:after="0" w:line="174"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General and administrative expenses for the nine months ended September 30, 2019 was $2.2 million, compared to $9.1 million during the nine months ended September 30, 2020. This increase of $6.9 million was primarily</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attributable to an increase in other general and administrative costs of $3.3 million, which includes higher professional service fees of $2.2 million associated with increased accounting, legal and recruiting activities, as well as $0.5 million of directors and officers liability insurance premium. In addition, we incurred increased stock-based compensation expense of $1.7 million which consists of $0.4 million related to the modification of stock option awards for former employees as well as additional stock option awards granted in 2020 at higher fair values. Additionally, we incurred increased personnel-related costs of $2.0 million due to higher headcount.</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39"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Cost of services for related-party revenue for the nine months ended September 30, 2019 was $3.3 million, compared to $1.1 million during the nine months ended September 30, 2020. This decrease of $2.2 million was attributable to decreased fee-for-service hours provided to Tallac Therapeutics as a result of winding down the Tollnine Agreement, which was terminated on July 1, 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Years Ended December 31, 2018 and December 31, 2019</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9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jc w:val="center"/>
              <w:ind w:right="16"/>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2,067</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4,796</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11,270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16,306</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2,601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3,313</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1,880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4,360</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15,751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23,979</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(13,684)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7"/>
              </w:rPr>
              <w:t>(19,183)</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(13,686)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(19,209)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(13,731)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(19,243)</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(3,671)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(17,402)</w:t>
            </w:r>
          </w:p>
        </w:tc>
        <w:tc>
          <w:tcPr>
            <w:tcW w:w="2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(23,271)</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5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Related-party revenue for the years ended December 31, 2018 and December 31, 2019 was $2.1 million and $4.8 million, respectively, which was generated solely from payments received for reimbursement of research and development expenses pursuant to the Tollnine Agreement, as further described in “—License and Collaboration Agreements—Related-Party Agreement” below. The increase of $2.7 million relates to increased fee-for-service hours provided to Tallac Therapeutics during 2019.</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following table summarizes our research and development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56"/>
        </w:trPr>
        <w:tc>
          <w:tcPr>
            <w:tcW w:w="9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development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7,654</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$14,011</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3,312</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2,127</w:t>
            </w: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195</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105</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109</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63</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w w:val="96"/>
              </w:rPr>
              <w:t>11,270</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16,306</w:t>
            </w:r>
          </w:p>
        </w:tc>
      </w:tr>
      <w:tr>
        <w:trPr>
          <w:trHeight w:val="20"/>
        </w:trPr>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Research and development expenses for the year ended December 31, 2018 was $11.3 million, compared to $16.3 million for the year ended December 31, 2019. The increase of $5.0 million was primarily due to increases in external research and development expenses related to our lead product candidate, as we significantly increased trial recruitment for our Phase 1 clinical trials for ALX 148 in the year ended December 31, 2019. In addition, in the year ended December 31, 2019, we incurred increased costs for additional preclinical studies and CMC manufacturing.</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The following table summarizes our general and administrative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6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r>
      <w:tr>
        <w:trPr>
          <w:trHeight w:val="155"/>
        </w:trPr>
        <w:tc>
          <w:tcPr>
            <w:tcW w:w="9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jc w:val="center"/>
              <w:ind w:right="37"/>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695</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834</w:t>
            </w: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Arial" w:cs="Arial" w:eastAsia="Arial" w:hAnsi="Arial"/>
                <w:sz w:val="17"/>
                <w:szCs w:val="17"/>
                <w:color w:val="auto"/>
              </w:rPr>
              <w:t>16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1,890</w:t>
            </w: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2,446</w:t>
            </w:r>
          </w:p>
        </w:tc>
        <w:tc>
          <w:tcPr>
            <w:tcW w:w="60" w:type="dxa"/>
            <w:vAlign w:val="bottom"/>
            <w:shd w:val="clear" w:color="auto" w:fill="CCEEFF"/>
          </w:tcPr>
          <w:p>
            <w:pPr>
              <w:spacing w:after="0"/>
              <w:rPr>
                <w:sz w:val="16"/>
                <w:szCs w:val="16"/>
                <w:color w:val="auto"/>
              </w:rPr>
            </w:pPr>
          </w:p>
        </w:tc>
      </w:tr>
      <w:tr>
        <w:trPr>
          <w:trHeight w:val="196"/>
        </w:trPr>
        <w:tc>
          <w:tcPr>
            <w:tcW w:w="9600" w:type="dxa"/>
            <w:vAlign w:val="bottom"/>
          </w:tcPr>
          <w:p>
            <w:pPr>
              <w:spacing w:after="0"/>
              <w:rPr>
                <w:sz w:val="20"/>
                <w:szCs w:val="20"/>
                <w:color w:val="auto"/>
              </w:rPr>
            </w:pPr>
            <w:r>
              <w:rPr>
                <w:rFonts w:ascii="Arial" w:cs="Arial" w:eastAsia="Arial" w:hAnsi="Arial"/>
                <w:sz w:val="17"/>
                <w:szCs w:val="17"/>
                <w:color w:val="auto"/>
              </w:rPr>
              <w:t>Total general and administrative expenses</w:t>
            </w:r>
          </w:p>
        </w:tc>
        <w:tc>
          <w:tcPr>
            <w:tcW w:w="12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2,601</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3,313</w:t>
            </w:r>
          </w:p>
        </w:tc>
      </w:tr>
      <w:tr>
        <w:trPr>
          <w:trHeight w:val="20"/>
        </w:trPr>
        <w:tc>
          <w:tcPr>
            <w:tcW w:w="9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General and administrative expenses for the year ended December 31, 2018 was $2.6 million, compared to $3.3 million during the year ended December 31, 2019. This increase of $0.7 million was due to increased administrative costs supporting the increased activities in connection with our Phase 1 clinical trials for ALX 148, resulting in increased other general and administrative expenses of $0.6 million, which included increases in business development activities, legal, accounting and audit services, as well as increased personnel-related costs of $0.1 million.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39"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Cost of services for related-party revenue for the year ended December 31, 2018 was $1.9 million, compared to $4.4 million during the year ended December 31, 2019. This increase of $2.5 million was attributable to an increase in services rendered to Tallac Therapeutics.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41"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Since our inception, we have incurred significant operating losses and have not generated any product revenue. We have not yet commercialized any of our product candidates and we do not expect to generate revenue from sales of</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any product candidates for several years, if at all, subject to marketing approval of any of our product candidates. To date, we have funded our operations with proceeds from the sales of shares of our common stock and convertible preferred stock and borrowings under our term loan. In July 2020, we consummated our initial public offering, raising net proceeds of $169.5 million, after deducting underwriting discounts and commissions of $13.0 million and offering-related expenses of $3.2 million. Through September 30, 2020, we had received net proceeds of $175.1 million from sales of our common stock and convertible preferred stock, net proceeds of $5.8 million borrowings under our term loan, and net proceeds of $169.5 million from our initial public offering. As of September 30, 2020, we had cash and cash equivalents of $259.5 million.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Silicon Valley Bank and WestRiver Group Loan and Security Agreement</w:t>
      </w:r>
    </w:p>
    <w:p>
      <w:pPr>
        <w:spacing w:after="0" w:line="41"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Our wholly-owned subsidiaries ALX Oncology Limited, Alexo Therapeutics International and Sirpant Therapeutics, as borrowers, entered into the Loan and Security Agreement, or the Loan Agreement, dated as of December 20, 2019, with Silicon Valley Bank, or SVB, and WestRiver Innovation Lending Fund VIII, LP, or WestRiver, collectively as lenders, and SVB, as administrative agent and collateral agent. As a result of the internal reorganization, in May 2020 we entered into a Joinder and First Amendment to the Loan and Security Agreement, or the Joinder Amendment, and Amended and Restated Warrants to Purchase Stock, or the Amended Warrants. The purpose for entering into the Joinder Amendment was to add us, as a new incorporated company, as an additional borrower to the Loan Agreement. Concurrently, we modified the Amended Warrants to change the issuer from ALX Oncology Limited to us.</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Loan Agreement provided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our achievement of an equity financing resulting in net cash proceeds in an amount of at least $30.0 million to us. We elected not to draw down on the second tranche, which is no longer available.</w:t>
      </w:r>
    </w:p>
    <w:p>
      <w:pPr>
        <w:spacing w:after="0" w:line="150"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3.25% as of September 30, 2020. Therefore, the rate applicable to us as of September 30, 2020 was 7.0%.</w:t>
      </w:r>
    </w:p>
    <w:p>
      <w:pPr>
        <w:spacing w:after="0" w:line="147"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are required to make interest-only payments for the first 12 months after the closing of the Loan Agreement,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50"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conjunction with the Loan Agreement, we have issued warrants to purchase 61,292 Series B convertible preferred stock to SVB and WestRiver with an exercise price of $9.4972 per share. Following our initial public offering, these warrants were automatically converted to warrants to purchase 61,292 shares of common stock at an exercise price of $9.4972 per share. The estimated fair value of the warrants at the date of issuance was approximately $0.4 million. We revalued the Series B convertible preferred stock warrants as of the completion of the initial public offering and reclassified the outstanding preferred stock warrant liability balance of $1.0 million to additional paid-in capital with no further re-measurement required as the common stock warrants are considered permanent equity effective July 16, 2020. The fair value of the common stock warrant was determined using a Black-Scholes option-pricing model with the following assumptions: an expected term of 9.8 years, a volatility of 84.2%, a dividend rate of zero and a risk-free rate of 0.6%. The changes in fair value was recognized as a component of other expense, net in the accompanying condensed consolidated statement of operations and comprehensive loss. On August 17, 2020, SVB and WestRiver delivered the Notice of Exercise for net exercise of 61,292 warrants at an exercise price of $9.4972 per share. Accordingly, we issued 48,932 shares of our common stock.</w:t>
      </w:r>
    </w:p>
    <w:p>
      <w:pPr>
        <w:spacing w:after="0" w:line="154"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determined that certain loan features were embedded derivatives requiring bifurcation and separate accounting. Those embedded derivatives were bundled together as a single, compound embedded derivative and then bifurcated and accounted for separately from the host contract. We recorded a term loan compound derivative liability of $51,000, which is marked-to-market at each reporting date. We calculated the fair values of the compound derivative by computing the difference between the fair value of the term loans and the compound derivative using the “with and without” method under the income approach, and the fair value of the term loans without the compound derivative. We calculated the fair values using a probability-weighted discounted cash flow analysis. The key valuation assumptions used consist of the discount rate and the probability of a change in control event. The term loan compound derivative liability is being remeasured at each financial reporting period with any changes in fair value being recognized as a component of other expense, net in the condensed consolidated statements of operations and comprehensive loss. As of September 30, 2020, the fair value of the compound derivative liability was approximately $43,000 and was recorded in other non-current liabilities on the condensed consolidated balance sheets.</w:t>
      </w:r>
    </w:p>
    <w:p>
      <w:pPr>
        <w:spacing w:after="0" w:line="154"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fair value of Series B convertible preferred stock warrant liability at issuance, fair value of embedded derivatives which were bifurcated and other debt issuance costs have been treated as debt discounts on our consolidated balance sheets and together with the final payment are being amortized to interest expense throughout the life of the term loans using the effective interest rate method.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incurred losses and negative cash flows from operations since inception and anticipate that we will continue to incur net losses for the foreseeable future. As of September 30, 2020, we had an accumulated deficit of $99.7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188" w:lineRule="exact"/>
        <w:rPr>
          <w:sz w:val="20"/>
          <w:szCs w:val="20"/>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the timing and progress of preclinical and clinical development activities;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successful enrollment in and completion of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the timing and outcome of regulatory review of our product candidates;</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our ability to establish agreements with third-party manufacturers for clinical supply for our clinical trials and, if any of our product candidates are approved, commercial manufacturing;</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addition and retention of key research and development personnel;</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our efforts to enhance operational, financial and information management systems, and hire additional personnel, including personnel to support development of our product candidates;</w:t>
      </w:r>
    </w:p>
    <w:p>
      <w:pPr>
        <w:spacing w:after="0" w:line="22"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the legal patent costs involved in prosecuting patent applications and enforcing patent claims and other intellectual property claims;</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the terms and timing of any collaboration, license or other arrangement, including the terms and timing of any milestone and royalty payments thereunder;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the impact of the COVID-19 pandemic, which may exacerbate the magnitude of the factors discussed above.</w:t>
      </w:r>
    </w:p>
    <w:p>
      <w:pPr>
        <w:spacing w:after="0" w:line="15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40"/>
        <w:spacing w:after="0" w:line="234" w:lineRule="auto"/>
        <w:rPr>
          <w:sz w:val="20"/>
          <w:szCs w:val="20"/>
          <w:color w:val="auto"/>
        </w:rPr>
      </w:pPr>
      <w:r>
        <w:rPr>
          <w:rFonts w:ascii="Arial" w:cs="Arial" w:eastAsia="Arial" w:hAnsi="Arial"/>
          <w:sz w:val="17"/>
          <w:szCs w:val="17"/>
          <w:color w:val="auto"/>
        </w:rPr>
        <w:t>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5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 We believe our existing cash and cash equivalents will enable us to fund our operating expenses and capital expenditure requirements through 2023. We have based these estimates on assumptions that may prove to be wrong, and we could utilize our available capital resources sooner than we expect. Our Loan Agreement includes covenants limiting or restricting our ability to take specific actions, such as incurring additional debt.</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Flows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sources and uses of cash for each of the periods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47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47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105"/>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42"/>
        </w:trPr>
        <w:tc>
          <w:tcPr>
            <w:tcW w:w="47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center"/>
              <w:ind w:right="17"/>
              <w:spacing w:after="0" w:line="143"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r>
      <w:tr>
        <w:trPr>
          <w:trHeight w:val="175"/>
        </w:trPr>
        <w:tc>
          <w:tcPr>
            <w:tcW w:w="47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w:t>
            </w:r>
          </w:p>
        </w:tc>
        <w:tc>
          <w:tcPr>
            <w:tcW w:w="2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4780" w:type="dxa"/>
            <w:vAlign w:val="bottom"/>
          </w:tcPr>
          <w:p>
            <w:pPr>
              <w:ind w:left="500"/>
              <w:spacing w:after="0" w:line="189" w:lineRule="exact"/>
              <w:rPr>
                <w:sz w:val="20"/>
                <w:szCs w:val="20"/>
                <w:color w:val="auto"/>
              </w:rPr>
            </w:pPr>
            <w:r>
              <w:rPr>
                <w:rFonts w:ascii="Arial" w:cs="Arial" w:eastAsia="Arial" w:hAnsi="Arial"/>
                <w:sz w:val="17"/>
                <w:szCs w:val="17"/>
                <w:color w:val="auto"/>
              </w:rPr>
              <w:t>Operating activities</w:t>
            </w:r>
          </w:p>
        </w:tc>
        <w:tc>
          <w:tcPr>
            <w:tcW w:w="3360" w:type="dxa"/>
            <w:vAlign w:val="bottom"/>
            <w:gridSpan w:val="3"/>
          </w:tcPr>
          <w:p>
            <w:pPr>
              <w:jc w:val="right"/>
              <w:ind w:right="260"/>
              <w:spacing w:after="0" w:line="189" w:lineRule="exact"/>
              <w:rPr>
                <w:sz w:val="20"/>
                <w:szCs w:val="20"/>
                <w:color w:val="auto"/>
              </w:rPr>
            </w:pPr>
            <w:r>
              <w:rPr>
                <w:rFonts w:ascii="Arial" w:cs="Arial" w:eastAsia="Arial" w:hAnsi="Arial"/>
                <w:sz w:val="17"/>
                <w:szCs w:val="17"/>
                <w:color w:val="auto"/>
              </w:rPr>
              <w:t>$(13,190)</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w w:val="97"/>
              </w:rPr>
              <w:t>(14,249)</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w w:val="97"/>
              </w:rPr>
              <w:t>(11,375)</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8"/>
              </w:rPr>
              <w:t>$ (24,674)</w:t>
            </w:r>
          </w:p>
        </w:tc>
      </w:tr>
      <w:tr>
        <w:trPr>
          <w:trHeight w:val="189"/>
        </w:trPr>
        <w:tc>
          <w:tcPr>
            <w:tcW w:w="47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Investing activities</w:t>
            </w:r>
          </w:p>
        </w:tc>
        <w:tc>
          <w:tcPr>
            <w:tcW w:w="336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(653)</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(415)</w:t>
            </w: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621</w:t>
            </w:r>
          </w:p>
        </w:tc>
      </w:tr>
      <w:tr>
        <w:trPr>
          <w:trHeight w:val="189"/>
        </w:trPr>
        <w:tc>
          <w:tcPr>
            <w:tcW w:w="4780" w:type="dxa"/>
            <w:vAlign w:val="bottom"/>
          </w:tcPr>
          <w:p>
            <w:pPr>
              <w:ind w:left="500"/>
              <w:spacing w:after="0" w:line="189" w:lineRule="exact"/>
              <w:rPr>
                <w:sz w:val="20"/>
                <w:szCs w:val="20"/>
                <w:color w:val="auto"/>
              </w:rPr>
            </w:pPr>
            <w:r>
              <w:rPr>
                <w:rFonts w:ascii="Arial" w:cs="Arial" w:eastAsia="Arial" w:hAnsi="Arial"/>
                <w:sz w:val="17"/>
                <w:szCs w:val="17"/>
                <w:color w:val="auto"/>
              </w:rPr>
              <w:t>Financing activities</w:t>
            </w:r>
          </w:p>
        </w:tc>
        <w:tc>
          <w:tcPr>
            <w:tcW w:w="2360" w:type="dxa"/>
            <w:vAlign w:val="bottom"/>
          </w:tcPr>
          <w:p>
            <w:pPr>
              <w:spacing w:after="0"/>
              <w:rPr>
                <w:sz w:val="16"/>
                <w:szCs w:val="16"/>
                <w:color w:val="auto"/>
              </w:rPr>
            </w:pP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15,357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9,430</w:t>
            </w: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274,520</w:t>
            </w:r>
          </w:p>
        </w:tc>
      </w:tr>
      <w:tr>
        <w:trPr>
          <w:trHeight w:val="27"/>
        </w:trPr>
        <w:tc>
          <w:tcPr>
            <w:tcW w:w="47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336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(13,842)</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755</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(2,360)</w:t>
            </w: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250,467</w:t>
            </w:r>
          </w:p>
        </w:tc>
      </w:tr>
      <w:tr>
        <w:trPr>
          <w:trHeight w:val="20"/>
        </w:trPr>
        <w:tc>
          <w:tcPr>
            <w:tcW w:w="4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In the nine months ended September 30, 2019, cash used in operating activities of $11.4 million was attributable to a net loss of $11.5 million and a change of $0.4 million in our net operating assets and liabilities, partially offset by $0.5 million in non-cash charges. The non-cash charges consisted of stock-based compensation of $0.2 million and depreciation and amortization of $0.3 million. The change in operating assets and liabilities was primarily due to a $0.4 million increase in receivables from a related-party, $0.3 million decrease in accrued expenses and other current liabilities and a $0.1 million decrease in accounts payable, partially offset by a $0.4 million decrease in prepaid expenses and other current assets.</w:t>
      </w:r>
    </w:p>
    <w:p>
      <w:pPr>
        <w:spacing w:after="0" w:line="14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nine months ended September 30, 2020, cash used in operating activities of $24.7 million was attributable to a net loss of $27.0 million and a change of $2.5 million in our net operating assets and liabilities, partially offset by $4.8 million in non-cash charges. The non-cash charges consisted of stock-based compensation of $3.7 million, change in fair value of Series B convertible preferred stock warrant liability and term loan compound derivative of $0.7 million, depreciation and amortization of $0.2 million and amortization of term loan discount and issuance costs of $0.3 million, partially offset by a gain on assignment of lease of $0.1 million. The change in operating assets and liabilities was primarily due to a $2.3 million decrease in accounts payable, $2.1 million increase in prepaid expenses and other current assets, partially offset by a $2.0 million increase in accrued expenses and other current liabilities. This is primarily due to timing of cash payments for clinical-related activities.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In the year ended December 31, 2018, cash used in operating activities of $13.2 million was attributable to a net loss of $13.7 million partially offset by $0.7 million in non-cash charges and a net change of $0.2 million in our net operating assets and liabilities. The non-cash charges consisted of stock-based compensation expense of $0.3 million and depreciation and amortization expense of $0.4 million. The change in operating assets and liabilities was primarily due to a $0.9 million increase in receivables due from a related-party and $0.3 million decrease in accounts payable. This was partially offset by a $0.9 million decrease in prepaid expenses and other current assets resulting from the timing of prepayments made for research and development activities.</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the year ended December 31, 2019, cash used in operating activities of $14.2 million was attributable to a net loss of $19.2 million and a net change of $4.3 million in our net operating assets and liabilities, partially offset by $0.7 million in non-cash charges. The non-cash charges primarily consisted of stock-based compensation expense of $0.3 million and depreciation and amortization expense of $0.4 million. The change in operating assets and liabilities was primarily due to a $3.0 million increase in accounts payable, a $0.7 million decrease in prepaid expenses and other current assets and a $0.4 million decrease in receivables due from a related-party. The increase in accounts payable is primarily due to the timing of cash payments and increased activities to support overall business growth.</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41"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In the nine months ended September 30, 2019, cash used in investing activities was $0.4 million and was related to capital expenditures on the purchase of property and equipment.</w:t>
      </w:r>
    </w:p>
    <w:p>
      <w:pPr>
        <w:spacing w:after="0" w:line="144"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In the nine months ended September 30, 2020, cash provided by investing activities was $0.6 million, primarily due to proceeds from assets held for sale.</w:t>
      </w:r>
    </w:p>
    <w:p>
      <w:pPr>
        <w:spacing w:after="0" w:line="144"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In the year ended December 31, 2018, cash used in investing activities of $0.7 million was related to capital expenditures on the purchase of property and equipment.</w:t>
      </w:r>
    </w:p>
    <w:p>
      <w:pPr>
        <w:spacing w:after="0" w:line="144"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In the year ended December 31, 2019, cash used in investing activities of $0.4 million was related to capital expenditures on the purchase of property and equipment.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41"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In the nine months ended September 30, 2019, cash provided by financing activities was $9.4 million, from the sale and issuance of Series B convertible preferred stock with gross proceeds of $9.6 million, partially offset by payment of issuance costs of $0.2 million.</w:t>
      </w:r>
    </w:p>
    <w:p>
      <w:pPr>
        <w:spacing w:after="0" w:line="144"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In the nine months ended September 30, 2020, cash provided by financing activities was $274.5 million, primarily from the net proceeds of our initial public offering of $172.7 million, after deducting underwriting commissions and discounts, the sale and issuance of Series C convertible preferred stock with gross proceeds of $105.0 million, net of $0.3 million in issuance costs, and proceeds from the exercise of common stock under equity incentive plans of $0.3 million, partially offset by payment of offering costs of $3.2 million.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year ended December 31, 2018, cash provided by financing activities was nominal.</w:t>
      </w:r>
    </w:p>
    <w:p>
      <w:pPr>
        <w:spacing w:after="0" w:line="156"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In the year ended December 31, 2019, cash provided by financing activities of $15.4 million was related to net proceeds of $9.4 million from the issuance of Series B convertible preferred shares and $5.9 million from the net proceeds from a term loan entered into in December 2019.</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080"/>
          </w:cols>
          <w:pgMar w:left="32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3"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We have contractual obligations from our operating lease, manufacturing and service contracts, Term Loan, and other research and development activities. The following table aggregates our material expected contractual obligations and commitments as of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SEPTEMBER 30, 2020</w:t>
            </w: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96"/>
              <w:spacing w:after="0" w:line="156" w:lineRule="exact"/>
              <w:rPr>
                <w:sz w:val="20"/>
                <w:szCs w:val="20"/>
                <w:color w:val="auto"/>
              </w:rPr>
            </w:pPr>
            <w:r>
              <w:rPr>
                <w:rFonts w:ascii="Arial" w:cs="Arial" w:eastAsia="Arial" w:hAnsi="Arial"/>
                <w:sz w:val="11"/>
                <w:szCs w:val="11"/>
                <w:b w:val="1"/>
                <w:bCs w:val="1"/>
                <w:color w:val="auto"/>
              </w:rPr>
              <w:t>2020</w:t>
            </w:r>
            <w:r>
              <w:rPr>
                <w:rFonts w:ascii="Arial" w:cs="Arial" w:eastAsia="Arial" w:hAnsi="Arial"/>
                <w:sz w:val="18"/>
                <w:szCs w:val="18"/>
                <w:b w:val="1"/>
                <w:bCs w:val="1"/>
                <w:color w:val="auto"/>
                <w:vertAlign w:val="superscript"/>
              </w:rPr>
              <w:t>(4)</w:t>
            </w:r>
          </w:p>
        </w:tc>
        <w:tc>
          <w:tcPr>
            <w:tcW w:w="160" w:type="dxa"/>
            <w:vAlign w:val="bottom"/>
          </w:tcPr>
          <w:p>
            <w:pPr>
              <w:spacing w:after="0"/>
              <w:rPr>
                <w:sz w:val="13"/>
                <w:szCs w:val="13"/>
                <w:color w:val="auto"/>
              </w:rPr>
            </w:pPr>
          </w:p>
        </w:tc>
        <w:tc>
          <w:tcPr>
            <w:tcW w:w="11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2021-2022</w:t>
            </w:r>
          </w:p>
        </w:tc>
        <w:tc>
          <w:tcPr>
            <w:tcW w:w="600" w:type="dxa"/>
            <w:vAlign w:val="bottom"/>
          </w:tcPr>
          <w:p>
            <w:pPr>
              <w:spacing w:after="0"/>
              <w:rPr>
                <w:sz w:val="13"/>
                <w:szCs w:val="13"/>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2023-2024</w:t>
            </w:r>
          </w:p>
        </w:tc>
        <w:tc>
          <w:tcPr>
            <w:tcW w:w="60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THEREAFTER</w:t>
            </w:r>
          </w:p>
        </w:tc>
        <w:tc>
          <w:tcPr>
            <w:tcW w:w="60" w:type="dxa"/>
            <w:vAlign w:val="bottom"/>
          </w:tcPr>
          <w:p>
            <w:pPr>
              <w:spacing w:after="0"/>
              <w:rPr>
                <w:sz w:val="13"/>
                <w:szCs w:val="13"/>
                <w:color w:val="auto"/>
              </w:rPr>
            </w:pPr>
          </w:p>
        </w:tc>
      </w:tr>
      <w:tr>
        <w:trPr>
          <w:trHeight w:val="183"/>
        </w:trPr>
        <w:tc>
          <w:tcPr>
            <w:tcW w:w="47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14"/>
                <w:szCs w:val="14"/>
                <w:color w:val="auto"/>
              </w:rPr>
              <w:t>(1)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380</w:t>
            </w: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w:t>
            </w: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284</w:t>
            </w:r>
          </w:p>
        </w:tc>
        <w:tc>
          <w:tcPr>
            <w:tcW w:w="6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9"/>
              <w:spacing w:after="0" w:line="183" w:lineRule="exact"/>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6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4760" w:type="dxa"/>
            <w:vAlign w:val="bottom"/>
          </w:tcPr>
          <w:p>
            <w:pPr>
              <w:spacing w:after="0" w:line="189" w:lineRule="exact"/>
              <w:rPr>
                <w:sz w:val="20"/>
                <w:szCs w:val="20"/>
                <w:color w:val="auto"/>
              </w:rPr>
            </w:pPr>
            <w:r>
              <w:rPr>
                <w:rFonts w:ascii="Arial" w:cs="Arial" w:eastAsia="Arial" w:hAnsi="Arial"/>
                <w:sz w:val="17"/>
                <w:szCs w:val="17"/>
                <w:color w:val="auto"/>
              </w:rPr>
              <w:t>Manufacturing and service contracts</w:t>
            </w: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300"/>
              <w:spacing w:after="0" w:line="189" w:lineRule="exact"/>
              <w:rPr>
                <w:sz w:val="20"/>
                <w:szCs w:val="20"/>
                <w:color w:val="auto"/>
              </w:rPr>
            </w:pPr>
            <w:r>
              <w:rPr>
                <w:rFonts w:ascii="Arial" w:cs="Arial" w:eastAsia="Arial" w:hAnsi="Arial"/>
                <w:sz w:val="17"/>
                <w:szCs w:val="17"/>
                <w:color w:val="auto"/>
              </w:rPr>
              <w:t>7,622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6,238</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1,384</w:t>
            </w:r>
          </w:p>
        </w:tc>
        <w:tc>
          <w:tcPr>
            <w:tcW w:w="300" w:type="dxa"/>
            <w:vAlign w:val="bottom"/>
          </w:tcPr>
          <w:p>
            <w:pPr>
              <w:spacing w:after="0"/>
              <w:rPr>
                <w:sz w:val="16"/>
                <w:szCs w:val="16"/>
                <w:color w:val="auto"/>
              </w:rPr>
            </w:pPr>
          </w:p>
        </w:tc>
        <w:tc>
          <w:tcPr>
            <w:tcW w:w="10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4"/>
        </w:trPr>
        <w:tc>
          <w:tcPr>
            <w:tcW w:w="476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Term loan</w:t>
            </w: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gridSpan w:val="3"/>
            <w:shd w:val="clear" w:color="auto" w:fill="CCEEFF"/>
          </w:tcPr>
          <w:p>
            <w:pPr>
              <w:jc w:val="right"/>
              <w:ind w:right="300"/>
              <w:spacing w:after="0" w:line="4" w:lineRule="exact"/>
              <w:rPr>
                <w:sz w:val="20"/>
                <w:szCs w:val="20"/>
                <w:color w:val="auto"/>
              </w:rPr>
            </w:pPr>
            <w:r>
              <w:rPr>
                <w:rFonts w:ascii="Arial" w:cs="Arial" w:eastAsia="Arial" w:hAnsi="Arial"/>
                <w:sz w:val="1"/>
                <w:szCs w:val="1"/>
                <w:color w:val="auto"/>
              </w:rPr>
              <w:t>6,856</w:t>
            </w: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gridSpan w:val="2"/>
            <w:shd w:val="clear" w:color="auto" w:fill="CCEEFF"/>
          </w:tcPr>
          <w:p>
            <w:pPr>
              <w:jc w:val="right"/>
              <w:ind w:right="160"/>
              <w:spacing w:after="0" w:line="4" w:lineRule="exact"/>
              <w:rPr>
                <w:sz w:val="20"/>
                <w:szCs w:val="20"/>
                <w:color w:val="auto"/>
              </w:rPr>
            </w:pPr>
            <w:r>
              <w:rPr>
                <w:rFonts w:ascii="Arial" w:cs="Arial" w:eastAsia="Arial" w:hAnsi="Arial"/>
                <w:sz w:val="1"/>
                <w:szCs w:val="1"/>
                <w:color w:val="auto"/>
              </w:rPr>
              <w:t>106</w:t>
            </w: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gridSpan w:val="2"/>
            <w:shd w:val="clear" w:color="auto" w:fill="CCEEFF"/>
          </w:tcPr>
          <w:p>
            <w:pPr>
              <w:jc w:val="right"/>
              <w:ind w:right="600"/>
              <w:spacing w:after="0" w:line="4" w:lineRule="exact"/>
              <w:rPr>
                <w:sz w:val="20"/>
                <w:szCs w:val="20"/>
                <w:color w:val="auto"/>
              </w:rPr>
            </w:pPr>
            <w:r>
              <w:rPr>
                <w:rFonts w:ascii="Arial" w:cs="Arial" w:eastAsia="Arial" w:hAnsi="Arial"/>
                <w:sz w:val="1"/>
                <w:szCs w:val="1"/>
                <w:color w:val="auto"/>
              </w:rPr>
              <w:t>6,750</w:t>
            </w:r>
          </w:p>
        </w:tc>
        <w:tc>
          <w:tcPr>
            <w:tcW w:w="30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jc w:val="right"/>
              <w:ind w:right="600"/>
              <w:spacing w:after="0" w:line="4" w:lineRule="exact"/>
              <w:rPr>
                <w:sz w:val="20"/>
                <w:szCs w:val="20"/>
                <w:color w:val="auto"/>
              </w:rPr>
            </w:pPr>
            <w:r>
              <w:rPr>
                <w:rFonts w:ascii="Arial" w:cs="Arial" w:eastAsia="Arial" w:hAnsi="Arial"/>
                <w:sz w:val="1"/>
                <w:szCs w:val="1"/>
                <w:color w:val="auto"/>
              </w:rPr>
              <w:t>—</w:t>
            </w:r>
          </w:p>
        </w:tc>
        <w:tc>
          <w:tcPr>
            <w:tcW w:w="460" w:type="dxa"/>
            <w:vAlign w:val="bottom"/>
            <w:shd w:val="clear" w:color="auto" w:fill="CCEEFF"/>
          </w:tcPr>
          <w:p>
            <w:pPr>
              <w:spacing w:after="0" w:line="20" w:lineRule="exact"/>
              <w:rPr>
                <w:sz w:val="1"/>
                <w:szCs w:val="1"/>
                <w:color w:val="auto"/>
              </w:rPr>
            </w:pPr>
          </w:p>
        </w:tc>
        <w:tc>
          <w:tcPr>
            <w:tcW w:w="58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w:t>
            </w:r>
          </w:p>
        </w:tc>
      </w:tr>
      <w:tr>
        <w:trPr>
          <w:trHeight w:val="185"/>
        </w:trPr>
        <w:tc>
          <w:tcPr>
            <w:tcW w:w="4760" w:type="dxa"/>
            <w:vAlign w:val="bottom"/>
            <w:shd w:val="clear" w:color="auto" w:fill="CCEEFF"/>
          </w:tcPr>
          <w:p>
            <w:pPr>
              <w:ind w:left="740"/>
              <w:spacing w:after="0"/>
              <w:rPr>
                <w:sz w:val="20"/>
                <w:szCs w:val="20"/>
                <w:color w:val="auto"/>
              </w:rPr>
            </w:pPr>
            <w:r>
              <w:rPr>
                <w:rFonts w:ascii="Arial" w:cs="Arial" w:eastAsia="Arial" w:hAnsi="Arial"/>
                <w:sz w:val="15"/>
                <w:szCs w:val="15"/>
                <w:color w:val="auto"/>
              </w:rPr>
              <w:t>(3)</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476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14,858</w:t>
            </w:r>
          </w:p>
        </w:tc>
        <w:tc>
          <w:tcPr>
            <w:tcW w:w="2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6,378</w:t>
            </w:r>
          </w:p>
        </w:tc>
        <w:tc>
          <w:tcPr>
            <w:tcW w:w="64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8,418</w:t>
            </w:r>
          </w:p>
        </w:tc>
        <w:tc>
          <w:tcPr>
            <w:tcW w:w="300" w:type="dxa"/>
            <w:vAlign w:val="bottom"/>
          </w:tcPr>
          <w:p>
            <w:pPr>
              <w:jc w:val="right"/>
              <w:ind w:right="119"/>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600"/>
              <w:spacing w:after="0"/>
              <w:rPr>
                <w:sz w:val="20"/>
                <w:szCs w:val="20"/>
                <w:color w:val="auto"/>
              </w:rPr>
            </w:pPr>
            <w:r>
              <w:rPr>
                <w:rFonts w:ascii="Arial" w:cs="Arial" w:eastAsia="Arial" w:hAnsi="Arial"/>
                <w:sz w:val="17"/>
                <w:szCs w:val="17"/>
                <w:color w:val="auto"/>
              </w:rPr>
              <w:t>62</w:t>
            </w:r>
          </w:p>
        </w:tc>
        <w:tc>
          <w:tcPr>
            <w:tcW w:w="460" w:type="dxa"/>
            <w:vAlign w:val="bottom"/>
          </w:tcPr>
          <w:p>
            <w:pPr>
              <w:jc w:val="right"/>
              <w:ind w:right="279"/>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4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4" w:lineRule="exact"/>
        <w:rPr>
          <w:sz w:val="20"/>
          <w:szCs w:val="20"/>
          <w:color w:val="auto"/>
        </w:rPr>
      </w:pPr>
    </w:p>
    <w:p>
      <w:pPr>
        <w:ind w:left="540" w:hanging="289"/>
        <w:spacing w:after="0"/>
        <w:tabs>
          <w:tab w:leader="none" w:pos="540" w:val="left"/>
        </w:tabs>
        <w:numPr>
          <w:ilvl w:val="0"/>
          <w:numId w:val="5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Payments due for the office space in Burlingame, California under a single operating sub-lease agreement that expires in 2023.</w:t>
      </w:r>
    </w:p>
    <w:p>
      <w:pPr>
        <w:ind w:left="540" w:right="20" w:hanging="289"/>
        <w:spacing w:after="0" w:line="215" w:lineRule="auto"/>
        <w:tabs>
          <w:tab w:leader="none" w:pos="540" w:val="left"/>
        </w:tabs>
        <w:numPr>
          <w:ilvl w:val="0"/>
          <w:numId w:val="5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In November 2015, we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us to certain purchase obligations of approximately $7.5 million. In addition, we have commitments with a second drug product manufacturer that commits us to certain purchase obligations of approximately $0.1 million. These amounts are based on non-cancellable commitments and forecasts that include estimates of future market demand, quantity discounts and manufacturing efficiencies that may impact timing of purchases.</w:t>
      </w:r>
    </w:p>
    <w:p>
      <w:pPr>
        <w:spacing w:after="0" w:line="3" w:lineRule="exact"/>
        <w:rPr>
          <w:rFonts w:ascii="Arial" w:cs="Arial" w:eastAsia="Arial" w:hAnsi="Arial"/>
          <w:sz w:val="24"/>
          <w:szCs w:val="24"/>
          <w:i w:val="1"/>
          <w:iCs w:val="1"/>
          <w:color w:val="auto"/>
          <w:vertAlign w:val="superscript"/>
        </w:rPr>
      </w:pPr>
    </w:p>
    <w:p>
      <w:pPr>
        <w:ind w:left="540" w:right="140" w:hanging="289"/>
        <w:spacing w:after="0" w:line="182" w:lineRule="auto"/>
        <w:tabs>
          <w:tab w:leader="none" w:pos="540" w:val="left"/>
        </w:tabs>
        <w:numPr>
          <w:ilvl w:val="0"/>
          <w:numId w:val="54"/>
        </w:numPr>
        <w:rPr>
          <w:rFonts w:ascii="Arial" w:cs="Arial" w:eastAsia="Arial" w:hAnsi="Arial"/>
          <w:sz w:val="23"/>
          <w:szCs w:val="23"/>
          <w:i w:val="1"/>
          <w:iCs w:val="1"/>
          <w:color w:val="auto"/>
          <w:vertAlign w:val="superscript"/>
        </w:rPr>
      </w:pPr>
      <w:r>
        <w:rPr>
          <w:rFonts w:ascii="Arial" w:cs="Arial" w:eastAsia="Arial" w:hAnsi="Arial"/>
          <w:sz w:val="14"/>
          <w:szCs w:val="14"/>
          <w:i w:val="1"/>
          <w:iCs w:val="1"/>
          <w:color w:val="auto"/>
        </w:rPr>
        <w:t>On December 20, 2019, we borrowed a loan pursuant to the Loan Agreement. See Note 5 to the condensed consolidated financial statements included elsewhere in this prospectus for additional details.</w:t>
      </w:r>
    </w:p>
    <w:p>
      <w:pPr>
        <w:spacing w:after="0" w:line="1" w:lineRule="exact"/>
        <w:rPr>
          <w:rFonts w:ascii="Arial" w:cs="Arial" w:eastAsia="Arial" w:hAnsi="Arial"/>
          <w:sz w:val="23"/>
          <w:szCs w:val="23"/>
          <w:i w:val="1"/>
          <w:iCs w:val="1"/>
          <w:color w:val="auto"/>
          <w:vertAlign w:val="superscript"/>
        </w:rPr>
      </w:pPr>
    </w:p>
    <w:p>
      <w:pPr>
        <w:ind w:left="540" w:hanging="289"/>
        <w:spacing w:after="0" w:line="189" w:lineRule="auto"/>
        <w:tabs>
          <w:tab w:leader="none" w:pos="540" w:val="left"/>
        </w:tabs>
        <w:numPr>
          <w:ilvl w:val="0"/>
          <w:numId w:val="54"/>
        </w:numPr>
        <w:rPr>
          <w:rFonts w:ascii="Arial" w:cs="Arial" w:eastAsia="Arial" w:hAnsi="Arial"/>
          <w:sz w:val="19"/>
          <w:szCs w:val="19"/>
          <w:i w:val="1"/>
          <w:iCs w:val="1"/>
          <w:color w:val="auto"/>
          <w:vertAlign w:val="superscript"/>
        </w:rPr>
      </w:pPr>
      <w:r>
        <w:rPr>
          <w:rFonts w:ascii="Arial" w:cs="Arial" w:eastAsia="Arial" w:hAnsi="Arial"/>
          <w:sz w:val="12"/>
          <w:szCs w:val="12"/>
          <w:i w:val="1"/>
          <w:iCs w:val="1"/>
          <w:color w:val="auto"/>
        </w:rPr>
        <w:t>Remaining three months.</w:t>
      </w:r>
    </w:p>
    <w:p>
      <w:pPr>
        <w:spacing w:after="0" w:line="141"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License and Collaboration Agreements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3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In March 2015, we entered into a license agreement, or the Stanford Agreement, with the Board of Trustees of the Leland Stanford Junior University, or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49"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No milestone payments have been made through September 30, 2020.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3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June 2016, we entered into a license agreement with Selexis SA, or Selexis, under which we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50"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In consideration for the rights granted to us under the agreement, we paid Selexis a nominal one-time fee and will pay Selexis an annual maintenance fee. We also agreed to pay Selexis milestone payments up to an aggregate of 1.2 million Swiss Francs in respect of all licensed products developed and/or commercialized under the grant, that successfully satisfies certain milestone events. We also agreed to pay Selexis a flat royalty of a very low single-digit percentage on net sales made by us, our affiliates and our sublicensees of products. This royalty obligation, on a product-by-product and country-by-country basis, shall terminate and become fully paid-up upon the passing of ten years after the first commercial sale of the product in such country or our exercise of the royalty buyout option, exercisable at any time prior to the first commercial sale of a licensed product.</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Our obligations to make payments that are accrued or accruable will survive any termination of the agreement, and in certain circumstances the licenses granted under the agreement will terminate unless they have become fully paid up as described in the previous paragraph.</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39"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In March 2017, we entered into an agreement with Crystal Bioscience, Inc. (now a subsidiary of Ligand Pharmaceuticals Incorporated), or Crystal, under which we obtained an assignment of certain patents, covering certain SIRPa antibodies. Under this agreement, we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consideration for the rights granted to us under the agreement, we agreed to pay Crystal milestone payments up to $11.1 million in respect of all licensed products developed under the assigned patents, that successfully satisfy certain clinical and regulatory milestones, each milestone being paid only once for all products. We also agreed to pay Crystal tiered royalties on net sales of licensed products made by us, our affiliates and our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48"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We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We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such breach). Our obligations to pay royalties and milestone payments which accrued pre-termination or accrue post-termination will survive any termination.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Agreement</w:t>
      </w:r>
    </w:p>
    <w:p>
      <w:pPr>
        <w:spacing w:after="0" w:line="52" w:lineRule="exact"/>
        <w:rPr>
          <w:sz w:val="20"/>
          <w:szCs w:val="20"/>
          <w:color w:val="auto"/>
        </w:rPr>
      </w:pPr>
    </w:p>
    <w:p>
      <w:pPr>
        <w:ind w:left="120" w:right="100"/>
        <w:spacing w:after="0" w:line="232" w:lineRule="auto"/>
        <w:rPr>
          <w:sz w:val="20"/>
          <w:szCs w:val="20"/>
          <w:color w:val="auto"/>
        </w:rPr>
      </w:pPr>
      <w:r>
        <w:rPr>
          <w:rFonts w:ascii="Arial" w:cs="Arial" w:eastAsia="Arial" w:hAnsi="Arial"/>
          <w:sz w:val="17"/>
          <w:szCs w:val="17"/>
          <w:color w:val="auto"/>
        </w:rPr>
        <w:t>In June 2018, we entered into the Tollnine Agreement with Tallac Therapeutics, a related-party, to provide research and development services to Tallac Therapeutics. From June 2018 to April 2020, our Chief Executive Officer was also the Chief Executive Officer of Tallac Therapeutics and currently two of our investors are also investors in Tallac Therapeutics. In April 2020, Dr. Hong Wan, our former Chief Scientific Officer, replaced our Chief Executive Officer to become the Chief Executive Officer of Tallac Therapeutics. As such, Tallac Therapeutics was deemed to be a related-party. The services under the Tollnine Agreement were provided at a price based on the costs incurred by us plus a mark-up equal to</w:t>
      </w:r>
    </w:p>
    <w:p>
      <w:pPr>
        <w:ind w:left="120" w:right="160"/>
        <w:spacing w:after="0" w:line="243" w:lineRule="auto"/>
        <w:rPr>
          <w:sz w:val="20"/>
          <w:szCs w:val="20"/>
          <w:color w:val="auto"/>
        </w:rPr>
      </w:pPr>
      <w:r>
        <w:rPr>
          <w:rFonts w:ascii="Arial" w:cs="Arial" w:eastAsia="Arial" w:hAnsi="Arial"/>
          <w:sz w:val="17"/>
          <w:szCs w:val="17"/>
          <w:color w:val="auto"/>
        </w:rPr>
        <w:t>10.0% of such costs. We recognized revenue when Tallac Therapeutics, as our customer, obtained control of promised goods or services, in an amount that reflects the consideration which we expect to receive in exchange for those goods or services.</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For the years ended December 31, 2018, and December 31, 2019, and for the nine months ended September 30, 2019 and September 30, 2020, we recognized related-party revenues of $2.1 million and $4.8 million, and $3.6 million and $1.2 million, respectively, under the Tollnine Agreement.</w:t>
      </w:r>
    </w:p>
    <w:p>
      <w:pPr>
        <w:spacing w:after="0" w:line="147"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As of December 31, 2018, December 31, 2019 and September 30, 2020, we had outstanding related-party receivables from Tallac Therapeutics of $0.9 million, $0.5 million and $0.5 million, respectively.</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Effective as of July 1, 2020, we terminated the Tollnine Agreement and entered into the Tallac Services Agreement with Tallac Therapeutics, pursuant to which Tallac Therapeutics will provide certain research and development services to us. The Tallac Services Agreement has an initial term of four years, to be automatically renewed for additional one-year terms unless terminated by either party. The services are to be provided at a price based on the costs incurred by Tallac Therapeutics plus a mark-up equal to 10.0% of such costs. For additional information regarding our Tallac Services Agreement with Tallac Therapeutics, please see “Certain Relationships and Related-Party Transactions—Tallac Therapeutics Agreements.”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0" w:lineRule="exact"/>
        <w:rPr>
          <w:sz w:val="20"/>
          <w:szCs w:val="20"/>
          <w:color w:val="auto"/>
        </w:rPr>
      </w:pPr>
    </w:p>
    <w:p>
      <w:pPr>
        <w:ind w:left="120" w:right="240"/>
        <w:spacing w:after="0" w:line="232" w:lineRule="auto"/>
        <w:rPr>
          <w:sz w:val="20"/>
          <w:szCs w:val="20"/>
          <w:color w:val="auto"/>
        </w:rPr>
      </w:pPr>
      <w:r>
        <w:rPr>
          <w:rFonts w:ascii="Arial" w:cs="Arial" w:eastAsia="Arial" w:hAnsi="Arial"/>
          <w:sz w:val="17"/>
          <w:szCs w:val="17"/>
          <w:color w:val="auto"/>
        </w:rPr>
        <w:t>In connection with the audit of our consolidated financial statements as of and for the years ended December 31, 2019 and 2018, we identified material weaknesses in our internal control over financial reporting resulting from a lack of sufficient qualified personnel. For the year ended December 31, 2019, the material weaknesses related to (i) independent reviews of journal entries not being performed prior to posting,</w:t>
      </w:r>
    </w:p>
    <w:p>
      <w:pPr>
        <w:ind w:left="120" w:hanging="4"/>
        <w:spacing w:after="0" w:line="234" w:lineRule="auto"/>
        <w:tabs>
          <w:tab w:leader="none" w:pos="357" w:val="left"/>
        </w:tabs>
        <w:numPr>
          <w:ilvl w:val="0"/>
          <w:numId w:val="55"/>
        </w:numPr>
        <w:rPr>
          <w:rFonts w:ascii="Arial" w:cs="Arial" w:eastAsia="Arial" w:hAnsi="Arial"/>
          <w:sz w:val="17"/>
          <w:szCs w:val="17"/>
          <w:color w:val="auto"/>
        </w:rPr>
      </w:pPr>
      <w:r>
        <w:rPr>
          <w:rFonts w:ascii="Arial" w:cs="Arial" w:eastAsia="Arial" w:hAnsi="Arial"/>
          <w:sz w:val="17"/>
          <w:szCs w:val="17"/>
          <w:color w:val="auto"/>
        </w:rPr>
        <w:t>account reconciliations not being performed and independently reviewed on a timely basis and (iii) lack of independent review of technical accounting matters. During the first, second and third quarters of 2020, we have undertaken specific remediation actions to address the control deficiencies in our financial reporting. We have established more robust processes related to the review of complex accounting transactions, the preparation of account reconciliations and the review of journal entries. These remediation actions included hiring a full time Chief Financial Officer in January 2020, a Vice President, Finance and Chief Accounting Officer in March 2020 and a Controller in August 2020, all of whom have extensive experience in developing and implementing internal controls and executing plans to remediate control deficiencies. We added new control activities, modified existing controls, and enhanced the documentation that evidences that controls are performed.</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If remediation of these material weaknesses is not effective, or if we fail to develop and maintain an effective system of disclosure controls and internal control over financial reporting, our ability to produce timely and accurate consolidated financial statements or comply with applicable laws and regulations could be impaired. See “Risk Factors—Risks Related to Our Operations—We identified material weaknesses in our internal control over financial reporting. If our remediation measures are not effective, we may not be able to report our financial condition or results of operations accurately or on a timely basis.”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93"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During the period presented, we did not have, nor do we currently have, any off-balance sheet arrangements, as defined in the rules and regulations of the SEC.</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41"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As of September 30, 2020, we had cash and cash equivalents of $259.5 million. We generally hold our cash and cash equivalents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and cash equivalents.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Financial Institution Risk</w:t>
      </w:r>
    </w:p>
    <w:p>
      <w:pPr>
        <w:spacing w:after="0" w:line="41"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Substantially all of our cash and cash equivalents is held with a single financial institution. Due to its size, this financial institution represents a minimal credit risk. Cash amounts held at financial institutions are insured by the Federal Deposit Insurance Corporation up to $250,000. At September 30, 2020, we had $259.2 million in excess of this insured limit.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effect on our financial results.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Effects of Inflation</w:t>
      </w:r>
    </w:p>
    <w:p>
      <w:pPr>
        <w:spacing w:after="0" w:line="41"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has had a material effect on our results of operations during the periods presented.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9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are an “emerging growth company,” as defined in the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We have elected to take advantage of the extended transition period for complying with new or revised accounting standards. As a result of this election, our consolidated financial statements may not be comparable to companies that comply with public company effective dates. The JOBS Act also exempts us from having to provide an auditor attestation of internal control over financial reporting under SOX Section 404(b).</w:t>
      </w:r>
    </w:p>
    <w:p>
      <w:pPr>
        <w:spacing w:after="0" w:line="14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We will remain an “emerging growth company” until the earliest of (1) the last day of the fiscal year in which we have total annual gross revenues of $1.07 billion or more, (2) the last day of the fiscal year following the fifth anniversary of the completion of our initial public offering, (3) the date on which we have issued more than $1.0 billion in nonconvertible debt during the previous three years or (4) the date on which we are deemed to be a large accelerated filer under the rules of the SEC, which generally is when we have more than $700 million in market value of our stock held by non-affiliates and we have been a public company for at least 12 months and have filed one annual report on Form 10-K.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financial statements, which have been prepared in accordance with generally accepted accounting principles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spacing w:after="0" w:line="144"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While our significant accounting policies are more fully described in the notes to our audited and unaudited financial statements elsewhere in this prospectus, we believe that the following accounting policies related to accrued expenses and equity-based compensation are most critical to understanding and evaluating our reported financial results.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and Manufacturing Accruals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accrue for estimated costs of research and development activities conducted by third-party service providers, which include the conduct of clinical trials and contract manufacturing activities. We record the estimated costs of research and development activities based upon the estimated amount of services provided. These costs are included in either prepaid expenses and other current assets or accrued expenses and other current liabilities in the consolidated balance sheets and within research and development expense in the consolidated statements of operations and comprehensive loss. We accrue for these costs based on factors such as estimates of the work completed and in accordance with agreements established with its third-party service providers. We record prepaid expenses which consists of amounts paid in advance for services that have not yet been incurred as of the end of the fiscal year.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93"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us as of the specified effective date. Unless otherwise discussed, the impact of recently issued standards that are not yet effective are not expected to have a material impact on our financial position or results of operations upon adoption.</w:t>
      </w:r>
    </w:p>
    <w:p>
      <w:pPr>
        <w:spacing w:after="0" w:line="147"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In February 2016, the FASB issued ASU No. 2016-02 (Topic 842), Leases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 business entities, including smaller reporting companies, to fiscal years beginning after December 15, 2021. The new standard is effective for us beginning January 1, 2022 (or earlier if the Company ceases to be an emerging growth company). Early adoption is permitted. We are currently evaluating the effects of the adoption of this guidance on our condensed consolidated financial statements and related disclosures.</w:t>
      </w:r>
    </w:p>
    <w:p>
      <w:pPr>
        <w:spacing w:after="0" w:line="151"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us beginning January 1, 2022. Early adoption is permitted. We are currently in the process of evaluating the effects of the adoption of this guidance on our condensed consolidated financial statements and do not expect it to have a material impact on our condensed consolidated financial statements.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a clinical 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160 subjects with ALX148 across a range of hematologic and solid malignancies in combination with a number of leading anti-cancer agents. We intend to advance ALX148 into clinical development for the treatment of myelodysplastic syndromes, or MDS, acute myeloid leukemia, or AML, and to continue clinical development for the treatment of a range of solid tumor indications. We plan to initiate additional studies in combination with leading anti-cancer agents. In hematologic malignancies, we have dosed the first subjects for the treatment of MDS and intend to advance ALX148 into clinical development for the treatment of AML in 2021. In solid tumors, we intend to initiate Phase 2 trials of ALX148 for the treatment of first-line head and neck cancer and second-line gastric/GEJ cancer and a Phase 1 trial for the treatment of breast cancer in 2021.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54"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151"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 proprietary inactivated Fc domain. The CD47 binding domain of ALX148 is an affinity enhanced extracellular domain of SIRPa, a protein that is the natural receptor to CD47 found on myeloid cells. We have engineered the Fc domain of ALX148 so that it does not provide a pro-phagocytic signal while still maintaining an antibody-like half-life for the molecule. We believe our inactive Fc approach improves tolerability when compared to other CD47 blocking approaches that have an Fc domain that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engages activating receptors on macrophages, causing phagocytosis and death of healthy cells in addition to cancer cells.</w:t>
      </w:r>
    </w:p>
    <w:p>
      <w:pPr>
        <w:spacing w:after="0" w:line="156"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ALX148’s design has several advantages that we believe will make it broadly applicable to treating a number of oncology indications. Due to the inactive Fc, ALX148 is specifically designed for use in combination with other anti-cancer agents that provide a positive immune-stimulating signal. We believe ALX148 has a favorable tolerability profile that may enable higher dosing levels and greater combination potential with other leading anti-cancer agents. Additionally, the molecular weight of ALX148 is half that of a typical antibody. The relatively smaller size of our molecule may facilitate increased penetrance into the tumor microenvironment. We believe these properties may enable ALX148 to provide superior therapeutic benefits.</w:t>
      </w:r>
    </w:p>
    <w:p>
      <w:pPr>
        <w:spacing w:after="0" w:line="148"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Clinical data to date in ALX148 have not shown dose-dependent hematologic toxicities, which are characteristic of other CD47 blockers that incorporate an active Fc domain. At least 130 subjects have been treated with ALX148 in combination with targeted anti-cancer agents and checkpoint inhibitors as of October 1, 2020. ALX148 has not reached a maximum tolerated dose in any of the combinations evaluated to date.</w:t>
      </w:r>
    </w:p>
    <w:p>
      <w:pPr>
        <w:spacing w:after="0" w:line="147"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October 2020, we began enrollment in subjects with MDS and plan to advance ALX148 for the treatment of AML. In our Phase 1b trial of ALX148 in combination with an anti-CD20 agent to treat subjects with relapsed/refractory non-Hodgkin’s lymphoma, or NHL, ALX148 demonstrated a higher response rate at higher doses and achieved a 70.0% objective response rate, or ORR, in the highest dose (15 mg/kg once per week, or QW) cohort as compared to a 40.9% ORR at the lower dose (10 mg/kg QW) cohort. We view this ORR as compelling evidence for the role of ALX148 in treating hematologic malignancies and as a favorable comparison to outcomes reported by other CD47 blocking agents in a similar patient population. Furthermore, other CD47 blocking agents in development have demonstrated clinical evidence supporting the role of CD47 blockade in treating hematologic malignances, specifically in both MDS and AML, albeit with high rates of cytopenias. We have conducted preclinical studies of ALX148 combined with azacitidine or venetoclax that support our clinical development plan in MDS and AML. Azacitidine is a standard of care agent for the treatment of MDS. Azacitidine and venetoclax are both standard of care regimen components for the treatment of AML in older patients and those who are not candidates for intensive induction chemotherapy due to comorbidities. We have conducted preclinical studies that show that azacitidine and venetoclax increase both the display of the “eat me” signal calreticulin and the “don’t eat me” signal CD47 on AML cells, suggesting that a CD47 blocking agent could maximize the activity of venetoclax and azacitidine in these models. Additionally, we have shown that azacitidine and ALX148 in combination produce increased phagocytosis in vitro and anti-tumor activity in mouse models compared to azacitidine alone.</w:t>
      </w:r>
    </w:p>
    <w:p>
      <w:pPr>
        <w:spacing w:after="0" w:line="151" w:lineRule="exact"/>
        <w:rPr>
          <w:sz w:val="20"/>
          <w:szCs w:val="20"/>
          <w:color w:val="auto"/>
        </w:rPr>
      </w:pPr>
    </w:p>
    <w:p>
      <w:pPr>
        <w:ind w:left="120" w:right="520"/>
        <w:spacing w:after="0" w:line="236" w:lineRule="auto"/>
        <w:rPr>
          <w:sz w:val="20"/>
          <w:szCs w:val="20"/>
          <w:color w:val="auto"/>
        </w:rPr>
      </w:pPr>
      <w:r>
        <w:rPr>
          <w:rFonts w:ascii="Arial" w:cs="Arial" w:eastAsia="Arial" w:hAnsi="Arial"/>
          <w:sz w:val="17"/>
          <w:szCs w:val="17"/>
          <w:color w:val="auto"/>
        </w:rPr>
        <w:t>Furthermore, we have demonstrated that combination treatment of ALX148 with azacitidine or venetoclax leads to tumor elimination and prolonged survival in leukemia mouse models. In October 2020, the first subjects received ALX148 in a Phase 1b/2 trial in combination with azacitidine for the treatment of subjects with higher-risk MDS. We also plan to advance ALX148 into a Phase 1b/2 trial in combination with venetoclax and azacitidine for the first-line treatment of subjects with AML in the second half of 2021.</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ALX148 has also generated clinical data in solid tumors in various combinations, including with a leading tumor antigen targeting antibody, a leading checkpoint inhibitor and chemotherapy. We believe that ALX148 induces multiple responses that bridge innate and adaptive immunity. We are investigating ALX148 for the treatment of HNSCC. HER2-positive gastric/GEJ carcinoma, and HER2-expressing breast cancer and other solid tumors. In Phase 1b clinical trials, ALX148 has demonstrated both objective clinical response per the Response Evaluation Criteria in Solid Tumors, or RECIST, criteria and tolerability in combination with other broadly used cancer agents. Based on these results, the Food &amp; Drug Administration, or FDA, has granted Fast Track designation for ALX148 for both the treatment of patients with HNSCC in the first-line setting and for patients with HER2-positive advanced gastric or 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anti-tumor activity in solid tumors. We are planning to advance ALX148 into two Phase 2 trials in patients with previously untreated advanced HNSCC in combination with pembrolizumab, marketed as Keytruda, the market leading anti-programmed cell death protein-1, or PD-1, checkpoint inhibitor, with or without chemotherapy in the first half of 2021. These trials will be conducted in collaboration with Merck. We are also</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planning to advance ALX148 into Phase 2 trials in subjects with previously treated advanced HER2-positive gastric/GEJ carcinoma in combination with trastuzumab, marketed as Herceptin, the market-leading anti-HER2 antibody, with the second line standard of care, ramucirumab, marketed as Cyramza, plus paclitaxel in the second half of 2021. We have also entered into a clinical trial collaboration with Zymeworks to initiate a Phase 1 trial of ALX148 in combination with Zymeworks’ HER2-targeted bispecific antibody zanidatamab for the treatment of patients with HER2-expressing breast cancer.</w:t>
      </w:r>
    </w:p>
    <w:p>
      <w:pPr>
        <w:spacing w:after="0" w:line="150"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 (a subsidiary of Pfizer), invented fremanezumab (FDA approved in 2018), tanezumab (Biologics License Application, or BLA, filed in 2020) and additional antibodies in late-stage development at Pfizer and advanced nine more drugs into human trials. Our Chief 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20 years of experience guiding public and private life science companies and has raised over $1.5 billion in debt and equity offerings. We have funded ALX Oncology to date primarily through the issuance and sale of our convertible preferred stock to investors including venBio, Lightstone Ventures, Vivo Capital, Logos Capital, Janus Henderson, Foresite Capital, Stanford University, Cormorant Asset Management, BVF Partners, HBM Healthcare Investments and the Longevity Fund. We own global rights to all of our product candidates.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Key elements of our strategy to support this goal include:</w:t>
      </w:r>
    </w:p>
    <w:p>
      <w:pPr>
        <w:spacing w:after="0" w:line="176" w:lineRule="exact"/>
        <w:rPr>
          <w:sz w:val="20"/>
          <w:szCs w:val="20"/>
          <w:color w:val="auto"/>
        </w:rPr>
      </w:pPr>
    </w:p>
    <w:p>
      <w:pPr>
        <w:ind w:left="980" w:right="20" w:hanging="432"/>
        <w:spacing w:after="0" w:line="236"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our lead product candidate, ALX148, through clinical development for MDS and AML. </w:t>
      </w:r>
      <w:r>
        <w:rPr>
          <w:rFonts w:ascii="Arial" w:cs="Arial" w:eastAsia="Arial" w:hAnsi="Arial"/>
          <w:sz w:val="17"/>
          <w:szCs w:val="17"/>
          <w:color w:val="auto"/>
        </w:rPr>
        <w:t>We have initiated a Phase</w:t>
      </w:r>
      <w:r>
        <w:rPr>
          <w:rFonts w:ascii="Arial" w:cs="Arial" w:eastAsia="Arial" w:hAnsi="Arial"/>
          <w:sz w:val="17"/>
          <w:szCs w:val="17"/>
          <w:b w:val="1"/>
          <w:bCs w:val="1"/>
          <w:color w:val="auto"/>
        </w:rPr>
        <w:t xml:space="preserve"> </w:t>
      </w:r>
      <w:r>
        <w:rPr>
          <w:rFonts w:ascii="Arial" w:cs="Arial" w:eastAsia="Arial" w:hAnsi="Arial"/>
          <w:sz w:val="17"/>
          <w:szCs w:val="17"/>
          <w:color w:val="auto"/>
        </w:rPr>
        <w:t>1b/2 trial of ALX148, in combination with azacitidine, for the treatment of patients with higher-risk MDS and plan to initiate a Phase 1b/2 trial in combination with venetoclax and azacitidine for the first-line treatment of patients with AML in 2021. Given the limitations of current treatment options for patients with MDS, preclinical activity of ALX148 in combination with azacitidine, clinical data from competitor programs and the differentiated tolerability profile of ALX148, we intend to pursue a strategy in which we will leverage the data generated from this Phase 1b/2 trial to request from the FDA that ALX148 be a candidate for accelerated approval in the first-line treatment of higher risk MDS. Similarly, we believe ALX148 combination therapies could address the significant unmet need for more active tolerable regimens in the majority of patients with AML who are not fit for intensive induction chemotherapy. While we plan to seek accelerated approval by the FDA for the use of ALX148 in higher risk MDS, and potentially AML, and may do so opportunistically for other indications in the future, there is no assurance that this approach will be successful for these as well as other indications.</w:t>
      </w:r>
    </w:p>
    <w:p>
      <w:pPr>
        <w:spacing w:after="0" w:line="8" w:lineRule="exact"/>
        <w:rPr>
          <w:rFonts w:ascii="MS PGothic" w:cs="MS PGothic" w:eastAsia="MS PGothic" w:hAnsi="MS PGothic"/>
          <w:sz w:val="13"/>
          <w:szCs w:val="13"/>
          <w:color w:val="auto"/>
        </w:rPr>
      </w:pPr>
    </w:p>
    <w:p>
      <w:pPr>
        <w:ind w:left="980" w:right="60" w:hanging="432"/>
        <w:spacing w:after="0" w:line="236"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other CD47 blocking approaches in solid tumors. We have generated encouraging data in subjects with HNSCC treated with ALX148 in combination with a PD-1 checkpoint inhibitor with and without chemotherapy as well as in subjects with HER2-positive gastric/GEJ cancer, who have progressed on prior HER2-targeted therapy, treated in combination with a HER2-targeted antibody with and without chemotherapy. The FDA has granted ALX148 Fast Track designation in first-line HNSCC and second-line HER2-positive gastric/GEJ cancer. We intend to pursue a strategy in which we will leverage the data generated from our planned Phase 2 randomized trials of ALX148 and pembrolizumab with and without chemotherapy to request from the FDA that ALX148 be a candidate for accelerated approval in the first-line treatment of HNSCC. We are also planning a Phase 2 trial of ALX148, trastuzumab and chemotherapy in second-line HER2-positive gastric/GEJ cancer and plan to request from the FDA that</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000" w:right="580"/>
        <w:spacing w:after="0" w:line="238" w:lineRule="auto"/>
        <w:rPr>
          <w:sz w:val="20"/>
          <w:szCs w:val="20"/>
          <w:color w:val="auto"/>
        </w:rPr>
      </w:pPr>
      <w:r>
        <w:rPr>
          <w:rFonts w:ascii="Arial" w:cs="Arial" w:eastAsia="Arial" w:hAnsi="Arial"/>
          <w:sz w:val="17"/>
          <w:szCs w:val="17"/>
          <w:color w:val="auto"/>
        </w:rPr>
        <w:t>ALX148 be a candidate for accelerated approval in the second-line treatment of gastric/GEJ cancer. We also plan to initiate an additional Phase 1 trial of ALX148 in patients with HER2-expressing breast cancer and other solid tumors in combination with zanidatamab.</w:t>
      </w:r>
    </w:p>
    <w:p>
      <w:pPr>
        <w:spacing w:after="0" w:line="6" w:lineRule="exact"/>
        <w:rPr>
          <w:sz w:val="20"/>
          <w:szCs w:val="20"/>
          <w:color w:val="auto"/>
        </w:rPr>
      </w:pPr>
    </w:p>
    <w:p>
      <w:pPr>
        <w:ind w:left="980" w:right="60" w:hanging="432"/>
        <w:spacing w:after="0" w:line="244"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 engage the immune</w:t>
      </w:r>
      <w:r>
        <w:rPr>
          <w:rFonts w:ascii="Arial" w:cs="Arial" w:eastAsia="Arial" w:hAnsi="Arial"/>
          <w:sz w:val="17"/>
          <w:szCs w:val="17"/>
          <w:b w:val="1"/>
          <w:bCs w:val="1"/>
          <w:color w:val="auto"/>
        </w:rPr>
        <w:t xml:space="preserve"> </w:t>
      </w:r>
      <w:r>
        <w:rPr>
          <w:rFonts w:ascii="Arial" w:cs="Arial" w:eastAsia="Arial" w:hAnsi="Arial"/>
          <w:sz w:val="17"/>
          <w:szCs w:val="17"/>
          <w:color w:val="auto"/>
        </w:rPr>
        <w:t>system. We continue to develop a pipeline of immuno-oncology programs that represent complementary, but differentiated, approaches to engaging the innate and adaptive immune systems.</w:t>
      </w:r>
    </w:p>
    <w:p>
      <w:pPr>
        <w:sectPr>
          <w:pgSz w:w="11900" w:h="16838" w:orient="portrait"/>
          <w:cols w:equalWidth="0" w:num="1">
            <w:col w:w="11100"/>
          </w:cols>
          <w:pgMar w:left="320" w:top="459" w:right="479" w:bottom="1440" w:gutter="0" w:footer="0" w:header="0"/>
        </w:sectPr>
      </w:pPr>
    </w:p>
    <w:p>
      <w:pPr>
        <w:spacing w:after="0" w:line="164"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Pipeline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color w:val="auto"/>
        </w:rPr>
        <w:t xml:space="preserve">Continuing to develop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have in the past and may in the future</w:t>
      </w:r>
      <w:r>
        <w:rPr>
          <w:rFonts w:ascii="Arial" w:cs="Arial" w:eastAsia="Arial" w:hAnsi="Arial"/>
          <w:sz w:val="17"/>
          <w:szCs w:val="17"/>
          <w:b w:val="1"/>
          <w:bCs w:val="1"/>
          <w:color w:val="auto"/>
        </w:rPr>
        <w:t xml:space="preserve"> </w:t>
      </w:r>
      <w:r>
        <w:rPr>
          <w:rFonts w:ascii="Arial" w:cs="Arial" w:eastAsia="Arial" w:hAnsi="Arial"/>
          <w:sz w:val="17"/>
          <w:szCs w:val="17"/>
          <w:color w:val="auto"/>
        </w:rPr>
        <w:t>partner with other companies with complementary resources that will maximize the value of our current and future product candidates. Such partnerships may allow us to pair ALX148 and any future product candidates with other novel agents owned fully or in part by strategic partners. Partnerships may and will also help realize the full potential of our product candidates in markets where we are unlikely to pursue development or commercialization on our own. We intend to maintain significant economic interest in our product candidates and selectively consider partnership opportunities. In September 2020, we announced a clinical trial collaboration with Merck on a Phase 2 trial evaluating ALX148 in combination with pembrolizumab with and without chemotherapy in patients with head and neck cancer. In November 2020, we announced a clinical trial collaboration with Zymeworks on a Phase 1 trial evaluating ALX148 with the HER2-targeting bispecific antibody zanidatamab in patients with advanced HER2-expressing breast cancer and other solid tumors.</w:t>
      </w:r>
    </w:p>
    <w:p>
      <w:pPr>
        <w:spacing w:after="0" w:line="484" w:lineRule="exact"/>
        <w:rPr>
          <w:sz w:val="20"/>
          <w:szCs w:val="20"/>
          <w:color w:val="auto"/>
        </w:rPr>
      </w:pPr>
    </w:p>
    <w:p>
      <w:pPr>
        <w:sectPr>
          <w:pgSz w:w="11900" w:h="16838" w:orient="portrait"/>
          <w:cols w:equalWidth="0" w:num="2">
            <w:col w:w="800" w:space="180"/>
            <w:col w:w="10120"/>
          </w:cols>
          <w:pgMar w:left="320" w:top="459" w:right="479" w:bottom="1440" w:gutter="0" w:footer="0" w:header="0"/>
          <w:type w:val="continuous"/>
        </w:sectPr>
      </w:pPr>
    </w:p>
    <w:p>
      <w:pPr>
        <w:jc w:val="both"/>
        <w:ind w:left="120" w:right="40"/>
        <w:spacing w:after="0" w:line="238"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chart below summarizes the development status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128270</wp:posOffset>
            </wp:positionV>
            <wp:extent cx="5349240" cy="2974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4924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We are also developing preclinical programs that may offer additional ways to engage the innate and adaptive immune response to cancer.</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100"/>
          </w:cols>
          <w:pgMar w:left="320" w:top="459" w:right="47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CD47 Scientific Background</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Cancer immunotherapies targeting adaptive immune system checkpoints, notably those related to T cells, have transformed the standard of care in oncology across multiple cancer types. Initial clinical successes in this area have focused on stimulating the adaptive immune system. However, emerging evidence demonstrates that the innate immune system plays a crucial role in the first line of defense to eliminate transformed malignant cells and the subsequent activation of the adaptive immune system. Dendritic cells and macrophages are a type of myeloid cell and are important parts of the innate immune system. These cells eliminate cancer cells by phagocytosis and present tumor-derived antigens to T cells, a process known as cross-priming, which activates the adaptive immune system.</w:t>
      </w:r>
    </w:p>
    <w:p>
      <w:pPr>
        <w:spacing w:after="0" w:line="148" w:lineRule="exact"/>
        <w:rPr>
          <w:sz w:val="20"/>
          <w:szCs w:val="20"/>
          <w:color w:val="auto"/>
        </w:rPr>
      </w:pPr>
    </w:p>
    <w:p>
      <w:pPr>
        <w:ind w:left="120" w:right="140"/>
        <w:spacing w:after="0" w:line="241" w:lineRule="auto"/>
        <w:rPr>
          <w:sz w:val="20"/>
          <w:szCs w:val="20"/>
          <w:color w:val="auto"/>
        </w:rPr>
      </w:pPr>
      <w:r>
        <w:rPr>
          <w:rFonts w:ascii="Arial" w:cs="Arial" w:eastAsia="Arial" w:hAnsi="Arial"/>
          <w:sz w:val="17"/>
          <w:szCs w:val="17"/>
          <w:color w:val="auto"/>
        </w:rPr>
        <w:t>Cancer cells evade phagocytosis by up-regulating CD47, a transmembrane protein that mainly functions as an anti-phagocytic “don’t eat me” signal for healthy cells. CD47 interacts with its cognate receptor SIRPa, a regulatory membrane glycoprotein, that is expressed on macrophages and other myeloid cells and serves to prevent phagocytosis when bound to CD47. By overexpressing CD47, cancer cells are able to avoid phagocytosis by macrophages and thereby evade subsequent detection by the adaptive immune system.</w:t>
      </w:r>
    </w:p>
    <w:p>
      <w:pPr>
        <w:spacing w:after="0" w:line="92"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High CD47 expression in cancer cells has been shown to be a prognostic indicator of decreased survival in multiple oncology indications. A study published by Majeti, et al. in 2009, assessed this association in a validation cohort of 137 subjects with acute myeloid leukemia, or AML. As shown in the figure below, normal karyotype AML, or NK-AML, subjects with high levels of CD47 expression had shorter median overall survival, or mOS, of 9.1 months compared to subjects with low levels of CD47 expression who had an mOS of 22.1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124460</wp:posOffset>
            </wp:positionV>
            <wp:extent cx="2717165" cy="16973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1716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CD47 as a therapeutic checkpoint target</w:t>
      </w:r>
    </w:p>
    <w:p>
      <w:pPr>
        <w:spacing w:after="0" w:line="81"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Data generated by our and other studies in the field have demonstrated that activating the immune system against cancer requires both blocking phagocytosis checkpoints and inducing pro-phagocytic signals. This can be achieved by combining CD47 blockade with either conventional chemotherapies or targeted therapies, which together promote phagocytosis by macrophages and maximize adaptive immune system response.</w:t>
      </w:r>
    </w:p>
    <w:p>
      <w:pPr>
        <w:spacing w:after="0" w:line="147"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Existing anti-cancer therapeutics can increase “eat me” signals on cancer cells. For example, the hypomethylating agent, or HMA, azacitidine activates the immune system by increasing display of calreticulin, a multifunctional protein, on cancer cells. Calreticulin is an important example of a pro-phagocytic “eat me” signal that potentiates immune response when expressed on cancer cells. Therapeutic antibodies that target tumor-specific antigens, such as the HER2 receptor, also induce cellular phagocytosis, but through a slightly different mechanism. These antibodies direct macrophages to cancer cells by binding to the tumor-specific antigen and activating the macrophage by engaging the Fcg receptors to induce phagocytosis. However, if CD47 is not blocked, the “don’t eat me” signal can limit the activity of this mechanism. CD47 blocking therapies can therefore maximize a combination agent’s clinical efficacy by overcoming the “don’t eat me“ signal that is co-opted by cancer cells.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product candidate targets CD47 to maximize phagocytosis of cancer cells and activation of the adaptive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139700</wp:posOffset>
            </wp:positionV>
            <wp:extent cx="5349240" cy="2057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492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Cancer cells can also modulate their environment to suppress detection by immune cells. Overexpression of CD47 helps cancer cells avoid innate immune system detection by dendritic cells and subsequent antigen presentation to T cells, thereby limiting anti-tumor immune response. PD(L)-1 targeting immunotherapies are designed to reduce the suppression of T cells but do not address the initial evasion of the innate immune system by cancer cells. By removing the suppression of dendritic cells, CD47 blocking therapies in combination with PD(L)-1 targeted therapies can complement their T cell stimulatory activities.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Current Approaches to Blocking CD47</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have been a number of approaches to blocking CD47, including monoclonal antibodies and fusion proteins that include an active Fc region.</w:t>
      </w:r>
    </w:p>
    <w:p>
      <w:pPr>
        <w:ind w:left="120"/>
        <w:spacing w:after="0"/>
        <w:rPr>
          <w:sz w:val="20"/>
          <w:szCs w:val="20"/>
          <w:color w:val="auto"/>
        </w:rPr>
      </w:pPr>
      <w:r>
        <w:rPr>
          <w:rFonts w:ascii="Arial" w:cs="Arial" w:eastAsia="Arial" w:hAnsi="Arial"/>
          <w:sz w:val="17"/>
          <w:szCs w:val="17"/>
          <w:color w:val="auto"/>
        </w:rPr>
        <w:t>These approaches have encountered limitations that have challenged their ability to maximize the full potential of CD47 blockade. These include:</w:t>
      </w:r>
    </w:p>
    <w:p>
      <w:pPr>
        <w:spacing w:after="0" w:line="176" w:lineRule="exact"/>
        <w:rPr>
          <w:sz w:val="20"/>
          <w:szCs w:val="20"/>
          <w:color w:val="auto"/>
        </w:rPr>
      </w:pPr>
    </w:p>
    <w:p>
      <w:pPr>
        <w:ind w:left="980" w:right="20" w:hanging="432"/>
        <w:spacing w:after="0" w:line="238"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b w:val="1"/>
          <w:bCs w:val="1"/>
          <w:color w:val="auto"/>
        </w:rPr>
        <w:t>Limited dosing and therapeutic window</w:t>
      </w:r>
      <w:r>
        <w:rPr>
          <w:rFonts w:ascii="Arial" w:cs="Arial" w:eastAsia="Arial" w:hAnsi="Arial"/>
          <w:sz w:val="17"/>
          <w:szCs w:val="17"/>
          <w:color w:val="auto"/>
        </w:rPr>
        <w:t>: All clinical data to date from other CD47 blocking agents have come from approaches</w:t>
      </w:r>
      <w:r>
        <w:rPr>
          <w:rFonts w:ascii="Arial" w:cs="Arial" w:eastAsia="Arial" w:hAnsi="Arial"/>
          <w:sz w:val="17"/>
          <w:szCs w:val="17"/>
          <w:b w:val="1"/>
          <w:bCs w:val="1"/>
          <w:color w:val="auto"/>
        </w:rPr>
        <w:t xml:space="preserve"> </w:t>
      </w:r>
      <w:r>
        <w:rPr>
          <w:rFonts w:ascii="Arial" w:cs="Arial" w:eastAsia="Arial" w:hAnsi="Arial"/>
          <w:sz w:val="17"/>
          <w:szCs w:val="17"/>
          <w:color w:val="auto"/>
        </w:rPr>
        <w:t>that incorporate an active Fc region that provides an “eat me” signal to macrophages. Given that healthy blood cells express CD47, the presence of an “eat me” signal coupled with CD47 binding in a single-agent leads to destruction of blood cells. This mechanism is illustrated in the figure below. The trials of these other CD47 blocking agents have resulted in frequent occurrence of treatment-related cytopenias that we believe limits the therapeutic window of these agents. In addition to limiting the dosing, cytopenias can be dangerous for patients undergoing treatment for cancer as they may already have a compromised immune system related to intensive treatment regimens and disease progression.</w:t>
      </w:r>
    </w:p>
    <w:p>
      <w:pPr>
        <w:spacing w:after="0" w:line="6" w:lineRule="exact"/>
        <w:rPr>
          <w:rFonts w:ascii="MS PGothic" w:cs="MS PGothic" w:eastAsia="MS PGothic" w:hAnsi="MS PGothic"/>
          <w:sz w:val="13"/>
          <w:szCs w:val="13"/>
          <w:color w:val="auto"/>
        </w:rPr>
      </w:pPr>
    </w:p>
    <w:p>
      <w:pPr>
        <w:ind w:left="980" w:right="80" w:hanging="432"/>
        <w:spacing w:after="0" w:line="238"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b w:val="1"/>
          <w:bCs w:val="1"/>
          <w:color w:val="auto"/>
        </w:rPr>
        <w:t>Limited ability to combine with other anti-cancer agents</w:t>
      </w:r>
      <w:r>
        <w:rPr>
          <w:rFonts w:ascii="Arial" w:cs="Arial" w:eastAsia="Arial" w:hAnsi="Arial"/>
          <w:sz w:val="17"/>
          <w:szCs w:val="17"/>
          <w:color w:val="auto"/>
        </w:rPr>
        <w:t>: Combination therapies continue to play an important role in treating</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with cancer. Overlapping toxicities of these agents dictate which agents can and cannot be combined. The overlapping toxicity profiles of other CD47 blocking agents and most other anti-cancer agents create challenges for combination dosing. When combination dosing is possible, the therapeutic benefit of the combination is limited due to the minimal amount of the CD47 blocking agent that can be safely dosed. Moreover, many combinations are precluded entirely due to overlapping toxicity. In addition, an active Fc domain can compete with anti-cancer antibodies when used in combination treatments and can prevent such antibodies from binding with Fcg receptors on immune cells.</w:t>
      </w:r>
    </w:p>
    <w:p>
      <w:pPr>
        <w:spacing w:after="0" w:line="20" w:lineRule="exact"/>
        <w:rPr>
          <w:rFonts w:ascii="MS PGothic" w:cs="MS PGothic" w:eastAsia="MS PGothic" w:hAnsi="MS PGothic"/>
          <w:sz w:val="13"/>
          <w:szCs w:val="13"/>
          <w:color w:val="auto"/>
        </w:rPr>
      </w:pPr>
    </w:p>
    <w:p>
      <w:pPr>
        <w:ind w:left="980" w:right="80" w:hanging="432"/>
        <w:spacing w:after="0" w:line="248"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b w:val="1"/>
          <w:bCs w:val="1"/>
          <w:color w:val="auto"/>
        </w:rPr>
        <w:t>Limited efficacy in solid tumors</w:t>
      </w:r>
      <w:r>
        <w:rPr>
          <w:rFonts w:ascii="Arial" w:cs="Arial" w:eastAsia="Arial" w:hAnsi="Arial"/>
          <w:sz w:val="17"/>
          <w:szCs w:val="17"/>
          <w:color w:val="auto"/>
        </w:rPr>
        <w:t>: To date, other CD47 blocking agents have failed to achieve meaningful clinical activity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solid tumors, as the balance between managing cytopenias and maximizing efficacy may lead to tolerable doses that are too low to facilitate tumor penetration and efficacy.</w:t>
      </w:r>
    </w:p>
    <w:p>
      <w:pPr>
        <w:spacing w:after="0" w:line="1" w:lineRule="exact"/>
        <w:rPr>
          <w:rFonts w:ascii="MS PGothic" w:cs="MS PGothic" w:eastAsia="MS PGothic" w:hAnsi="MS PGothic"/>
          <w:sz w:val="13"/>
          <w:szCs w:val="13"/>
          <w:color w:val="auto"/>
        </w:rPr>
      </w:pPr>
    </w:p>
    <w:p>
      <w:pPr>
        <w:ind w:left="980" w:right="140" w:hanging="432"/>
        <w:spacing w:after="0" w:line="249"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b w:val="1"/>
          <w:bCs w:val="1"/>
          <w:color w:val="auto"/>
        </w:rPr>
        <w:t>Limited indications due to patient selection</w:t>
      </w:r>
      <w:r>
        <w:rPr>
          <w:rFonts w:ascii="Arial" w:cs="Arial" w:eastAsia="Arial" w:hAnsi="Arial"/>
          <w:sz w:val="17"/>
          <w:szCs w:val="17"/>
          <w:color w:val="auto"/>
        </w:rPr>
        <w:t>: Toxicities associated with other CD47 blocking agents may require careful patient</w:t>
      </w:r>
      <w:r>
        <w:rPr>
          <w:rFonts w:ascii="Arial" w:cs="Arial" w:eastAsia="Arial" w:hAnsi="Arial"/>
          <w:sz w:val="17"/>
          <w:szCs w:val="17"/>
          <w:b w:val="1"/>
          <w:bCs w:val="1"/>
          <w:color w:val="auto"/>
        </w:rPr>
        <w:t xml:space="preserve"> </w:t>
      </w:r>
      <w:r>
        <w:rPr>
          <w:rFonts w:ascii="Arial" w:cs="Arial" w:eastAsia="Arial" w:hAnsi="Arial"/>
          <w:sz w:val="17"/>
          <w:szCs w:val="17"/>
          <w:color w:val="auto"/>
        </w:rPr>
        <w:t>selection when evaluating potential indications. In some cases, only subjects with lower risk of hematologic complications have been selected for treatment for other CD47 blocking agents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80"/>
        <w:spacing w:after="0" w:line="238" w:lineRule="auto"/>
        <w:rPr>
          <w:sz w:val="20"/>
          <w:szCs w:val="20"/>
          <w:color w:val="auto"/>
        </w:rPr>
      </w:pPr>
      <w:r>
        <w:rPr>
          <w:rFonts w:ascii="Arial" w:cs="Arial" w:eastAsia="Arial" w:hAnsi="Arial"/>
          <w:sz w:val="17"/>
          <w:szCs w:val="17"/>
          <w:color w:val="auto"/>
        </w:rPr>
        <w:t>due to drug related risk of severe cytopenias. Sponsors have chosen to initially develop these investigational medicines in indications such as MDS, where patients are often already cytopenic upon presentation and receive regular transfusions, potentially obscuring the side effects of their CD47 blocking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123190</wp:posOffset>
            </wp:positionV>
            <wp:extent cx="5349240" cy="21602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4924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Advantages of ALX’s Approach to Blocking CD47</w:t>
      </w:r>
    </w:p>
    <w:p>
      <w:pPr>
        <w:spacing w:after="0" w:line="93"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17"/>
          <w:szCs w:val="17"/>
          <w:color w:val="auto"/>
        </w:rPr>
        <w:t>We founded ALX Oncology because we believed the limitations described above would prevent CD47 blockade from reaching its full potential as a therapy for patients with cancer. From the company’s inception, we designed ALX148 to overcome these limitations and to maximize the utility of CD47 blockade as an effective anti-cancer therapeutic for a broad range of tumors. Specifically, we believe ALX148 may provide the following significant advantages:</w:t>
      </w:r>
    </w:p>
    <w:p>
      <w:pPr>
        <w:spacing w:after="0" w:line="170" w:lineRule="exact"/>
        <w:rPr>
          <w:sz w:val="20"/>
          <w:szCs w:val="20"/>
          <w:color w:val="auto"/>
        </w:rPr>
      </w:pPr>
    </w:p>
    <w:p>
      <w:pPr>
        <w:ind w:left="980" w:right="140" w:hanging="432"/>
        <w:spacing w:after="0" w:line="241"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b w:val="1"/>
          <w:bCs w:val="1"/>
          <w:color w:val="auto"/>
        </w:rPr>
        <w:t>Broader therapeutic window</w:t>
      </w:r>
      <w:r>
        <w:rPr>
          <w:rFonts w:ascii="Arial" w:cs="Arial" w:eastAsia="Arial" w:hAnsi="Arial"/>
          <w:sz w:val="17"/>
          <w:szCs w:val="17"/>
          <w:color w:val="auto"/>
        </w:rPr>
        <w:t>: We believe ALX148’s broader therapeutic window will allow for greater drug exposure than other</w:t>
      </w:r>
      <w:r>
        <w:rPr>
          <w:rFonts w:ascii="Arial" w:cs="Arial" w:eastAsia="Arial" w:hAnsi="Arial"/>
          <w:sz w:val="17"/>
          <w:szCs w:val="17"/>
          <w:b w:val="1"/>
          <w:bCs w:val="1"/>
          <w:color w:val="auto"/>
        </w:rPr>
        <w:t xml:space="preserve"> </w:t>
      </w:r>
      <w:r>
        <w:rPr>
          <w:rFonts w:ascii="Arial" w:cs="Arial" w:eastAsia="Arial" w:hAnsi="Arial"/>
          <w:sz w:val="17"/>
          <w:szCs w:val="17"/>
          <w:color w:val="auto"/>
        </w:rPr>
        <w:t>CD47 blocking agents potentially translating into improved efficacy across a range of cancers, including MDS and AML, compared to other CD47 blocking agents. To date, we have not yet reached a maximum tolerated dose, or MTD, for ALX148. Furthermore, flexibility in dosing could allow for several administration schedules (weekly, bi-weekly, every three weeks, monthly) that are more amenable to combination therapy dosing schedules, potentially improving a patient’s quality of life.</w:t>
      </w:r>
    </w:p>
    <w:p>
      <w:pPr>
        <w:spacing w:after="0" w:line="4" w:lineRule="exact"/>
        <w:rPr>
          <w:rFonts w:ascii="MS PGothic" w:cs="MS PGothic" w:eastAsia="MS PGothic" w:hAnsi="MS PGothic"/>
          <w:sz w:val="13"/>
          <w:szCs w:val="13"/>
          <w:color w:val="auto"/>
        </w:rPr>
      </w:pPr>
    </w:p>
    <w:p>
      <w:pPr>
        <w:ind w:left="980" w:right="140" w:hanging="432"/>
        <w:spacing w:after="0" w:line="239"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b w:val="1"/>
          <w:bCs w:val="1"/>
          <w:color w:val="auto"/>
        </w:rPr>
        <w:t>Strong potential for combination with other anti-cancer agents</w:t>
      </w:r>
      <w:r>
        <w:rPr>
          <w:rFonts w:ascii="Arial" w:cs="Arial" w:eastAsia="Arial" w:hAnsi="Arial"/>
          <w:sz w:val="17"/>
          <w:szCs w:val="17"/>
          <w:color w:val="auto"/>
        </w:rPr>
        <w:t>: CD47 blocking agents are combined with other therapeutics in</w:t>
      </w:r>
      <w:r>
        <w:rPr>
          <w:rFonts w:ascii="Arial" w:cs="Arial" w:eastAsia="Arial" w:hAnsi="Arial"/>
          <w:sz w:val="17"/>
          <w:szCs w:val="17"/>
          <w:b w:val="1"/>
          <w:bCs w:val="1"/>
          <w:color w:val="auto"/>
        </w:rPr>
        <w:t xml:space="preserve"> </w:t>
      </w:r>
      <w:r>
        <w:rPr>
          <w:rFonts w:ascii="Arial" w:cs="Arial" w:eastAsia="Arial" w:hAnsi="Arial"/>
          <w:sz w:val="17"/>
          <w:szCs w:val="17"/>
          <w:color w:val="auto"/>
        </w:rPr>
        <w:t>order to maximize their potential in treating patients with cancer. Unlike other CD47 blocking agents, ALX148 was specifically designed to be combined with other anti-cancer agents. We believe ALX148’s favorable toxicity profile will enable it to be combined with a wider range of anti-cancer agents, including chemotherapy and cytotoxic containing regimens, compared to other CD47 blocking agents. Furthermore, we believe that ALX148’s inactive Fc domain will neither compete with nor potentially limit the efficacy of anti-cancer antibodies when used in combination treatments.</w:t>
      </w:r>
    </w:p>
    <w:p>
      <w:pPr>
        <w:spacing w:after="0" w:line="6" w:lineRule="exact"/>
        <w:rPr>
          <w:rFonts w:ascii="MS PGothic" w:cs="MS PGothic" w:eastAsia="MS PGothic" w:hAnsi="MS PGothic"/>
          <w:sz w:val="13"/>
          <w:szCs w:val="13"/>
          <w:color w:val="auto"/>
        </w:rPr>
      </w:pPr>
    </w:p>
    <w:p>
      <w:pPr>
        <w:ind w:left="980" w:right="180" w:hanging="432"/>
        <w:spacing w:after="0" w:line="241"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b w:val="1"/>
          <w:bCs w:val="1"/>
          <w:color w:val="auto"/>
        </w:rPr>
        <w:t>Encouraging responses in solid tumors</w:t>
      </w:r>
      <w:r>
        <w:rPr>
          <w:rFonts w:ascii="Arial" w:cs="Arial" w:eastAsia="Arial" w:hAnsi="Arial"/>
          <w:sz w:val="17"/>
          <w:szCs w:val="17"/>
          <w:color w:val="auto"/>
        </w:rPr>
        <w:t>: ALX148 has demonstrated meaningful Phase 1b clinical data in the treatment of solid</w:t>
      </w:r>
      <w:r>
        <w:rPr>
          <w:rFonts w:ascii="Arial" w:cs="Arial" w:eastAsia="Arial" w:hAnsi="Arial"/>
          <w:sz w:val="17"/>
          <w:szCs w:val="17"/>
          <w:b w:val="1"/>
          <w:bCs w:val="1"/>
          <w:color w:val="auto"/>
        </w:rPr>
        <w:t xml:space="preserve"> </w:t>
      </w:r>
      <w:r>
        <w:rPr>
          <w:rFonts w:ascii="Arial" w:cs="Arial" w:eastAsia="Arial" w:hAnsi="Arial"/>
          <w:sz w:val="17"/>
          <w:szCs w:val="17"/>
          <w:color w:val="auto"/>
        </w:rPr>
        <w:t>tumors. While other CD47 blocking agents have failed to demonstrate meaningful clinical activity in solid tumors, ALX148’s differentiated properties may underlie its encouraging results. Based on the data generated with ALX148 in combination with anti-cancer antibodies and checkpoint inhibitors with and without chemotherapy, our strategy is to pursue ALX148 as a potentially critical component for future combination treatment of solid tumors.</w:t>
      </w:r>
    </w:p>
    <w:p>
      <w:pPr>
        <w:spacing w:after="0" w:line="4" w:lineRule="exact"/>
        <w:rPr>
          <w:rFonts w:ascii="MS PGothic" w:cs="MS PGothic" w:eastAsia="MS PGothic" w:hAnsi="MS PGothic"/>
          <w:sz w:val="13"/>
          <w:szCs w:val="13"/>
          <w:color w:val="auto"/>
        </w:rPr>
      </w:pPr>
    </w:p>
    <w:p>
      <w:pPr>
        <w:ind w:left="980" w:hanging="432"/>
        <w:spacing w:after="0" w:line="239"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b w:val="1"/>
          <w:bCs w:val="1"/>
          <w:color w:val="auto"/>
        </w:rPr>
        <w:t>Broader potential indications</w:t>
      </w:r>
      <w:r>
        <w:rPr>
          <w:rFonts w:ascii="Arial" w:cs="Arial" w:eastAsia="Arial" w:hAnsi="Arial"/>
          <w:sz w:val="17"/>
          <w:szCs w:val="17"/>
          <w:color w:val="auto"/>
        </w:rPr>
        <w:t>: We believe ALX148’s tolerability profile will allow for broad treatment of patient populations in a</w:t>
      </w:r>
      <w:r>
        <w:rPr>
          <w:rFonts w:ascii="Arial" w:cs="Arial" w:eastAsia="Arial" w:hAnsi="Arial"/>
          <w:sz w:val="17"/>
          <w:szCs w:val="17"/>
          <w:b w:val="1"/>
          <w:bCs w:val="1"/>
          <w:color w:val="auto"/>
        </w:rPr>
        <w:t xml:space="preserve"> </w:t>
      </w:r>
      <w:r>
        <w:rPr>
          <w:rFonts w:ascii="Arial" w:cs="Arial" w:eastAsia="Arial" w:hAnsi="Arial"/>
          <w:sz w:val="17"/>
          <w:szCs w:val="17"/>
          <w:color w:val="auto"/>
        </w:rPr>
        <w:t>wide range of oncology indications. Toxicities such as cytopenias associated with other CD47 blocking agents may potentially constrain their development strategies. While initial activity of other CD47 blocking agents has been reported in indications such as MDS and AML where many patients already suffer from disease-induced cytopenias, their development in oncology indications that do not include associated cytopenias may be challenged. We believe ALX148 is well positioned to expand the therapeutic potential of CD47 blockade across a broad spectrum of hematologic and solid tumor indications.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ALX148</w:t>
      </w:r>
    </w:p>
    <w:p>
      <w:pPr>
        <w:spacing w:after="0" w:line="9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lead product candidate, ALX148, is a CD47 blocking biologic in development as a combination therapy with other anti-cancer agents for treatment of various oncology indications, including MDS, AML, HNSCC, gastric/GEJ and breast cancer. We engineered ALX148 to maximize CD47 blockade and to avoid hematologic toxicities. We believe ALX148 enhances the efficacy of both anti-cancer targeted antibodies, numerous small molecule drugs and T cell checkpoint inhibitors and exhibits no dose-dependent cytopenias. ALX148 has demonstrated encouraging clinical responses in combination with multiple anti-cancer regimens for both hematologic and solid malignancies.</w:t>
      </w:r>
    </w:p>
    <w:p>
      <w:pPr>
        <w:spacing w:after="0" w:line="15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Other companies have pursued CD47 blocking approaches that prioritize single-agent activity, albeit with limited success. Rather than designing a molecule for monotherapy activity that has been associated with cytopenias, we designed ALX148 for use in combination with anti-cancer agents. Our product candidate exclusively blocks the “don’t eat me” pathway. A combination anti-cancer agent provides a specific pro-phagocytic signal on cancer cells. This approach may both increase the specificity to cancer cells and avoid dose-dependent destruction of healthy blood cells.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Fusion Protein Design</w:t>
      </w:r>
    </w:p>
    <w:p>
      <w:pPr>
        <w:spacing w:after="0" w:line="41" w:lineRule="exact"/>
        <w:rPr>
          <w:sz w:val="20"/>
          <w:szCs w:val="20"/>
          <w:color w:val="auto"/>
        </w:rPr>
      </w:pPr>
    </w:p>
    <w:p>
      <w:pPr>
        <w:jc w:val="both"/>
        <w:ind w:left="120" w:right="220"/>
        <w:spacing w:after="0" w:line="245" w:lineRule="auto"/>
        <w:rPr>
          <w:sz w:val="20"/>
          <w:szCs w:val="20"/>
          <w:color w:val="auto"/>
        </w:rPr>
      </w:pPr>
      <w:r>
        <w:rPr>
          <w:rFonts w:ascii="Arial" w:cs="Arial" w:eastAsia="Arial" w:hAnsi="Arial"/>
          <w:sz w:val="17"/>
          <w:szCs w:val="17"/>
          <w:color w:val="auto"/>
        </w:rPr>
        <w:t>ALX148 is a fusion protein designed to provide a high CD47 blocking potency while potentially eliminating any associated toxicities. Our fusion protein comprises an engineered CD47-binding domain of SIRPa that has been genetically linked to a modified human immunoglobulin-derived Fc domain that does not bind to Fcg receptors. We engineered ALX148 in two important ways:</w:t>
      </w:r>
    </w:p>
    <w:p>
      <w:pPr>
        <w:spacing w:after="0" w:line="198" w:lineRule="exact"/>
        <w:rPr>
          <w:sz w:val="20"/>
          <w:szCs w:val="20"/>
          <w:color w:val="auto"/>
        </w:rPr>
      </w:pPr>
    </w:p>
    <w:p>
      <w:pPr>
        <w:ind w:left="980" w:right="260" w:hanging="432"/>
        <w:spacing w:after="0" w:line="243" w:lineRule="auto"/>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We mutated the binding domain to optimize CD47 affinity. ALX148 binding domain demonstrates an affinity that is over 3,000 times stronger than wildtype SIRPa.</w:t>
      </w:r>
    </w:p>
    <w:p>
      <w:pPr>
        <w:spacing w:after="0" w:line="24" w:lineRule="exact"/>
        <w:rPr>
          <w:rFonts w:ascii="MS PGothic" w:cs="MS PGothic" w:eastAsia="MS PGothic" w:hAnsi="MS PGothic"/>
          <w:sz w:val="13"/>
          <w:szCs w:val="13"/>
          <w:color w:val="auto"/>
        </w:rPr>
      </w:pPr>
    </w:p>
    <w:p>
      <w:pPr>
        <w:ind w:left="980" w:right="140" w:hanging="432"/>
        <w:spacing w:after="0" w:line="274" w:lineRule="auto"/>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We fused the CD47-binding region of SIRPa to an inactive Fc domain. Incorporating an inactive Fc domain was intended to eliminate single-agent activation of macrophages while still maintaining an antibody-like pharmacokinetic, or PK, profile.</w:t>
      </w:r>
    </w:p>
    <w:p>
      <w:pPr>
        <w:spacing w:after="0" w:line="119"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The successful design of ALX148 required in-house generation of approximately 280 different protein constructs to thoroughly evaluate and optimize the impact of differing designs on multiple important evaluation criteria.</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order to optimize ALX148’s properties we conducted the following processes:</w:t>
      </w:r>
    </w:p>
    <w:p>
      <w:pPr>
        <w:spacing w:after="0" w:line="196" w:lineRule="exact"/>
        <w:rPr>
          <w:sz w:val="20"/>
          <w:szCs w:val="20"/>
          <w:color w:val="auto"/>
        </w:rPr>
      </w:pPr>
    </w:p>
    <w:p>
      <w:pPr>
        <w:ind w:left="980" w:hanging="432"/>
        <w:spacing w:after="0"/>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Design of the high-affinity CD47 binding domain:</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1"/>
        </w:numPr>
        <w:rPr>
          <w:rFonts w:ascii="MS PGothic" w:cs="MS PGothic" w:eastAsia="MS PGothic" w:hAnsi="MS PGothic"/>
          <w:sz w:val="13"/>
          <w:szCs w:val="13"/>
          <w:color w:val="auto"/>
        </w:rPr>
      </w:pPr>
      <w:r>
        <w:rPr>
          <w:rFonts w:ascii="Arial" w:cs="Arial" w:eastAsia="Arial" w:hAnsi="Arial"/>
          <w:sz w:val="17"/>
          <w:szCs w:val="17"/>
          <w:color w:val="auto"/>
        </w:rPr>
        <w:t>Optimization of binding affinity for human CD47;</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1"/>
        </w:numPr>
        <w:rPr>
          <w:rFonts w:ascii="MS PGothic" w:cs="MS PGothic" w:eastAsia="MS PGothic" w:hAnsi="MS PGothic"/>
          <w:sz w:val="13"/>
          <w:szCs w:val="13"/>
          <w:color w:val="auto"/>
        </w:rPr>
      </w:pPr>
      <w:r>
        <w:rPr>
          <w:rFonts w:ascii="Arial" w:cs="Arial" w:eastAsia="Arial" w:hAnsi="Arial"/>
          <w:sz w:val="17"/>
          <w:szCs w:val="17"/>
          <w:color w:val="auto"/>
        </w:rPr>
        <w:t>Optimization of cross-reactivity to rodent and monkey CD47 to enable key translational experiments; and</w:t>
      </w:r>
    </w:p>
    <w:p>
      <w:pPr>
        <w:spacing w:after="0" w:line="22"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1"/>
        </w:numPr>
        <w:rPr>
          <w:rFonts w:ascii="MS PGothic" w:cs="MS PGothic" w:eastAsia="MS PGothic" w:hAnsi="MS PGothic"/>
          <w:sz w:val="13"/>
          <w:szCs w:val="13"/>
          <w:color w:val="auto"/>
        </w:rPr>
      </w:pPr>
      <w:r>
        <w:rPr>
          <w:rFonts w:ascii="Arial" w:cs="Arial" w:eastAsia="Arial" w:hAnsi="Arial"/>
          <w:sz w:val="17"/>
          <w:szCs w:val="17"/>
          <w:color w:val="auto"/>
        </w:rPr>
        <w:t>Elimination of partially glycosylated sites in SIRPa to remove heterogeneity and enable consistent manufacturing.</w:t>
      </w:r>
    </w:p>
    <w:p>
      <w:pPr>
        <w:spacing w:after="0" w:line="59" w:lineRule="exact"/>
        <w:rPr>
          <w:rFonts w:ascii="MS PGothic" w:cs="MS PGothic" w:eastAsia="MS PGothic" w:hAnsi="MS PGothic"/>
          <w:sz w:val="13"/>
          <w:szCs w:val="13"/>
          <w:color w:val="auto"/>
        </w:rPr>
      </w:pPr>
    </w:p>
    <w:p>
      <w:pPr>
        <w:ind w:left="980" w:hanging="432"/>
        <w:spacing w:after="0"/>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Design of the optimal fusion combination for PK extension:</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1"/>
        </w:numPr>
        <w:rPr>
          <w:rFonts w:ascii="MS PGothic" w:cs="MS PGothic" w:eastAsia="MS PGothic" w:hAnsi="MS PGothic"/>
          <w:sz w:val="13"/>
          <w:szCs w:val="13"/>
          <w:color w:val="auto"/>
        </w:rPr>
      </w:pPr>
      <w:r>
        <w:rPr>
          <w:rFonts w:ascii="Arial" w:cs="Arial" w:eastAsia="Arial" w:hAnsi="Arial"/>
          <w:sz w:val="17"/>
          <w:szCs w:val="17"/>
          <w:color w:val="auto"/>
        </w:rPr>
        <w:t>Selection of an immunoglobulin isotype to prevent hemagglutination; and</w:t>
      </w:r>
    </w:p>
    <w:p>
      <w:pPr>
        <w:spacing w:after="0" w:line="22" w:lineRule="exact"/>
        <w:rPr>
          <w:rFonts w:ascii="MS PGothic" w:cs="MS PGothic" w:eastAsia="MS PGothic" w:hAnsi="MS PGothic"/>
          <w:sz w:val="13"/>
          <w:szCs w:val="13"/>
          <w:color w:val="auto"/>
        </w:rPr>
      </w:pPr>
    </w:p>
    <w:p>
      <w:pPr>
        <w:ind w:left="1420" w:right="320" w:hanging="427"/>
        <w:spacing w:after="0" w:line="274" w:lineRule="auto"/>
        <w:tabs>
          <w:tab w:leader="none" w:pos="1420" w:val="left"/>
        </w:tabs>
        <w:numPr>
          <w:ilvl w:val="1"/>
          <w:numId w:val="61"/>
        </w:numPr>
        <w:rPr>
          <w:rFonts w:ascii="MS PGothic" w:cs="MS PGothic" w:eastAsia="MS PGothic" w:hAnsi="MS PGothic"/>
          <w:sz w:val="13"/>
          <w:szCs w:val="13"/>
          <w:color w:val="auto"/>
        </w:rPr>
      </w:pPr>
      <w:r>
        <w:rPr>
          <w:rFonts w:ascii="Arial" w:cs="Arial" w:eastAsia="Arial" w:hAnsi="Arial"/>
          <w:sz w:val="17"/>
          <w:szCs w:val="17"/>
          <w:color w:val="auto"/>
        </w:rPr>
        <w:t>Selection of mutations to immunoglobulin G1, or IgG1, to functionally eliminate Fcg binding and avoid associated cytopenias while maintaining neonatal Fc receptor binding that enables antibody-like PK.</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illustrated in the figure below, ALX148 comprises:</w:t>
      </w:r>
    </w:p>
    <w:p>
      <w:pPr>
        <w:spacing w:after="0" w:line="184" w:lineRule="exact"/>
        <w:rPr>
          <w:sz w:val="20"/>
          <w:szCs w:val="20"/>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A SIRPa binding domain optimized to bind to CD47 with high affinity at a picomolar level; and</w:t>
      </w:r>
    </w:p>
    <w:p>
      <w:pPr>
        <w:spacing w:after="0" w:line="59" w:lineRule="exact"/>
        <w:rPr>
          <w:rFonts w:ascii="MS PGothic" w:cs="MS PGothic" w:eastAsia="MS PGothic" w:hAnsi="MS PGothic"/>
          <w:sz w:val="13"/>
          <w:szCs w:val="13"/>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An inactive Fc domain that reduces cytopenias while preserving the desired PK properties of antibodies with an active Fc domain.</w:t>
      </w:r>
    </w:p>
    <w:p>
      <w:pPr>
        <w:spacing w:after="0" w:line="15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resulting fusion protein has approximately one-half the molecular weight of a typical antibody. ALX148’s lower molecular weight enables it to deliver the molar equivalent of an antibody at one half the dose. For example, a 30 mg/kg dose of ALX148, the highest level that we have dosed to date, is approximately equivalent to a 60 mg/kg dose of an antibody. ALX148’s lower molecular weight may also facilitate increased solid tumor penetration and provide greater potency within the tumor microenvironment. Furthermore, ALX148 can be efficiently and consistently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produced at high yield at commercial scale utilizing standard monoclonal antibody manufacturing techniques. We believe ALX148’s differentiated properties potentially overcome the limitations of other CD47 blocking agents and may have utility as a combination agent in oncology.</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candidate is a fusion protein that potently and selectively binds CD47 to block the SIRP</w:t>
      </w:r>
      <w:r>
        <w:rPr>
          <w:rFonts w:ascii="Arial" w:cs="Arial" w:eastAsia="Arial" w:hAnsi="Arial"/>
          <w:sz w:val="17"/>
          <w:szCs w:val="17"/>
          <w:color w:val="auto"/>
        </w:rPr>
        <w:t>a</w:t>
      </w:r>
      <w:r>
        <w:rPr>
          <w:rFonts w:ascii="Arial" w:cs="Arial" w:eastAsia="Arial" w:hAnsi="Arial"/>
          <w:sz w:val="17"/>
          <w:szCs w:val="17"/>
          <w:i w:val="1"/>
          <w:iCs w:val="1"/>
          <w:color w:val="auto"/>
        </w:rPr>
        <w:t xml:space="preserve">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148590</wp:posOffset>
            </wp:positionV>
            <wp:extent cx="4817745" cy="20313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177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Pre-Clinical Differentiation</w:t>
      </w:r>
    </w:p>
    <w:p>
      <w:pPr>
        <w:spacing w:after="0" w:line="39"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Our preclinical studies of ALX148 support a target product profile of favorable tolerability, the ability to be dosed in high levels and increased anti-tumor activity as compared to other CD47 blocking agents. These data include the following.</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Lack of hematologic side effects</w:t>
      </w:r>
    </w:p>
    <w:p>
      <w:pPr>
        <w:spacing w:after="0" w:line="39"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Our preclinical data demonstrate that CD47 blocking agents with an active Fc domain directly cause adverse hematologic side effects. To support this hypothesis, we engineered a fusion protein with a SIRPa CD47-binding domain identical to ALX148’s binding domain but fused to an active, wild-type IgG1 Fc domain, ALX377. We administered 30 mg/kg ALX148 and 30 mg/kg ALX377 in mouse models and measured red blood cell, or RBC, platelet and white blood cell (lymphocyte, monocytes and granulocytes) counts. As shown in the figure below, mice treated with ALX148 having an inactive Fc domain showed blood count levels that were similar to the pre-dose baseline. In contrast, mice treated with ALX377 having an active Fc domain showed average decreases of 34% in RBC count, 70% in platelet count and 67% in white blood cell count three days post-dosing as compared to baseline counts.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The inactive Fc domain on ALX148 is responsible for improved hematologic tolerability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139700</wp:posOffset>
            </wp:positionV>
            <wp:extent cx="5297805" cy="1431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9780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80" w:hanging="276"/>
        <w:spacing w:after="0"/>
        <w:tabs>
          <w:tab w:leader="none" w:pos="9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p&lt;0.001</w:t>
      </w:r>
    </w:p>
    <w:p>
      <w:pPr>
        <w:spacing w:after="0" w:line="1" w:lineRule="exact"/>
        <w:rPr>
          <w:rFonts w:ascii="Arial" w:cs="Arial" w:eastAsia="Arial" w:hAnsi="Arial"/>
          <w:sz w:val="14"/>
          <w:szCs w:val="14"/>
          <w:color w:val="auto"/>
        </w:rPr>
      </w:pPr>
    </w:p>
    <w:p>
      <w:pPr>
        <w:ind w:left="980" w:hanging="332"/>
        <w:spacing w:after="0"/>
        <w:tabs>
          <w:tab w:leader="none" w:pos="9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p&lt;0.0001</w:t>
      </w:r>
    </w:p>
    <w:p>
      <w:pPr>
        <w:spacing w:after="0" w:line="152"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To further evaluate ALX148’s preclinical tolerability, cynomolgus monkeys were treated by weekly intravenous injections at doses of zero (control), 10, 30 and 100 mg/kg for five consecutive weeks. No toxicity or adverse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findings related to CD47 blockade by ALX148 were seen in analysis of RBCs, white blood cells, platelets, body weight, ophthalmic examination, cytokine analysis, ECG parameters and anatomical pathology assessment. The no-observable-adverse-effect-level in the study was the highest dose tested, 100 mg/kg.</w:t>
      </w:r>
    </w:p>
    <w:p>
      <w:pPr>
        <w:spacing w:after="0" w:line="147"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Together, these preclinical studies demonstrate that inactivation of the Fc domain of ALX148 avoids adverse effects on normal blood cells seen on other CD47 blocking agents with an active Fc domain. They also supported our expectation that ALX148’s lack of overlapping toxicities with other anti-cancer therapies would result in fewer adverse outcomes in a clinic when combined with these therapies than combinations with conventional CD47 blocking agents.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ALX148 elicits superior phagocytosis in combination with anti-cancer antibodies</w:t>
      </w:r>
    </w:p>
    <w:p>
      <w:pPr>
        <w:spacing w:after="0" w:line="27"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The inactive Fc of ALX148 does not compete with the active Fc domain of other therapeutic antibodies for binding with Fcg receptors on effector cells of the immune system. This fact, coupled with the high-affinity CD47 binding of our agent, results in enhanced phagocytosis from ALX148 in combination with other anti-cancer antibodies to a greater extent than other CD47 blockers. We believe this will allow us to explore ALX148 in combination with a higher number of leading anti-cancer antibodies compared to other CD47 blocking agents in both hematologic malignancies and solid tumors. In order to investigate the potential effects of the Fc domain and CD47 binding affinity on phagocytic activity, we produced two CD47 blocking agents with either an IgG4 or IgG1 active Fc domain, based on published sequences from two other clinical CD47 blockade programs. We combined these agents and ALX148 with cetuximab, an epidermal growth factor receptor, or EGFR, inhibitor that is FDA approved for several solid tumors, to assess phagocytic activity as compared to single-agent cetuximab. Both cetuximab and the active Fc domain of a CD47 blocking agent bind to the same cell surface Fcg receptors on a macrophage, potentially creating competition. IgG1 binds to receptors with higher affinity than IgG4 does, and ALX148’s inactive Fc does not bind. This experiment shows that CD47 blocking agents with active Fc domains and lower affinity, combined with cetuximab result in lower phagocytic activity from macrophages as compared to ALX148 with cetuximab. This experiment suggests ALX148, the only clinical CD47 blocking agent with an inactive Fc domain and high-affinity CD47 binding, may be unique in its anti-tumor activity when combined with anti-tumor antibodies.</w:t>
      </w:r>
    </w:p>
    <w:p>
      <w:pPr>
        <w:spacing w:after="0" w:line="49" w:lineRule="exact"/>
        <w:rPr>
          <w:sz w:val="20"/>
          <w:szCs w:val="20"/>
          <w:color w:val="auto"/>
        </w:rPr>
      </w:pPr>
    </w:p>
    <w:p>
      <w:pPr>
        <w:ind w:left="120" w:right="160"/>
        <w:spacing w:after="0" w:line="265" w:lineRule="auto"/>
        <w:rPr>
          <w:sz w:val="20"/>
          <w:szCs w:val="20"/>
          <w:color w:val="auto"/>
        </w:rPr>
      </w:pPr>
      <w:r>
        <w:rPr>
          <w:rFonts w:ascii="Arial" w:cs="Arial" w:eastAsia="Arial" w:hAnsi="Arial"/>
          <w:sz w:val="17"/>
          <w:szCs w:val="17"/>
          <w:i w:val="1"/>
          <w:iCs w:val="1"/>
          <w:color w:val="auto"/>
        </w:rPr>
        <w:t>ALX148 has shown superior antibody-dependent cellular phagocytosis, or ADCP, of solid tumor cells compared to CD47 blockers with an active Fc domain and lower CD47 affinity when combined with an anti-tumor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109855</wp:posOffset>
            </wp:positionV>
            <wp:extent cx="5186045" cy="2305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Data</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Favorable tolerability profile</w:t>
      </w:r>
    </w:p>
    <w:p>
      <w:pPr>
        <w:spacing w:after="0" w:line="52"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Clinical trials to date continue to support ALX148’s differentiated approach to CD47 blockade. ALX148 has been administered in over 160 subjects with advanced solid or hematologic malignancies, including in combination with a range of standard of care anti-cancer regimens. ALX148 has been consistently well-tolerated, with low occurrences of cytopenias and other toxicities. Adverse events are reported as of April 1, 2020 for ALX148 combined with Keytruda and Herceptin and as of October 1, 2020 for ALX148 combined with Rituxan, Keytruda plus chemotherapy and Herceptin plus chemotherapy.</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not yet reached a maximum tolerated dose in any trial of ALX148 and are continuing to test higher doses. Because the half-life of ALX148 is longer with higher dose levels, such dosing may allow up to every four weeks, or Q4W, administration schedule. Furthermore, ALX148’s tolerability profile could potentially result in a broad therapeutic window. We believe its tolerability profile to date supports initiation of trials in combination with highly effective, but more toxic, standard of care agents, such as chemotherapies that can cause cytopenias. Many other CD47 blocking agents are unable to combine with these anti-cancer agents due to overlapping toxicity profiles. We believe ALX148 may be uniquely positioned in its ability to combine with standard of care agents including those with associated cytopenias.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Initial data suggests that ALX148 demonstrates a consistent tolerability profile in Phase 1 trial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139700</wp:posOffset>
            </wp:positionV>
            <wp:extent cx="5092065" cy="2211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9206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760" w:right="1600" w:hanging="36"/>
        <w:spacing w:after="0" w:line="257" w:lineRule="auto"/>
        <w:rPr>
          <w:sz w:val="20"/>
          <w:szCs w:val="20"/>
          <w:color w:val="auto"/>
        </w:rPr>
      </w:pPr>
      <w:r>
        <w:rPr>
          <w:rFonts w:ascii="Arial" w:cs="Arial" w:eastAsia="Arial" w:hAnsi="Arial"/>
          <w:sz w:val="14"/>
          <w:szCs w:val="14"/>
          <w:color w:val="auto"/>
        </w:rPr>
        <w:t>Treatment related adverse events occurred in ³2 subjects in all histologies at 10 &amp; 15 mg/kg QW. Data cut-off: April 1, 2020 for combination cohorts of ALX148 plus Keytruda and Herceptin; October 1, 2020 for combination cohorts of ALX148 plus Rituxan, Keytruda and chemotherapy (5FU, platinum), as well as Herceptin and chemotherapy (ramucirumab, paclitaxel).</w:t>
      </w:r>
    </w:p>
    <w:p>
      <w:pPr>
        <w:spacing w:after="0" w:line="130"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Single-digit to no incident rates of treatment-related grade three and higher cytopenias occurred in more than 2 subjects across each of the combination cohorts in this heavily pre-treated group who are typical participants in early stage cancer trials and are often hematologically fragile at baseline. Additionally, the majority of treatment-related adverse events were of low-grade and were easily managed. Overall, ALX148 was well tolerated in an advanced cancer population and can be combined with a wide range of anti-cancer therapeutics.</w:t>
      </w:r>
    </w:p>
    <w:p>
      <w:pPr>
        <w:spacing w:after="0" w:line="149" w:lineRule="exact"/>
        <w:rPr>
          <w:sz w:val="20"/>
          <w:szCs w:val="20"/>
          <w:color w:val="auto"/>
        </w:rPr>
      </w:pPr>
    </w:p>
    <w:p>
      <w:pPr>
        <w:ind w:left="120" w:right="60"/>
        <w:spacing w:after="0" w:line="232" w:lineRule="auto"/>
        <w:rPr>
          <w:sz w:val="20"/>
          <w:szCs w:val="20"/>
          <w:color w:val="auto"/>
        </w:rPr>
      </w:pPr>
      <w:r>
        <w:rPr>
          <w:rFonts w:ascii="Arial" w:cs="Arial" w:eastAsia="Arial" w:hAnsi="Arial"/>
          <w:sz w:val="17"/>
          <w:szCs w:val="17"/>
          <w:color w:val="auto"/>
        </w:rPr>
        <w:t>All other CD47 blockers that have reported clinical data have reported high rates of both all grade and high grade cytopenias. A magrolimab clinical trial in solid tumors resulted in 56% anemia in the first 48 subjects dosed, despite each subject receiving an initial priming dose to mitigate anemia. A recent trial of magrolimab in 68 subjects with higher-risk MDS or AML presented in November 2020 (Sallman, SITC 2020, Session</w:t>
      </w:r>
    </w:p>
    <w:p>
      <w:pPr>
        <w:ind w:left="120" w:right="120" w:hanging="4"/>
        <w:spacing w:after="0" w:line="236" w:lineRule="auto"/>
        <w:tabs>
          <w:tab w:leader="none" w:pos="509"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reported over 35% grade 3 or 4 treatment-related anemia, over 15% grade 3 or 4 treatment-related neutropenia and over 10% grade 4 treatment-related thrombocytopenia. Such a tolerability profile could present challenges to the administration of this compound as a single agent and in combination. In contrast, ALX148’s tolerability profile may enhance the breadth of clinical development by providing better treatment options for patients with cancer.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PK and PD Data</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Initial clinical trials have confirmed that ALX148 exhibits favorable PK, and CD47 target occupancy, or TO. Human PK following intravenous, or IV, doses of ALX148 ranging from 0.3 to 30 mg/kg either as a single-agent, or in combination with pembrolizumab, trastuzumab or rituximab have been characterized in 159 subjects as of October 1, 2020. ALX148 single agent PK profiles showed a trend of non-linear PK with faster clearance at lower doses and slower clearance at higher doses of 10 mg/kg QW and 30 mg/kg once every other week, or QOW, indicating saturation of target mediated clearance.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60"/>
        <w:spacing w:after="0" w:line="237" w:lineRule="auto"/>
        <w:rPr>
          <w:sz w:val="20"/>
          <w:szCs w:val="20"/>
          <w:color w:val="auto"/>
        </w:rPr>
      </w:pPr>
      <w:r>
        <w:rPr>
          <w:rFonts w:ascii="Arial" w:cs="Arial" w:eastAsia="Arial" w:hAnsi="Arial"/>
          <w:sz w:val="17"/>
          <w:szCs w:val="17"/>
          <w:color w:val="auto"/>
        </w:rPr>
        <w:t>The pharmacodynamics, or PD, following AXL148 IV infusion either as a single-agent or in combination with pembrolizumab, trastuzumab or rituximab have been characterized in 156 subjects as of October 1, 2020. Target engagement has been confirmed based on CD47 TO in peripheral blood T lymphocytes and erythrocytes measured by a flow cytometry assay. At lower doses of 0.3 mg/kg and 1 mg/kg ALX148 monotherapy, dose dependent increase of TO was observed. Increased TO was observed following the subsequent IV dosing compared to the first IV dose. Complete TO in periphery across the dosing interval, where TO &gt;85%, was observed at ALX148 single agent doses ³3 mg/kg QW and at doses of 30 mg/kg QOW. Complete TO in periphery was observed with ALX148 at doses of 10 mg/kg QW in combination with trastuzumab, or at doses of 10mg/kg QW or 15 mg/kg QW in combination with trastuzumab, ramucirumab and paclitaxel.</w:t>
      </w:r>
    </w:p>
    <w:p>
      <w:pPr>
        <w:spacing w:after="0" w:line="147"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In our Phase 1b expansion trial to date, we have observed a statistically significant positive ALX148 exposure-response relationship in subjects with NHL. While our data support full TO in the periphery at 10 mg/kg, enhanced tumor penetration may explain the higher response rate seen at 15 mg/kg in the clinic. Given the favorable tolerability observed to date at doses up to 15 mg/kg QW, we plan to evaluate these higher doses of ALX148.</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of ALX148 in Hematologic Malignancies</w:t>
      </w:r>
    </w:p>
    <w:p>
      <w:pPr>
        <w:spacing w:after="0" w:line="9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potential therapeutic role of CD47 blockade to date has been clearly demonstrated in hematologic malignancies. This includes both our trials of ALX148 as well as trials by other CD47 blockade programs. We have initiated a clinical trial of ALX148 in patients with MDS and are planning to initiate a trial in 2021 in patients with AML based on our initial trials in the relapsed/refractory NHL clinical setting, preclinical studies and evidence for the clinical utility of the CD47 blockade from other programs.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NHL Proof-of-Principle</w:t>
      </w:r>
    </w:p>
    <w:p>
      <w:pPr>
        <w:spacing w:after="0" w:line="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ALX148’s initial hematologic clinical trial was a Phase 1b expansion trial in combination with rituximab to treat subjects with relapsed/refractory NHL. This was an open-label, multisite trial to assess safety. Subjects received ALX148 10 mg/kg QW or 15 mg/kg QW in combination with rituximab 375 mg/m2 administered as an intravenous infusion QW for four doses followed by once monthly for eight doses. In order to meet inclusion criteria, subjects must have had no curative therapy or standard approved therapy option available to them. Across all cohorts, as of October 1, 2020, subjects had received a median of three lines of therapy prior to enrollment in the ALX148 trial. These were heavily pre-treated subjects, all of whom had progressed on previous rituximab-containing regimens.</w:t>
      </w:r>
    </w:p>
    <w:p>
      <w:pPr>
        <w:spacing w:after="0" w:line="148"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Responses were evaluated according to the Lugano 2014 response criteria and reported as of October 1, 2020. As of October 1, 2020, ALX148 had been administered to 33 subjects. Thirty-two subjects were response evaluable. Eleven subjects had indolent lymphomas and 22 had aggressive lymphomas. There were 11 subjects enrolled to the higher dose 15 mg/kg QW cohort, 10 of whom were response evaluable. This cohort achieved an ORR of 70.0% (7/10). The ORR reported in the lower dose 10 mg/kg QW cohort was 40.9% (9/22).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124460</wp:posOffset>
            </wp:positionV>
            <wp:extent cx="5092065" cy="2228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9206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Aggressive includes relapsed/refractory Diffuse Large B Cell and Mantle Cell Lymphomas. Indolent includes Follicular and Marginal Zone Lymphomas; N: Response</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evaluable patients; ORR: Objective response rate (complete + partial response rates). Data cut-off: October 1, 2020.</w:t>
      </w: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060"/>
          </w:cols>
          <w:pgMar w:left="320" w:top="459" w:right="5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205740</wp:posOffset>
            </wp:positionV>
            <wp:extent cx="5194935" cy="22028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9493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Data Cutoff October 1, 2020; Response evaluable patients; Responses include metabolic response per Lugano Response Criteria.</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 more than 80% increase from baseline. * patient with rapid fatal progressive disease not represented in plot</w:t>
      </w:r>
    </w:p>
    <w:p>
      <w:pPr>
        <w:spacing w:after="0" w:line="152" w:lineRule="exact"/>
        <w:rPr>
          <w:sz w:val="20"/>
          <w:szCs w:val="20"/>
          <w:color w:val="auto"/>
        </w:rPr>
      </w:pPr>
    </w:p>
    <w:p>
      <w:pPr>
        <w:jc w:val="both"/>
        <w:ind w:left="120" w:right="120"/>
        <w:spacing w:after="0" w:line="236" w:lineRule="auto"/>
        <w:rPr>
          <w:sz w:val="20"/>
          <w:szCs w:val="20"/>
          <w:color w:val="auto"/>
        </w:rPr>
      </w:pPr>
      <w:r>
        <w:rPr>
          <w:rFonts w:ascii="Arial" w:cs="Arial" w:eastAsia="Arial" w:hAnsi="Arial"/>
          <w:sz w:val="17"/>
          <w:szCs w:val="17"/>
          <w:color w:val="auto"/>
        </w:rPr>
        <w:t>We view ALX148’s initial activity in heavily pre-treated subjects with NHL as compelling evidence for the role of ALX148 in treating hematologic malignancies and as a favorable comparison to outcomes reported by other CD47 blocking agents in similar subjects. We believe the initial data in our 10 and 15 mg/kg QW cohorts, which showed a statistically significant exposure-dependent response, demonstrates ALX148’s activity and supports higher dose administration in trials for subjects with MDS.</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Based on the activities seen at the 10 and 15 mg/kg QW doses coupled with a favorable tolerability profile, we are intending to test higher doses, up to 60 mg/kg Q4W in MDS. We believe this dosing schedule may be unique among CD47 blockade programs and can potentially provide a more convenient regimen in combination with monthly azacitidine for patients. This data set also supported our decision to advance ALX148 into solid tumor indications at higher doses of 45 mg/kg once every three weeks, or Q3W, in combination with standard agents also administered Q3W.</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for the Treatment of MDS</w:t>
      </w:r>
    </w:p>
    <w:p>
      <w:pPr>
        <w:spacing w:after="0" w:line="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development of ALX148 in hematologic indications is initially focused on MDS. There are approximately 70,000 people living with diagnosed MDS in the U.S. Patients with MDS have a wide range of expected outcomes that can be estimated from their Revised International Prognostic Scoring System, or IPSS-R, risk category. Patients with very low IPSS-R have an mOS of 8.8 years, whereas those with very high IPSS-R have an mOS of under ten months. Since nearly 75% of new cases are in patients aged 70 or older, balancing a patient’s age at prognosis with potential treatment-related impact on quality of life is important in considering treatment options. Regardless of age, treatment goals for patients with MDS are a balance of improved survival, symptom alleviation and quality of life.</w:t>
      </w:r>
    </w:p>
    <w:p>
      <w:pPr>
        <w:spacing w:after="0" w:line="148"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For patients with higher-risk MDS (intermediate, high and very high IPSS-R), standard of care treatments include stem cell transplant, or SCT, high and low-intensity chemotherapy regimens and HMAs. SCT is the only therapy that is potentially curative; however, the procedure is difficult to tolerate, especially for older patients, and has a non-relapse mortality rate of approximately 40% at 200 days for all patients with MDS.</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For patients who are ineligible for SCT, azacitidine, an HMA, is a standard backbone therapy for combination treatment regimens in MDS. The drug continues to be used in combination with investigational agents in a number of current MDS trials. Single-agent azacitidine is one of the few FDA-approved agents for patients with MDS. However, its FDA label indicates a complete response, or CR, rate of only 5.6% and an mOS of 2.0 years. A clinical complete response comprises normalizing peripheral blood counts, resolution of bone marrow dysplasia and reduction in the percentage of immature blood cells, or myeloblasts, to less than 5%. CD47 blockade in combination with azacitidine has shown early clinical evidence that suggests it may improve CR rates in MDS. For patients with higher-risk MDS, achieving a CR and improving overall survival are the central treatment goals. Treatment goals for patients with lower-risk MDS are different. The primary goal for those patients is resolution of cytopenias.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40"/>
        <w:spacing w:after="0" w:line="232" w:lineRule="auto"/>
        <w:rPr>
          <w:sz w:val="20"/>
          <w:szCs w:val="20"/>
          <w:color w:val="auto"/>
        </w:rPr>
      </w:pPr>
      <w:r>
        <w:rPr>
          <w:rFonts w:ascii="Arial" w:cs="Arial" w:eastAsia="Arial" w:hAnsi="Arial"/>
          <w:sz w:val="17"/>
          <w:szCs w:val="17"/>
          <w:color w:val="auto"/>
        </w:rPr>
        <w:t>Red blood cell transfusions are a key element of treatment intended to address cytopenias in patients with MDS. The majority of patients have a hemoglobin count of less than 10 g/dL and approximately one-third of patients are RBC transfusion dependent. Transfusions impose significant time and cost burdens on patients and also cause clinical sequelae such as iron overload and associated liver fibrosis and cardiomyopathy.</w:t>
      </w:r>
    </w:p>
    <w:p>
      <w:pPr>
        <w:ind w:left="120" w:right="380"/>
        <w:spacing w:after="0" w:line="238" w:lineRule="auto"/>
        <w:rPr>
          <w:sz w:val="20"/>
          <w:szCs w:val="20"/>
          <w:color w:val="auto"/>
        </w:rPr>
      </w:pPr>
      <w:r>
        <w:rPr>
          <w:rFonts w:ascii="Arial" w:cs="Arial" w:eastAsia="Arial" w:hAnsi="Arial"/>
          <w:sz w:val="17"/>
          <w:szCs w:val="17"/>
          <w:color w:val="auto"/>
        </w:rPr>
        <w:t>Therefore, achieving transfusion independence is an important secondary goal of treating patients with higher-risk MDS. A competitive CD47 blocking agent has generated encouraging clinical data, however, it is associated with high rates of anemia that may require additional transfusions upon treatment initiation, mitigating any success in peripheral blood count normalization.</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current clinical experience with CD47 blocking agents in MDS underscores the need for combination therapy to increase CR rates above that seen with standard of care azacitidine monotherapy. As previously discussed, pro-phagocytic signals in ALX148-based combinations can be provided by drugs that increase display of the “eat me” signal calreticulin on the surface of tumor cells. We have conducted preclinical studies that showed that azacitidine and venetoclax increase both the display of the “eat me” signal calreticulin and the “don’t eat me” signal CD47 on AML cells, suggesting that a CD47 blocking agent could maximize the activity of venetoclax and azacitidine in these models. Additionally, we have shown that ALX148 with venetoclax or azacitidine in combination produces increased phagocytosis in vitro and anti-tumor activity in mouse models compared to azacitidine or venetoclax alone.</w:t>
      </w:r>
    </w:p>
    <w:p>
      <w:pPr>
        <w:spacing w:after="0" w:line="151"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Furthermore, combination treatment of ALX148 with azacitidine or venetoclax led to tumor elimination and prolonged survival in leukemia mouse models. Azacitidine and ALX148 monotherapies produced moderate tumor growth inhibition with all mice succumbing to disease by day 85 post inoculation. In contrast, the combination of ALX148 and azacitidine completely eliminated tumor growth with 100% animal survival up to study termination on day 147. We have also demonstrated in preclinical studies that ALX148 when combined with venetoclax, a BCL-2 inhibitor that is FDA approved for the treatment of patients with AML, led to tumor elimination in a leukemia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125095</wp:posOffset>
            </wp:positionV>
            <wp:extent cx="5092065" cy="2940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9206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Recent data from a competitive CD47 blockade program, magrolimab, further support trials of ALX148 for treatment of MDS. Magrolimab was studied both as a single-agent and in combination with azacitidine in subjects with higher-risk MDS or AML. As reported at ASCO 2020, magrolimab plus azacitidine achieved a 42% CR rate in previously untreated MDS and a 40% CR in previously untreated AML. As a single-agent, magrolimab achieved no CRs in relapsed/refractory MDS and AML, suggesting that a separate pro-phagocytic signal is required for the observed clinical activity. Despite the high rate of CRs achieved in combination, over 38% of subjects in these trials have</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experienced grade 3 or higher treatment-related anemia. Notwithstanding these limitations, magrolimab’s data support the potential role of CD47 blockade in treating these subjects.</w:t>
      </w:r>
    </w:p>
    <w:p>
      <w:pPr>
        <w:spacing w:after="0" w:line="14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strategy is to pursue ALX148 as a potentially critical component for future combination treatment options for patients with higher-risk MDS. Our preclinical models, activity of ALX148 in NHL where magrolimab has reported similar data and available CD47 clinical data in this indication support a potential role for ALX148 for treatment of patients with MDS. Baseline characteristics of subjects in a recent trial of azacitidine plus venetoclax in treatment-naïve higher-risk MDS illustrated the need for therapies that do not induce cytopenias. Prior to treatment, 56% of subjects had grade 3 or higher neutropenia, 33% had grade 3 or higher thrombocytopenia, 40% had grade 3 or higher leukopenia and 12% had grade 3 or higher anemia. We believe that it is important to develop a CD47 blocking therapy that does not exacerbate cytopenias that patients may already exhibit pre-treatment. ALX148’s tolerability profile to date suggests it may address this unmet need in patients who suffer from MDS.</w:t>
      </w:r>
    </w:p>
    <w:p>
      <w:pPr>
        <w:spacing w:after="0" w:line="15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In October 2020, we initiated a Phase 1b/2 trial of ALX148 in combination with azacitidine for the treatment of subjects with higher-risk MDS. The Phase 1b portion of the trial will seek to evaluate up to 60 mg/kg Q4W of ALX148 plus standard azacitidine in subjects with relapsed/refractory and previously untreated MDS. The Phase 2 portion of the trial will assess the combination of ALX148 and azacitidine in subjects with previously untreated higher-risk MDS. The primary endpoint will be complete remission rate by six months. We intend to pursue a strategy in which we will leverage the data generated from the Phase 1b/2 trial to request from the FDA that ALX148 be a candidate for accelerated approval in the treatment of MDS.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for the treatment of AML</w:t>
      </w:r>
    </w:p>
    <w:p>
      <w:pPr>
        <w:spacing w:after="0" w:line="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preclinical studies and clinical trials from competing CD47 agents support the potential role of ALX148 in the treatment of patients with AML. In the United States, there are over 35,000 people living with AML with an expected 20,000 newly diagnosed cases and over 11,000 deaths from the disease in 2020. Overall survival for patients with AML is generally worse than patients with higher-risk MDS. Median overall survival for patients with AML ranges from approximately 15 months for patients with favorable cytogenetic risk factors to less than 5 months for those with adverse risk factors. Similar to MDS, patients tend to be older with a median age at diagnosis of 68.</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First-line treatment options for patients can be broadly stratified into high-intensity and low-intensity induction regimens. High-intensity induction chemotherapy is typically cytarabine plus an anthracycline (so called “7+3”) administered over a 28-day cycle. While patients can derive long term benefit from 7+3, the risks of the regimen are substantial. 60-day treatment-related mortality from 7+3 induction have been as high as 27% and have declined to 6-8% in recent years, likely due in part to more stringent patient selection and the decreased average age of patients who receive 7+3. Patients who are not candidates for intensive induction chemotherapy due to preference, performance status, or other reasons are likely to receive low-intensity regimens characterized by the use of HMAs, venetoclax or combined HMA plus venetoclax. In the past decade, the percentage of patients 65 and older who receive first-line high-intensity treatment has declined from approximately 70% to 40%, while the use of HMAs in this population increased from 11% to 44%. Venetoclax combined with an HMA recently received approval from the FDA for use in adults who are 75 years or older or who have comorbidities that exclude the use of intensive induction chemotherapy. In the Phase 3 VIALE-A trial, venetoclax achieved a 37% CR rate in combination with azacitidine and a median duration of CR of 18.0 months. Despite these results, we believe there is a significant unmet need for more effective and well-tolerated first-line treatment options for patients who are not candidates for high-intensity therapy.</w:t>
      </w:r>
    </w:p>
    <w:p>
      <w:pPr>
        <w:spacing w:after="0" w:line="153"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The mechanistic rationale for combining ALX148 with azacitidine in AML is similar to the rationale for MDS. Preclinical studies show that azacitidine increases the display of calreticulin, a pro-phagocytic signal, on cancer cells in AML models. The preclinical studies that support the use of ALX148 combinations in MDS also support its use in AML. Clinically, the CD47 agent magrolimab has achieved a 40% CR rate in untreated AML when used in combination with azacitidine. In a separate study in patients 65 and older with untreated AML, single-agent azacitidine as achieved a 20% CR rate. We believe this indicates CD47 agents could increase the activity of HMAs above their single-agent levels. Furthermore, our preclinical data of ALX148 in combination with venetoclax supports the combination with this agent that is increasingly being used in the treatment of patients with AML.</w:t>
      </w:r>
    </w:p>
    <w:p>
      <w:pPr>
        <w:spacing w:after="0" w:line="151"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We plan to initiate a Phase 1b/2 trial of ALX148 in combination with venetoclax and azacitidine for the first-line treatment of patients with AML in 2021.</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Solid Tumors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have generated clinical data with ALX148 in combination with multiple anti-cancer agents in solid tumors. We believe the smaller molecular weight of ALX148 as compared to a typical antibody may facilitate greater penetration into solid tumors. In addition, we believe the favorable tolerability profile of ALX148 will allow for higher administered doses in a range of combination strategies with leading therapies for solid tumors. Solid tumors represent the largest markets within oncology and many of these oncology indications are poorly served by current therapies, both in front-line as well as in the relapsed and refractory settings. We have demonstrated proof of concept with ALX148 in combination treatment in two solid tumor settings in initial clinical trials: HNSCC and HER2-positive gastric/GEJ cancer. We believe these indications offer registration pathways in combination with existing approved therapies and we intend to advance ALX148 into randomized Phase 2 trials in both oncology indications in 2021.</w:t>
      </w:r>
    </w:p>
    <w:p>
      <w:pPr>
        <w:spacing w:after="0" w:line="14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ALX148 can be combined with PD-1/programmed death-ligand 1, or PD-(L)1, agents in a broad range of solid tumors. As part of our development strategy, we are exploring the use of ALX148 in combination with a PD-1 inhibitor with and without chemotherapy in HNSCC. PD-(L)1 inhibitors are currently approved by the FDA for 18 indications and had over $20 billion in 2019 sales. Other CD47 blocking approaches may be limited in their ability to combine with PD-(L)1 inhibitors due to cumulative or overlapping toxicities.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investigated ALX148 in subjects with solid tumors in additional cohorts as part of an extensive Phase 1 trial. Part 1 was a dose escalation trial of single-agent ALX148 intended to examine tolerability and recommended dosing and was not expected to show single-agent activity. Sixteen subjects with solid tumors received ALX148 as a single-agent on a QW schedule at doses ranging from 0.1 mg/kg to 10 mg/kg and 12 subjects received ALX148 as a single-agent on a QoW dosing schedule at a dose of 30 mg/kg. The maximum tolerated dose was not determined on either schedule. However, the maximum administered dose was 30 mg/kg for the Q2W dosing schedule and 10 mg/kg for the QW schedule.</w:t>
      </w:r>
    </w:p>
    <w:p>
      <w:pPr>
        <w:spacing w:after="0" w:line="15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Part 2 was comprised of ALX148 escalation and expansion cohorts. In subjects with solid tumors, ALX148 was combined with various anti-cancer agents including pembrolizumab, trastuzumab and chemotherapy. Adverse events from these cohorts are reported above. As previously discussed, ALX148 has consistently displayed a favorable tolerability profile. Many of the reported adverse events have been associated with either pembrolizumab or trastuzumab.</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HNSCC, our initial Phase 1b expansion trial combined ALX148 with pembrolizumab, an anti-PD-1 agent, which is a standard of care for subjects with HNSCC. Final results from the cohort of ALX148 combined with pembrolizumab were reported at the 2020 American Society of Clinical Oncology, Virtual Scientific Program, or ASCO 2020, and provided the first demonstration of ALX148’s ability to enhance checkpoint inhibitor antibody activity in solid tumors and is the basis for FDA Fast Track designation in first-line treatment of HNSCC. Data from this trial supported our second trial in HNSCC that adds chemotherapy (5-fluoropyrimidine plus cisplatin) to the combination of pembrolizumab and ALX148 and preliminary data for this cohort was presented at the Society for Immunotherapy of Cancer’s 35</w:t>
      </w:r>
      <w:r>
        <w:rPr>
          <w:rFonts w:ascii="Arial" w:cs="Arial" w:eastAsia="Arial" w:hAnsi="Arial"/>
          <w:sz w:val="14"/>
          <w:szCs w:val="14"/>
          <w:color w:val="auto"/>
        </w:rPr>
        <w:t>th</w:t>
      </w:r>
      <w:r>
        <w:rPr>
          <w:rFonts w:ascii="Arial" w:cs="Arial" w:eastAsia="Arial" w:hAnsi="Arial"/>
          <w:sz w:val="17"/>
          <w:szCs w:val="17"/>
          <w:color w:val="auto"/>
        </w:rPr>
        <w:t xml:space="preserve"> Anniversary Annual Meeting, or SITC 2020. We also recently entered into a clinical trial collaboration with Merck to study the combination of ALX148 and pembrolizumab with and without chemotherapy in a randomized Phase 2 trial.</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HER2-positive gastric/GEJ cancer, our Phase 1b expansion trial included a combination with trastuzumab, an anti-HER2 agent, that is the standard of care for subjects with HER2-positive gastric/GEJ cancer and is FDA-approved for other HER2-expressing tumors. Final results from the cohort of ALX148 combined with trastuzumab were reported at ASCO 2020 and provided the first demonstration of ALX148 activity with an anti-tumor targeted antibody in subjects with solid tumors. Data from this trial formed the basis for FDA Fast Track designation in second-line subjects with advanced HER2-positive gastric/GEJ cancer and supported our second trial in gastric/GEJ cancer that adds second-line standard of care agents (ramucirumab plus paclitaxel) to the combination of trastuzumab and ALX148. Preliminary data for this cohort was also presented at SITC 2020.</w:t>
      </w:r>
    </w:p>
    <w:p>
      <w:pPr>
        <w:spacing w:after="0" w:line="15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We also plan to advance ALX148 into a Phase 1 clinical trial in combination with zanidatamab, an investigational anti-HER2 bispecific antibody, in patients with HER2-expressing breast cancer and other solid tumors. We recently entered into a clinical trial collaboration with Zymeworks, the developer of zanidatamab, to explore this combination.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Overall, we believe our development plan for ALX148 in solid tumors has significant potential and represents a strong complement to our program in hematologic malignancies. With encouraging data in multiple drug combinations initially evaluated in the clinic, we plan to advance trials to assess efficacy in the solid tumor indications with substantial unmet medical need.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HNSCC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52"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There are estimated to be over 38,000 people living in the United States with metastatic HNSCC, with over 50,000 newly incident cases at all stages estimated to be diagnosed in 2020. Five-year survival is 85% for patients diagnosed with localized disease but decreases to only 40% for those diagnosed with metastatic disease, underlying the need for improved treatment options.</w:t>
      </w:r>
    </w:p>
    <w:p>
      <w:pPr>
        <w:spacing w:after="0" w:line="147"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FDA-approved and National Comprehensive Cancer Network, or NCCN, recommended therapies for the first-line treatment of recurrent/metastatic disease include pembrolizumab monotherapy, pembrolizumab combined with chemotherapy, platinum and fluorouracil, and cetuximab, an anti-epidermal growth factor receptor antibody, combined with chemotherapy among other treatments. The KEYNOTE-048 clinical trial led to the FDA approval of pembrolizumab monotherapy as a first-line treatment in patients with HNSCC whose tumors express PD-L1 on a Combined Positive Score, or CPS, ³1 and approval of pembrolizumab plus chemotherapy as a first-line treatment in patients with HNSCC regardless of CPS . In KEYNOTE-048, pembrolizumab monotherapy achieved 17% ORR with a median progression-free survival, or mPFS, of</w:t>
      </w:r>
    </w:p>
    <w:p>
      <w:pPr>
        <w:ind w:left="120"/>
        <w:spacing w:after="0" w:line="236" w:lineRule="auto"/>
        <w:rPr>
          <w:sz w:val="20"/>
          <w:szCs w:val="20"/>
          <w:color w:val="auto"/>
        </w:rPr>
      </w:pPr>
      <w:r>
        <w:rPr>
          <w:rFonts w:ascii="Arial" w:cs="Arial" w:eastAsia="Arial" w:hAnsi="Arial"/>
          <w:sz w:val="17"/>
          <w:szCs w:val="17"/>
          <w:color w:val="auto"/>
        </w:rPr>
        <w:t>2.3 months in subjects with HNSCC regardless of CPS. Of particular note, in subjects with CPS &lt;1 pembrolizumab monotherapy only achieved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 ORR.</w:t>
      </w:r>
    </w:p>
    <w:p>
      <w:pPr>
        <w:spacing w:after="0" w:line="156"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Pembrolizumab monotherapy in previously treated HNSCC was reported in the Phase 3 KEYNOTE-040 trial. Subjects were excluded if they had prior therapy with an anti-PD-1 or anti-PD-L1 therapy. In KEYNOTE-040, pembrolizumab achieved a 15% ORR, mPFS of only 2.1 months and mOS of 8.4 months. While we believe pembrolizumab is an important treatment option for both first- and second-line HNSCC, the majority of patients do not have an objective response to pembrolizumab-based therapy.</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Despite the recent approval of pembrolizumab, we believe that there is significant unmet need remaining for patients with HNSCC. The addition of ALX148 to pembrolizumab, or pembrolizumab plus chemotherapy, may have the potential to improve response rates and provide additional clinical benefit to patients with metastatic HNSCC. We have evaluated ALX148 in subjects with metastatic HNSCC and continue to develop ALX148 in this setting.</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52"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ALX148 was investigated in two combinations and lines of therapy in subjects with recurrent/metastatic HNSCC. First, ALX148 was investigated in combination with pembrolizumab in subjects with recurrent/metastatic HNSCC who had received at least one prior systemic therapy. The clinical evaluation of ALX148 in HNSCC was an open-label, multisite expansion of our Phase 1 trial to assess safety and tolerability with response rate and duration as secondary endpoints. There was no requirement for PD-L1 expression. Subjects received ALX148 10 mg/kg QW in combination with pembrolizumab 200 mg on a Q3W dosing schedule. Subject response was evaluated based on RECIST version 1.1. Twenty subjects were dosed with ALX148 and as of October 1, 2020, all subjects in the ALX148 with pembrolizumab HNSCC expansion cohort were response evaluable. Because standard of care in first-line HNSCC was evolving during the course of this trial to include checkpoint inhibitors, 50% (10) of the subjects who enrolled were checkpoint inhibitor naïve and 50% (10) had previously received a checkpoint inhibitor.</w:t>
      </w:r>
    </w:p>
    <w:p>
      <w:pPr>
        <w:spacing w:after="0" w:line="149"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Additionally, ALX148 was investigated in the ongoing trial of ALX148 in combination with pembrolizumab, 5FU and platinum therapy in subjects with recurrent/metastatic HNSCC who had received no prior treatment for advanced disease. As of October 1, 2020, five subjects had been dosed and four were response evaluable.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52"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primary objective of the trial was to assess safety. Final results of the fully enrolled ALX148 with pembrolizumab cohort and partially enrolled ALX148 plus pembrolizumab and chemotherapy cohort were reported at SITC 2020. As reported above in the summary tables of treatment-related adverse events from all ALX148 trials, the combination was well tolerated. As of October 1, 2020, ALX148 with pembrolizumab achieved an ORR of 40% (4/10) in checkpoint inhibitor naïve subjects while maintaining a tolerability profile consistent with earlier trials. Some of the 20 subjects had a CPS of zero and response was also observed within this subject population. We believe the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addition of ALX148 to pembrolizumab represents a potentially significant advance over pembrolizumab monotherapy based on a review of the KEYNOTE-040 trial results that showed an ORR of 15% in a similar checkpoint inhibitor therapy naïve population. Based on our clinical trial data, the FDA granted ALX148 Fast Track designation for first-line treatment of subjects with HNSCC. ALX148 with pembrolizumab and chemotherapy achieved an ORR of 75% (3/4), including a complete response, in subjects who had received no prior treatment for advanced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124460</wp:posOffset>
            </wp:positionV>
            <wp:extent cx="4671695" cy="3566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67169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right="20" w:hanging="77"/>
        <w:spacing w:after="0" w:line="249" w:lineRule="auto"/>
        <w:rPr>
          <w:sz w:val="20"/>
          <w:szCs w:val="20"/>
          <w:color w:val="auto"/>
        </w:rPr>
      </w:pPr>
      <w:r>
        <w:rPr>
          <w:rFonts w:ascii="Arial" w:cs="Arial" w:eastAsia="Arial" w:hAnsi="Arial"/>
          <w:sz w:val="14"/>
          <w:szCs w:val="14"/>
          <w:color w:val="auto"/>
        </w:rPr>
        <w:t>Notes: Data Cutoff October 1, 2020. Subjects who received at least one dose of ALX148 in the expansion phase, had a baseline assessment, and at least one post-baseline disease assessment. ORR = Overall Response Rate. DCR = disease control rate. DOR = duration of response. mPFS = median progression free survival. mOS = median overall survival. NC = not calculated. CI = confidence interval. ITT Intent to treat population in chemotherapy cohort: HNSCC (10+15 mg/kg) N=5; HNSCC (15mg/kg) N=2</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also analyzed paired pre- and on-treatment tumor biopsies from subjects for the presence of CD8+ T cells, CD68+ and CD163+ myeloid cells.</w:t>
      </w:r>
    </w:p>
    <w:p>
      <w:pPr>
        <w:ind w:left="120"/>
        <w:spacing w:after="0" w:line="232" w:lineRule="auto"/>
        <w:rPr>
          <w:sz w:val="20"/>
          <w:szCs w:val="20"/>
          <w:color w:val="auto"/>
        </w:rPr>
      </w:pPr>
      <w:r>
        <w:rPr>
          <w:rFonts w:ascii="Arial" w:cs="Arial" w:eastAsia="Arial" w:hAnsi="Arial"/>
          <w:sz w:val="17"/>
          <w:szCs w:val="17"/>
          <w:color w:val="auto"/>
        </w:rPr>
        <w:t>After treatment with ALX148, tumor samples showed increased infiltration of CD8+, CD68+ and CD163+ cells in the tumor, which suggests that</w:t>
      </w:r>
    </w:p>
    <w:p>
      <w:pPr>
        <w:ind w:left="120"/>
        <w:spacing w:after="0"/>
        <w:rPr>
          <w:sz w:val="20"/>
          <w:szCs w:val="20"/>
          <w:color w:val="auto"/>
        </w:rPr>
      </w:pPr>
      <w:r>
        <w:rPr>
          <w:rFonts w:ascii="Arial" w:cs="Arial" w:eastAsia="Arial" w:hAnsi="Arial"/>
          <w:sz w:val="17"/>
          <w:szCs w:val="17"/>
          <w:color w:val="auto"/>
        </w:rPr>
        <w:t>ALX148 also engages the innate and adaptive immune system consistent with its mechanism of action.</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w:t>
      </w:r>
    </w:p>
    <w:p>
      <w:pPr>
        <w:spacing w:after="0" w:line="3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HNSCC development plan is to build on the initial results of ALX148 in checkpoint inhibitor naïve patients in combination with pembrolizumab. Given the results of KEYNOTE-048, we expect pembrolizumab, or pembrolizumab plus chemotherapy, to continue to be widely used in the first-line treatment of metastatic HNSCC. Therefore, our future plans will be focused on establishing additional efficacy, in the context of acceptable safety and tolerability, over pembrolizumab alone, or pembrolizumab plus chemotherapy, in the front-line metastatic HNSCC setting. In January 2020, we initiated a Phase 1b trial that is evaluating ALX148 plus pembrolizumab plus chemotherapy in subjects with no PD-L1 expression requirements. In addition to our initial dosing of 10 mg/kg QW, a higher dosing will be explored with 15 mg/kg QW dosing planned. In September 2020, we announced a clinical trial collaboration with Merck to evaluate ALX148 in combination with pembrolizumab with and without chemotherapy in two randomized Phase 2 trials in subjects with HNSCC who have not received prior therapy for advanced disease. The first trial will evaluate the efficacy of ALX148 in combination with pembrolizumab for the first-line treatment of</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patients with PD-L1 expressing metastatic or unresectable, recurrent HNSCC. The second trial will evaluate ALX148 in combination with pembrolizumab and standard chemotherapy for the first-line treatment of patients with metastatic or unresectable, recurrent HNSCC. In December 2020, the FDA verbally informed us, that given our planned initiation of two Phase 2 HNSCC clinical trials that could be potentially registrational, they require completion of a routine non-clinical safety study that we currently have in process. The FDA noted that for any drug development program moving swiftly through development, this non-clinical study is still required prior to the initiation of a clinical trial that could be considered pivotal. We are allowed to initiate both Phase 2 HNSCC clinical trials with the enrollment capped at a total of 50 subjects treated with ALX148 across both trials (excluding safety lead-in cohorts) pending acceptance of the non-clinical safety study report. We expect to provide the required report to the FDA prior to reaching the 50-patient enrollment cap. While this cap on enrollment is defined as a partial clinical hold, no delays are anticipated in our current clinical trial timelines.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HER2-Positive Gastric/GEJ</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52"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Over 25,000 people are estimated to be living in the United States with diagnosed metastatic gastric/GEJ carcinoma. A large, international Phase 3 trial of trastuzumab in gastric/GEJ cancer found that of the nearly 4,000 subjects screened for inclusion in the trial, 17% of them were HER2-positive, which suggests a general HER2-positive rate for patients with gastric/GEJ cancer. In East Asian countries, gastric/GEJ cancer is much more common than in the United States, with incidence rates 4-10 times higher. China alone has a diagnosed incidence of over 900,000 patients with gastric/GEJ cancer per year.</w:t>
      </w:r>
    </w:p>
    <w:p>
      <w:pPr>
        <w:spacing w:after="0" w:line="15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First-line standard of care treatment is trastuzumab combined with the chemotherapy agents platinum and fluoropyrimidine. Trastuzumab, marketed as Herceptin, is an anti-HER2 antibody that has multiple FDA approvals in patients with HER2-positive cancers. In the second-line HER2-positive gastric setting, there are no HER2 targeted FDA-approved therapies. As such, the standard of care regimen in the U.S. is ramucirumab, marketed as Cyramza, a vascular endothelial growth factor 2 receptor monoclonal antibody, in combination with paclitaxel, a widely used chemotherapy. In a Phase 3 trial leading to FDA approval, ramucirumab plus paclitaxel achieved a 28% ORR with a 9.6 month mOS in subjects with previously treated gastric/GEJ cancer.</w:t>
      </w:r>
    </w:p>
    <w:p>
      <w:pPr>
        <w:spacing w:after="0" w:line="14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HER2-positive patients with gastric/GEJ cancers in second-line treatment are likely to have received an anti-HER2 antibody-based treatment in their first line of treatment. A recently reported prospective clinical trial studied trastuzumab plus paclitaxel compared to paclitaxel alone in previously treated HER2-positive subjects with gastric/GEJ cancer. Subjects were required to have progressed during the first line of treatment with trastuzumab plus chemotherapy (fluoropyrimidine plus platinum). The objective of this trial was to assess the clinical effect of trastuzumab after patients had progressed on prior trastuzumab treatment. The trial results showed that the addition of trastuzumab added no meaningful clinical benefit over paclitaxel alone. There was no significant improvement in mOS, mPFS or ORR compared to the paclitaxel arm. Based on these data, we hypothesized that we could attribute any observed responses when treating a similar subject population with ALX148 paired with trastuzumab, to a combination effect of the two agents and not simply a response to trastuzumab alone.</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52"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ALX148 was investigated in two combinations in subjects with HER2-positive gastric/GEJ cancer. First, ALX148 was investigated with trastuzumab in subjects with relapsed/refractory HER2-positive gastric/GEJ cancer. This trial was an open-label, multisite expansion of our Phase 1 trial to assess safety and tolerability with response rate and duration as secondary endpoints. Twenty subjects from the gastric/GEJ expansion cohort received ALX148 10 mg/kg QW in combination with trastuzumab at an initial dose of 8 mg/kg followed by 6 mg/kg intravenous infusion Q3W. As of October 1, 2020, 19 subjects were response evaluable. One of the twenty subjects administered ALX148 discontinued the trial due to clinical symptoms of progression prior to their first scheduled on trial scan and therefore was not response evaluable per protocol definition.</w:t>
      </w:r>
    </w:p>
    <w:p>
      <w:pPr>
        <w:spacing w:after="0" w:line="14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As of April 1, 2020, in our trial of ALX148 plus trastuzumab, 18 of 19 response evaluable subjects from the gastric/GEJ expansion cohort, including all subjects who achieved a response, had been treated with at least one HER2-containing regimen prior to enrollment. Multiple subjects also received an investigational anti-HER2 agent and a PD-1 checkpoint inhibitor as prior treatment.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Additionally, ALX148 was investigated with trastuzumab, ramucirumab and paclitaxel in subjects with relapsed/refractory HER2-postive gastric/GEJ cancer who had progressed on prior trastuzumab, fluoropyrimidine or platinum. As of October 1, 2020, 14 subjects had enrolled, all of whom were response evaluable.</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139700</wp:posOffset>
            </wp:positionV>
            <wp:extent cx="4946015" cy="38747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46015" cy="3874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460" w:right="40"/>
        <w:spacing w:after="0" w:line="247" w:lineRule="auto"/>
        <w:rPr>
          <w:sz w:val="20"/>
          <w:szCs w:val="20"/>
          <w:color w:val="auto"/>
        </w:rPr>
      </w:pPr>
      <w:r>
        <w:rPr>
          <w:rFonts w:ascii="Arial" w:cs="Arial" w:eastAsia="Arial" w:hAnsi="Arial"/>
          <w:sz w:val="14"/>
          <w:szCs w:val="14"/>
          <w:color w:val="auto"/>
        </w:rPr>
        <w:t>Data Cutoff October 1, 2020. Subjects who received at least one dose of ALX148 in the expansion phase, had a baseline assessment, and at least one post-baseline disease assessment. One subject administered ALX148+pembrolizumab with rapid fatal clinical progression is not included in plots. ORR = Overall Response Rate. DOR = duration of response. mPFS = median progression free survival. mOS = median overall survival. CI = confidence interval. ND = Not Done. HER2 Score retrospectively assessed using archival tissue by a central IHC lab.</w:t>
      </w:r>
    </w:p>
    <w:p>
      <w:pPr>
        <w:spacing w:after="0" w:line="136"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primary objective of the trial was to assess safety and the combination regimen was well tolerated. Final results of the fully enrolled cohort were reported at SITC 2020. Importantly, ALX148 with trastuzumab achieved an ORR of 21.1% (4/19) in subjects treated with the doublet and an ORR of 64.3% (9/14) in subjects treated with ALX148 with trastuzumab, ramucirumab and paclitaxel. The FDA granted ALX148 Fast Track designation for second-line treatment of advanced HER2-positive gastric/GEJ carcinoma partly due to the data for ALX148 in combination with trastuzumab alone for the treatment of gastric cancer. Based on prior studies, one of which is described above, any observed response can likely be attributed to the combination effect and not a response to single-agent trastuzumab. As described above, ramucirumab and paclitaxel in a second-line setting resulted in an ORR of 28% in a Phase 3 trial leading to FDA approval. We believe that an ORR of 64.3% in this second-line or later population supports further development of ALX148 in HER2-positive cancers.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plans</w:t>
      </w:r>
    </w:p>
    <w:p>
      <w:pPr>
        <w:spacing w:after="0" w:line="52" w:lineRule="exact"/>
        <w:rPr>
          <w:sz w:val="20"/>
          <w:szCs w:val="20"/>
          <w:color w:val="auto"/>
        </w:rPr>
      </w:pPr>
    </w:p>
    <w:p>
      <w:pPr>
        <w:ind w:left="120" w:right="500"/>
        <w:spacing w:after="0" w:line="238" w:lineRule="auto"/>
        <w:rPr>
          <w:sz w:val="20"/>
          <w:szCs w:val="20"/>
          <w:color w:val="auto"/>
        </w:rPr>
      </w:pPr>
      <w:r>
        <w:rPr>
          <w:rFonts w:ascii="Arial" w:cs="Arial" w:eastAsia="Arial" w:hAnsi="Arial"/>
          <w:sz w:val="17"/>
          <w:szCs w:val="17"/>
          <w:color w:val="auto"/>
        </w:rPr>
        <w:t>We intend to initiate a Phase 2 trial of ALX148 with trastuzumab and chemotherapy for subjects with HER2-positive gastric/GEJ cancer adenocarcinoma with disease progression on or after prior trastuzumab (or other HER2-directed therapy), and fluoropyrimidine or platinum-containing chemotherapy as the first line of therapy for advanced disease,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by the second half of 2021. Data from this trial would confirm whether ALX148 improves the response rate to anti-HER2-based therapy in patients with HER2-positive gastric/GEJ cancer. Of note, there are multiple emerging agents, predominantly antibody-based therapies, in development for patients with HER2-positive cancer. Because these agents target HER2 as does trastuzumab, we believe that ALX148 has the potential to maximize the anti-cancer activity of these novel agents should they supplant trastuzumab in the treatment paradigm for these patients.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ALX148 in HER2-expressing breast cancer and other solid tumors</w:t>
      </w:r>
    </w:p>
    <w:p>
      <w:pPr>
        <w:spacing w:after="0" w:line="93"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We plan to continue developing ALX148 in a broad range of tumor types and in novel combinations. In November 2020, we announced a clinical trial collaboration with Zymeworks to investigate ALX148 in combination with Zymeworks’ HER2-targeted bispecific antibody, zanidatamab, in patients with advanced HER2-expressing tumors.</w:t>
      </w:r>
    </w:p>
    <w:p>
      <w:pPr>
        <w:spacing w:after="0" w:line="147" w:lineRule="exact"/>
        <w:rPr>
          <w:sz w:val="20"/>
          <w:szCs w:val="20"/>
          <w:color w:val="auto"/>
        </w:rPr>
      </w:pPr>
    </w:p>
    <w:p>
      <w:pPr>
        <w:ind w:left="120" w:right="260"/>
        <w:spacing w:after="0" w:line="236" w:lineRule="auto"/>
        <w:rPr>
          <w:sz w:val="20"/>
          <w:szCs w:val="20"/>
          <w:color w:val="auto"/>
        </w:rPr>
      </w:pPr>
      <w:r>
        <w:rPr>
          <w:rFonts w:ascii="Arial" w:cs="Arial" w:eastAsia="Arial" w:hAnsi="Arial"/>
          <w:sz w:val="17"/>
          <w:szCs w:val="17"/>
          <w:color w:val="auto"/>
        </w:rPr>
        <w:t>Under the terms of the agreement, Zymeworks will conduct an open label, multi-center Phase 1b trial to assess the safety and efficacy of the combination of zanidatamab and ALX148 in a two-part trial. The first part of the trial will evaluate the safety of the combination treatment. The second part of the trial will evaluate the safety, tolerability and anti-tumor activity of the combination in separate cohorts of subjects with HER2-overexpressing breast cancer, HER2-low breast cancer and non-breast HER2-expressing solid tumors.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Programs</w:t>
      </w:r>
    </w:p>
    <w:p>
      <w:pPr>
        <w:spacing w:after="0" w:line="80"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In addition to ALX148, we are also developing preclinical programs that may offer additional ways to engage the innate and adaptive immune response to cancer.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and Intellectual Property</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commercial success depends in part on our ability to obtain and maintain proprietary protection for our current and future product candidates, novel discoveries, product development technologies and knowhow and to operate without infringing on the proprietary rights of others. We seek to protect our proprietary position by, among other methods, filing or in-licensing U.S. and foreign patents and patent applications related to technology, inventions and improvements that are important to the development and implementation of our business. Our patent portfolio is intended to cover our product candidates and related components, their methods of use and processes for their manufacture and any other inventions that are commercially important to our business. We also rely on trademarks, trade secrets, knowhow, continuing technological innovation and confidential information to develop and maintain our proprietary position.</w:t>
      </w:r>
    </w:p>
    <w:p>
      <w:pPr>
        <w:spacing w:after="0" w:line="151"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As of November 19, 2020, we own two issued U.S. patents, seven pending U.S. nonprovisional patent applications, eleven pending U.S. provisional patent applications and a portfolio of national patent application filings in a variety of non-U.S. jurisdictions, including Europe, Hong Kong, Brazil, Mexico, New Zealand, Japan, Australia, Canada, China, India, Israel, Republic of Korea, Singapore and Russia. Of these patents and patent applications, the following relate to ALX148: two issued U.S. patents, four pending U.S. nonprovisional patent applications, eleven pending U.S. provisional patent applications and a portfolio of national patent application filings in a variety of non-U.S. jurisdictions, including Europe, Hong Kong, Brazil, Mexico, New Zealand, Japan, Australia, Canada, China, India, Israel, Republic of Korea, Singapore and Russia.</w:t>
      </w:r>
    </w:p>
    <w:p>
      <w:pPr>
        <w:spacing w:after="0" w:line="148"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Our two U.S. issued patents and, if issued as U.S. patents, our eleven U.S. nonprovisional patent applications and ten U.S. provisional patent applications are expected to expire between August 2036 and November 2041, excluding any additional term for patent term adjustments or patent term extensions, with an expiration of between August 2036 and November 2041 with respect to our patent and patent applications related to ALX148, excluding any additional term for patent term extensions.</w:t>
      </w:r>
    </w:p>
    <w:p>
      <w:pPr>
        <w:spacing w:after="0" w:line="150" w:lineRule="exact"/>
        <w:rPr>
          <w:sz w:val="20"/>
          <w:szCs w:val="20"/>
          <w:color w:val="auto"/>
        </w:rPr>
      </w:pPr>
    </w:p>
    <w:p>
      <w:pPr>
        <w:ind w:left="120" w:right="80"/>
        <w:spacing w:after="0" w:line="241" w:lineRule="auto"/>
        <w:rPr>
          <w:sz w:val="20"/>
          <w:szCs w:val="20"/>
          <w:color w:val="auto"/>
        </w:rPr>
      </w:pPr>
      <w:r>
        <w:rPr>
          <w:rFonts w:ascii="Arial" w:cs="Arial" w:eastAsia="Arial" w:hAnsi="Arial"/>
          <w:sz w:val="17"/>
          <w:szCs w:val="17"/>
          <w:color w:val="auto"/>
        </w:rPr>
        <w:t>We obtained a worldwide, royalty-bearing, sublicensable license from the Board of Trustees of the Leland Stanford Junior University, or Stanford, under certain patents relating to high-affinity SIRPa variant polypeptides, to develop, manufacture and commercialize products for use in certain licensed fields, the scope of which would include the application of the licensed intellectual property in oncology. Our portfolio of exclusively licensed patents from Stanford includes six issued patents (one of which is in the United States) and applications are pending in six</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jurisdictions (including the United States and the European Patent Office). For more information regarding our license agreement with Stanford, please see “—Exclusive (Equity) Agreement with The Board of Trustees of the Leland Stanford Junior University.”</w:t>
      </w:r>
    </w:p>
    <w:p>
      <w:pPr>
        <w:spacing w:after="0" w:line="133" w:lineRule="exact"/>
        <w:rPr>
          <w:sz w:val="20"/>
          <w:szCs w:val="20"/>
          <w:color w:val="auto"/>
        </w:rPr>
      </w:pPr>
    </w:p>
    <w:p>
      <w:pPr>
        <w:ind w:left="120" w:right="200"/>
        <w:spacing w:after="0"/>
        <w:rPr>
          <w:sz w:val="20"/>
          <w:szCs w:val="20"/>
          <w:color w:val="auto"/>
        </w:rPr>
      </w:pPr>
      <w:r>
        <w:rPr>
          <w:rFonts w:ascii="Arial" w:cs="Arial" w:eastAsia="Arial" w:hAnsi="Arial"/>
          <w:sz w:val="17"/>
          <w:szCs w:val="17"/>
          <w:color w:val="auto"/>
        </w:rPr>
        <w:t>Our patent portfolio exclusively licensed from Stanford contains patent families relating to high-affinity SIRPa variant polypeptides, which is comprised of one issued patent in each of U.S., Australia, China, Europe, Hong Kong and Japan, one pending U.S. patent application and one pending European patent application. The European patent has been validated as national patents in 37 different European countries. These patents and patent applications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spacing w:after="0" w:line="148"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We are aware of a revoked European patent (EP 2 429 574) owned by UHN and The Hospital for Sick Children that may encompass certain therapies for the treatment of cancer using polypeptides comprising soluble human SIRPa, or a CD47-binding fragment thereof. This revoked patent related to the treatment of cancer with polypeptides comprising soluble human SIRPa, or a CD47-binding fragment thereof. This patent was revoked by the European Patent Office and UHN and The Hospital for Sick Children have appealed the decision. The U.S. counterpart is allowed but not yet granted. If UHN and the Hospital for Sick Children win their appeal of the European Patent Office decision revoking their European patent, or if the U.S. counterpart grants them a patent, the resulting patent claims could potentially limit our ability to pursue ALX148 in certain new indications or geographies in the future. However, we believe that we do not infringe claims listed in the allowed U.S. patent application.</w:t>
      </w:r>
    </w:p>
    <w:p>
      <w:pPr>
        <w:spacing w:after="0" w:line="150"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For more information regarding the risks related to our intellectual property, including the above referenced intellectual property proceedings, see “Risk Factors—Risks Related to Our Intellectual Property.”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(Equity) Agreement with The Board of Trustees of the Leland Stanford Junior University</w:t>
      </w:r>
    </w:p>
    <w:p>
      <w:pPr>
        <w:spacing w:after="0" w:line="93"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In March 2015, we entered into a license agreement, or the Stanford Agreement, with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5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No milestone payments have been made through December 31, 2019.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17"/>
          <w:szCs w:val="17"/>
          <w:color w:val="auto"/>
        </w:rPr>
        <w:t>We may terminate the Stanford Agreement, on a licensed product-by-licensed product basis, at any time for any reason by providing at least 60 days’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060"/>
          </w:cols>
          <w:pgMar w:left="320" w:top="459" w:right="5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on a licensed product-by-licensed product basis, if we are not diligently developing and commercializing such licensed product under certain conditions or if we fail to achieve specified development milestones for such licensed product by certain dates, subject to our extension rights.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Third-Party Agreements</w:t>
      </w:r>
    </w:p>
    <w:p>
      <w:pPr>
        <w:spacing w:after="0" w:line="9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have entered into license agreements with third parties related to the development and commercialization of our product candidates, including ALX148, and SIRPa antibodies which we are exploring in our research program. In consideration of the foregoing, we have agreed to customary payments terms in these agreements, including certain milestone payments upon the achievement of clinical and commercial milestones and low single-digit royalties. See the section titled “Management’s Discussion and Analysis of Financial Condition and Results of Operations— Contractual Obligations and Commitments—License and Collaboration Agreements.”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8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80"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We do not own or operate and do not intend to establish our own manufacturing facilities. We rely on, and will continue to rely on, CMOs for both drug substance and drug product. Both ALX148 bulk drug substance and finished drug product are produced in accordance with cGMPs.</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existing supply of ALX148 drug product is sufficient to complete our clinical trials through the first half of 2021. We plan to manufacture additional supplies with our existing CMOs to produce ALX148 drug product sufficient to complete the ongoing and planned clinical trials described in this document. We first entered into an engagement with KBI Biopharma, Inc. in 2015 for analytical method development, formulation development, bulk drug manufacturing, release and stability testing. We first entered into a drug product manufacturing agreement with Lyophilization Services of New England, Inc. in 2016 and have subsequently used them for all ALX148 drug product used in clinical trials to date.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Apexigen, Arch Therapeutics, Bristol Myers Squibb, Gilead Sciences (through its recent acquisition of Forty Seven), I-Mab, Innovent, Kahr, Novimmune, OSE Immunotherapeutics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93"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4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Biologics Regulation</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future product candidates must be approved by the FDA through the BLA process before they may be legally marketed in the United States.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process generally involves the following:</w:t>
      </w:r>
    </w:p>
    <w:p>
      <w:pPr>
        <w:spacing w:after="0" w:line="196" w:lineRule="exact"/>
        <w:rPr>
          <w:sz w:val="20"/>
          <w:szCs w:val="20"/>
          <w:color w:val="auto"/>
        </w:rPr>
      </w:pPr>
    </w:p>
    <w:p>
      <w:pPr>
        <w:ind w:left="980" w:right="700" w:hanging="432"/>
        <w:spacing w:after="0" w:line="243" w:lineRule="auto"/>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Completion of extensive preclinical laboratory tests and animal studies performed in accordance with the FDA’s current Good Laboratory Practices, or GLP, regulation.</w:t>
      </w:r>
    </w:p>
    <w:p>
      <w:pPr>
        <w:spacing w:after="0" w:line="22"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Submission to the FDA of an investigational new drug, or IND, application, which must become effective before clinical trials may begin and must be updated annually or when significant changes are made.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Approval by an independent institutional review board, or IRB, or ethics committee at each clinical site before the trial is commenced.</w:t>
      </w:r>
    </w:p>
    <w:p>
      <w:pPr>
        <w:spacing w:after="0" w:line="34" w:lineRule="exact"/>
        <w:rPr>
          <w:rFonts w:ascii="MS PGothic" w:cs="MS PGothic" w:eastAsia="MS PGothic" w:hAnsi="MS PGothic"/>
          <w:sz w:val="13"/>
          <w:szCs w:val="13"/>
          <w:color w:val="auto"/>
        </w:rPr>
      </w:pPr>
    </w:p>
    <w:p>
      <w:pPr>
        <w:ind w:left="980" w:right="380" w:hanging="432"/>
        <w:spacing w:after="0" w:line="238" w:lineRule="auto"/>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Performance of adequate and well-controlled human clinical trials in accordance with the applicable IND regulations, good clinical practice, or GCP, requirements to establish the safety, purity and potency (</w:t>
      </w:r>
      <w:r>
        <w:rPr>
          <w:rFonts w:ascii="Arial" w:cs="Arial" w:eastAsia="Arial" w:hAnsi="Arial"/>
          <w:sz w:val="17"/>
          <w:szCs w:val="17"/>
          <w:i w:val="1"/>
          <w:iCs w:val="1"/>
          <w:color w:val="auto"/>
        </w:rPr>
        <w:t>i.e.</w:t>
      </w:r>
      <w:r>
        <w:rPr>
          <w:rFonts w:ascii="Arial" w:cs="Arial" w:eastAsia="Arial" w:hAnsi="Arial"/>
          <w:sz w:val="17"/>
          <w:szCs w:val="17"/>
          <w:color w:val="auto"/>
        </w:rPr>
        <w:t>, safety and effectiveness) of the proposed biologic product candidate for its intended purpose.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Preparation of and submission to the FDA of a BLA after completion of all pivotal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A determination by the FDA within 60 days of its receipt of a BLA to file the application for review.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Satisfactory completion of any FDA audit of preclinical studies and/or clinical trial sites that generated the data in support of the BLA.</w:t>
      </w:r>
    </w:p>
    <w:p>
      <w:pPr>
        <w:spacing w:after="0" w:line="34" w:lineRule="exact"/>
        <w:rPr>
          <w:rFonts w:ascii="MS PGothic" w:cs="MS PGothic" w:eastAsia="MS PGothic" w:hAnsi="MS PGothic"/>
          <w:sz w:val="13"/>
          <w:szCs w:val="13"/>
          <w:color w:val="auto"/>
        </w:rPr>
      </w:pPr>
    </w:p>
    <w:p>
      <w:pPr>
        <w:jc w:val="both"/>
        <w:ind w:left="980" w:right="200" w:hanging="432"/>
        <w:spacing w:after="0" w:line="236" w:lineRule="auto"/>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pre-approval inspection of the manufacturing facility or facilities at which the proposed product is produced to assess compliance with current good manufacturing practices, or cGMPs, and to assure that the facilities, methods and controls are adequate to preserve the biological product’s continued safety, purity and potency, and of selected clinical investigation sites to assess compliance with GCPs.</w:t>
      </w:r>
    </w:p>
    <w:p>
      <w:pPr>
        <w:spacing w:after="0" w:line="27"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Advisory Committee review, if applicable.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FDA review and approval of a BLA to permit commercial marketing of the product for particular indications for use in the United States.</w:t>
      </w:r>
    </w:p>
    <w:p>
      <w:pPr>
        <w:spacing w:after="0" w:line="34"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Compliance with any post-approval requirements, including the potential requirement to implement an REMS and the potential requirement to conduct post-approval studies.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and Clinical Development</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spacing w:after="0" w:line="147"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51"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Prior to beginning the first clinical trial with a product candidate, we must submit an IND to the FDA. An IND is a request for authorization from the FDA to administer an investigational new biopharmaceutical product to humans.</w:t>
      </w:r>
    </w:p>
    <w:p>
      <w:pPr>
        <w:spacing w:after="0" w:line="144"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50"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BLA.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purposes of BLA approval, human clinical trials are typically conducted in three sequential phases that may overlap.</w:t>
      </w:r>
    </w:p>
    <w:p>
      <w:pPr>
        <w:spacing w:after="0" w:line="196" w:lineRule="exact"/>
        <w:rPr>
          <w:sz w:val="20"/>
          <w:szCs w:val="20"/>
          <w:color w:val="auto"/>
        </w:rPr>
      </w:pPr>
    </w:p>
    <w:p>
      <w:pPr>
        <w:ind w:left="980" w:right="80" w:hanging="432"/>
        <w:spacing w:after="0" w:line="236"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Phase 1. For biologics being studied in oncology indications, the investigational product is initially introduced into patients with the target disease or condition. These trials are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27" w:lineRule="exact"/>
        <w:rPr>
          <w:rFonts w:ascii="MS PGothic" w:cs="MS PGothic" w:eastAsia="MS PGothic" w:hAnsi="MS PGothic"/>
          <w:sz w:val="13"/>
          <w:szCs w:val="13"/>
          <w:color w:val="auto"/>
        </w:rPr>
      </w:pPr>
    </w:p>
    <w:p>
      <w:pPr>
        <w:ind w:left="980" w:right="140" w:hanging="432"/>
        <w:spacing w:after="0" w:line="236"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spacing w:after="0" w:line="27" w:lineRule="exact"/>
        <w:rPr>
          <w:rFonts w:ascii="MS PGothic" w:cs="MS PGothic" w:eastAsia="MS PGothic" w:hAnsi="MS PGothic"/>
          <w:sz w:val="13"/>
          <w:szCs w:val="13"/>
          <w:color w:val="auto"/>
        </w:rPr>
      </w:pPr>
    </w:p>
    <w:p>
      <w:pPr>
        <w:ind w:left="980" w:right="120" w:hanging="432"/>
        <w:spacing w:after="0" w:line="235"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may include comparisons with placebo and/or other comparator treatments.</w:t>
      </w:r>
    </w:p>
    <w:p>
      <w:pPr>
        <w:spacing w:after="0" w:line="150" w:lineRule="exact"/>
        <w:rPr>
          <w:sz w:val="20"/>
          <w:szCs w:val="20"/>
          <w:color w:val="auto"/>
        </w:rPr>
      </w:pPr>
    </w:p>
    <w:p>
      <w:pPr>
        <w:ind w:left="120" w:right="380"/>
        <w:spacing w:after="0" w:line="234"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BLA Submission and Review</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31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studies.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15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49"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4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49"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41"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facility registration, biopharmaceutical product listing, record-keeping, reporting of adverse experiences, periodic reporting, product sampling and distribution and advertising and promotion of the product. After approval, most changes to the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spacing w:after="0" w:line="15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90" w:lineRule="exact"/>
        <w:rPr>
          <w:sz w:val="20"/>
          <w:szCs w:val="20"/>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Fines, warning letters or holds on post-approval clinical trials.</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Refusal of the FDA to approve pending applications or supplements to approved applications, or suspension or revocation of existing product approvals.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Product seizure or detention, or refusal of the FDA to permit the import or export of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Consent decrees, corporate integrity agreements, debarment or exclusion from federal healthcare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Mandated modification of promotional materials and labeling and the issuance of corrective information.</w:t>
      </w:r>
    </w:p>
    <w:p>
      <w:pPr>
        <w:spacing w:after="0" w:line="34"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issuance of safety alerts, Dear Healthcare Provider letters, press releases and other communications containing warnings or other safety information about the product.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Biosimilars and Reference Product Exclusivity</w:t>
      </w:r>
    </w:p>
    <w:p>
      <w:pPr>
        <w:spacing w:after="0" w:line="41"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spacing w:after="0" w:line="147"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49"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Additionally, prescribing physicians are free to specify “Do Not Substitute” in prescriptions, which would prohibit pharmacists from substituting a branded biologic product for a biosimilar product.</w:t>
      </w:r>
    </w:p>
    <w:p>
      <w:pPr>
        <w:spacing w:after="0" w:line="148"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9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190" w:lineRule="exact"/>
        <w:rPr>
          <w:sz w:val="20"/>
          <w:szCs w:val="20"/>
          <w:color w:val="auto"/>
        </w:rPr>
      </w:pPr>
    </w:p>
    <w:p>
      <w:pPr>
        <w:ind w:left="980" w:right="120" w:hanging="432"/>
        <w:spacing w:after="0" w:line="234"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In addition, the intent standard under the federal Anti-Kickback Statute was amended by the ACA to eliminate the need to prove specific intent and actual knowledge to establish an Anti-Kickback Statute violation.</w:t>
      </w:r>
    </w:p>
    <w:p>
      <w:pPr>
        <w:spacing w:after="0" w:line="27" w:lineRule="exact"/>
        <w:rPr>
          <w:rFonts w:ascii="MS PGothic" w:cs="MS PGothic" w:eastAsia="MS PGothic" w:hAnsi="MS PGothic"/>
          <w:sz w:val="13"/>
          <w:szCs w:val="13"/>
          <w:color w:val="auto"/>
        </w:rPr>
      </w:pPr>
    </w:p>
    <w:p>
      <w:pPr>
        <w:ind w:left="980" w:right="40" w:hanging="432"/>
        <w:spacing w:after="0" w:line="236"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7" w:lineRule="exact"/>
        <w:rPr>
          <w:rFonts w:ascii="MS PGothic" w:cs="MS PGothic" w:eastAsia="MS PGothic" w:hAnsi="MS PGothic"/>
          <w:sz w:val="13"/>
          <w:szCs w:val="13"/>
          <w:color w:val="auto"/>
        </w:rPr>
      </w:pPr>
    </w:p>
    <w:p>
      <w:pPr>
        <w:ind w:left="980" w:right="180" w:hanging="432"/>
        <w:spacing w:after="0" w:line="236"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240"/>
        <w:spacing w:after="0" w:line="243" w:lineRule="auto"/>
        <w:rPr>
          <w:sz w:val="20"/>
          <w:szCs w:val="20"/>
          <w:color w:val="auto"/>
        </w:rPr>
      </w:pPr>
      <w:r>
        <w:rPr>
          <w:rFonts w:ascii="Arial" w:cs="Arial" w:eastAsia="Arial" w:hAnsi="Arial"/>
          <w:sz w:val="17"/>
          <w:szCs w:val="17"/>
          <w:color w:val="auto"/>
        </w:rPr>
        <w:t>or should know is likely to influence the beneficiary’s decision to order or receive items or services reimbursable by the government from a particular provider or supplier.</w:t>
      </w:r>
    </w:p>
    <w:p>
      <w:pPr>
        <w:spacing w:after="0" w:line="23" w:lineRule="exact"/>
        <w:rPr>
          <w:sz w:val="20"/>
          <w:szCs w:val="20"/>
          <w:color w:val="auto"/>
        </w:rPr>
      </w:pPr>
    </w:p>
    <w:p>
      <w:pPr>
        <w:ind w:left="980" w:right="20" w:hanging="432"/>
        <w:spacing w:after="0" w:line="234"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with respect to safeguarding the privacy, security and transmission of individually identifiable health information.</w:t>
      </w:r>
    </w:p>
    <w:p>
      <w:pPr>
        <w:spacing w:after="0" w:line="29"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FDCA, which prohibits, among other things, the adulteration or misbranding of drugs, biologics and medical devices.</w:t>
      </w:r>
    </w:p>
    <w:p>
      <w:pPr>
        <w:spacing w:after="0" w:line="34" w:lineRule="exact"/>
        <w:rPr>
          <w:rFonts w:ascii="MS PGothic" w:cs="MS PGothic" w:eastAsia="MS PGothic" w:hAnsi="MS PGothic"/>
          <w:sz w:val="13"/>
          <w:szCs w:val="13"/>
          <w:color w:val="auto"/>
        </w:rPr>
      </w:pPr>
    </w:p>
    <w:p>
      <w:pPr>
        <w:ind w:left="980" w:right="120" w:hanging="432"/>
        <w:spacing w:after="0" w:line="234"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under the Physician Payments Sunshine Act to physician assistants, nurse practitioners and other mid-level practitioners, with reporting requirements beginning in 2022 for payments made or ownership or investment interests held in 2021.</w:t>
      </w:r>
    </w:p>
    <w:p>
      <w:pPr>
        <w:spacing w:after="0" w:line="26" w:lineRule="exact"/>
        <w:rPr>
          <w:rFonts w:ascii="MS PGothic" w:cs="MS PGothic" w:eastAsia="MS PGothic" w:hAnsi="MS PGothic"/>
          <w:sz w:val="13"/>
          <w:szCs w:val="13"/>
          <w:color w:val="auto"/>
        </w:rPr>
      </w:pPr>
    </w:p>
    <w:p>
      <w:pPr>
        <w:ind w:left="980" w:right="60" w:hanging="432"/>
        <w:spacing w:after="0" w:line="234"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29" w:lineRule="exact"/>
        <w:rPr>
          <w:rFonts w:ascii="MS PGothic" w:cs="MS PGothic" w:eastAsia="MS PGothic" w:hAnsi="MS PGothic"/>
          <w:sz w:val="13"/>
          <w:szCs w:val="13"/>
          <w:color w:val="auto"/>
        </w:rPr>
      </w:pPr>
    </w:p>
    <w:p>
      <w:pPr>
        <w:ind w:left="980" w:hanging="432"/>
        <w:spacing w:after="0" w:line="235"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26" w:lineRule="exact"/>
        <w:rPr>
          <w:rFonts w:ascii="MS PGothic" w:cs="MS PGothic" w:eastAsia="MS PGothic" w:hAnsi="MS PGothic"/>
          <w:sz w:val="13"/>
          <w:szCs w:val="13"/>
          <w:color w:val="auto"/>
        </w:rPr>
      </w:pPr>
    </w:p>
    <w:p>
      <w:pPr>
        <w:ind w:left="980" w:hanging="432"/>
        <w:spacing w:after="0" w:line="234"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biotechnology or pharmaceutical companies to comply with the biotechnology or pharmaceutical industry’s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000" w:right="140"/>
        <w:spacing w:after="0" w:line="238" w:lineRule="auto"/>
        <w:rPr>
          <w:sz w:val="20"/>
          <w:szCs w:val="20"/>
          <w:color w:val="auto"/>
        </w:rPr>
      </w:pPr>
      <w:r>
        <w:rPr>
          <w:rFonts w:ascii="Arial" w:cs="Arial" w:eastAsia="Arial" w:hAnsi="Arial"/>
          <w:sz w:val="17"/>
          <w:szCs w:val="17"/>
          <w:color w:val="auto"/>
        </w:rPr>
        <w:t>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spacing w:after="0" w:line="147"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93"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154"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48"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060"/>
          </w:cols>
          <w:pgMar w:left="320" w:top="459"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 reimbursement policies will not adversely affect our ability to sell our products profitably.</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Healthcare Reform</w:t>
      </w:r>
    </w:p>
    <w:p>
      <w:pPr>
        <w:spacing w:after="0" w:line="4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There remain judicial and Congressional challenges to certain aspects of the ACA, as well as efforts by the Trump administration to repeal or replace certain aspects of the ACA. Since January 2017, President Trump has 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52"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On December 22, 2017, President Trump signed into law new federal tax legislation commonly referred to as the Tax Cuts and Jobs Act, or Tax Act, which includes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 mandated “Cadillac” tax on high-cost employer-sponsored health coverage and medical device tax and, effective January 1, 2021, also eliminates the health insurer tax. 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 denial of $12 billion in “risk corridor” funding. On December 14, 2018, a Texas U.S. District Court Judge ruled that the ACA is unconstitutional in its entirety because the “individual mandate” was repealed by Congress as part of the Tax Act. Additionally, on December 18, 2019, the U.S Court of Appeals for the Fifth Circuit upheld the District Court ruling that the individual mandate was unconstitutional and remanded the case back to the District Court to determine whether the remaining provisions of the ACA are invalid as well. In March 2020, the U.S. Supreme Court agreed to hear the case, and arguments were held in November 2020, although it is unclear when a decision will be made. It is unclear how such litigation and other efforts to repeal and replace the ACA will impact the ACA.</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2030 unless additional congressional action is taken. The CARES Act, which was signed into law on March 27, 2020, designed to provide financial support and resources to individuals and businesses affected by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to address the COVID-19 pandemic, resulting in a material adverse effect on our business. For example, on August 6, 2020, the Trump administration issued another executive order that instructs the federal government to develop a list of “essential” medicines and then buy them and other medical supplies from U.S. 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w:t>
      </w:r>
    </w:p>
    <w:p>
      <w:pPr>
        <w:spacing w:after="0" w:line="154"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proposals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has solicited feedback on certain of these measures and has implemented others under its existing authority. For example, in May 2019, the U.S. Centers for Medicare &amp; Medicaid Services issued a final rule to allow Medicare Advantage plans the option to use step therapy for Part B drugs beginning January 1, 2020, codifying a policy change that was effective January 1, 2019. While some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and other new laws and regulations may result in additional reductions in Medicare and other healthcare funding, which could have a material adverse effect on customers for our biopharmaceutical products, if approved, and accordingly, our financial operations. Further, we expect that additional state and federal healthcare reform measures will be adopted in the future, particularly as a result of the recent presidential election.</w:t>
      </w:r>
    </w:p>
    <w:p>
      <w:pPr>
        <w:spacing w:after="0" w:line="16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Additionally, the Right to Try Act, which was enacted on May 30, 2018, provides a federal framework for certain patients with life-threatening diseases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93"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As of September 30, 2020, we had 18 employees, 8 of whom hold Ph.D. or M.D. degrees and 8 of whom were engaged in research and development activities. None of our employees are represented by a labor union and we believe we maintain good relations with our employees.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93"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currently sub-lease 2,856 square feet of office space in Burlingame, California, under a lease that expires in 2023. We believe that this space is sufficient to meet our needs for the foreseeable future and that any additional space we may require will be available on commercially reasonable terms.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80"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040"/>
          </w:cols>
          <w:pgMar w:left="320" w:top="459" w:right="5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names, ages and positions of our executive officers and directors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20" w:type="dxa"/>
            <w:vAlign w:val="bottom"/>
          </w:tcPr>
          <w:p>
            <w:pPr>
              <w:spacing w:after="0"/>
              <w:rPr>
                <w:sz w:val="20"/>
                <w:szCs w:val="20"/>
                <w:color w:val="auto"/>
              </w:rPr>
            </w:pPr>
            <w:r>
              <w:rPr>
                <w:rFonts w:ascii="Arial" w:cs="Arial" w:eastAsia="Arial" w:hAnsi="Arial"/>
                <w:sz w:val="14"/>
                <w:szCs w:val="14"/>
                <w:b w:val="1"/>
                <w:bCs w:val="1"/>
                <w:color w:val="auto"/>
                <w:w w:val="96"/>
              </w:rPr>
              <w:t>NAME</w:t>
            </w:r>
          </w:p>
        </w:tc>
        <w:tc>
          <w:tcPr>
            <w:tcW w:w="40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AGE</w:t>
            </w:r>
          </w:p>
        </w:tc>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4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56"/>
        </w:trPr>
        <w:tc>
          <w:tcPr>
            <w:tcW w:w="4460" w:type="dxa"/>
            <w:vAlign w:val="bottom"/>
            <w:gridSpan w:val="2"/>
          </w:tcPr>
          <w:p>
            <w:pPr>
              <w:spacing w:after="0" w:line="156" w:lineRule="exact"/>
              <w:rPr>
                <w:sz w:val="20"/>
                <w:szCs w:val="20"/>
                <w:color w:val="auto"/>
              </w:rPr>
            </w:pPr>
            <w:r>
              <w:rPr>
                <w:rFonts w:ascii="Arial" w:cs="Arial" w:eastAsia="Arial" w:hAnsi="Arial"/>
                <w:sz w:val="17"/>
                <w:szCs w:val="17"/>
                <w:b w:val="1"/>
                <w:bCs w:val="1"/>
                <w:i w:val="1"/>
                <w:iCs w:val="1"/>
                <w:color w:val="auto"/>
              </w:rPr>
              <w:t>Executive Officers</w:t>
            </w:r>
            <w:r>
              <w:rPr>
                <w:rFonts w:ascii="Arial" w:cs="Arial" w:eastAsia="Arial" w:hAnsi="Arial"/>
                <w:sz w:val="17"/>
                <w:szCs w:val="17"/>
                <w:b w:val="1"/>
                <w:bCs w:val="1"/>
                <w:color w:val="auto"/>
              </w:rPr>
              <w:t>:</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Jaume Pons, Ph.D.</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54</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President, Chief Executive Officer and Director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Peter García</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59</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Chief Financial Officer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Steffen Pietzke</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48</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w w:val="99"/>
              </w:rPr>
              <w:t>Vice President, Finance and Chief Accounting Officer</w:t>
            </w:r>
          </w:p>
        </w:tc>
      </w:tr>
      <w:tr>
        <w:trPr>
          <w:trHeight w:val="169"/>
        </w:trPr>
        <w:tc>
          <w:tcPr>
            <w:tcW w:w="420" w:type="dxa"/>
            <w:vAlign w:val="bottom"/>
          </w:tcPr>
          <w:p>
            <w:pPr>
              <w:spacing w:after="0"/>
              <w:rPr>
                <w:sz w:val="14"/>
                <w:szCs w:val="14"/>
                <w:color w:val="auto"/>
              </w:rPr>
            </w:pPr>
          </w:p>
        </w:tc>
        <w:tc>
          <w:tcPr>
            <w:tcW w:w="4040" w:type="dxa"/>
            <w:vAlign w:val="bottom"/>
          </w:tcPr>
          <w:p>
            <w:pPr>
              <w:ind w:left="80"/>
              <w:spacing w:after="0" w:line="169" w:lineRule="exact"/>
              <w:rPr>
                <w:sz w:val="20"/>
                <w:szCs w:val="20"/>
                <w:color w:val="auto"/>
              </w:rPr>
            </w:pPr>
            <w:r>
              <w:rPr>
                <w:rFonts w:ascii="Arial" w:cs="Arial" w:eastAsia="Arial" w:hAnsi="Arial"/>
                <w:sz w:val="17"/>
                <w:szCs w:val="17"/>
                <w:color w:val="auto"/>
              </w:rPr>
              <w:t>Sophia Randolph, M.D., Ph.D.</w:t>
            </w:r>
          </w:p>
        </w:tc>
        <w:tc>
          <w:tcPr>
            <w:tcW w:w="480" w:type="dxa"/>
            <w:vAlign w:val="bottom"/>
            <w:gridSpan w:val="2"/>
          </w:tcPr>
          <w:p>
            <w:pPr>
              <w:jc w:val="right"/>
              <w:ind w:right="160"/>
              <w:spacing w:after="0" w:line="169" w:lineRule="exact"/>
              <w:rPr>
                <w:sz w:val="20"/>
                <w:szCs w:val="20"/>
                <w:color w:val="auto"/>
              </w:rPr>
            </w:pPr>
            <w:r>
              <w:rPr>
                <w:rFonts w:ascii="Arial" w:cs="Arial" w:eastAsia="Arial" w:hAnsi="Arial"/>
                <w:sz w:val="17"/>
                <w:szCs w:val="17"/>
                <w:color w:val="auto"/>
              </w:rPr>
              <w:t>53</w:t>
            </w:r>
          </w:p>
        </w:tc>
        <w:tc>
          <w:tcPr>
            <w:tcW w:w="4020" w:type="dxa"/>
            <w:vAlign w:val="bottom"/>
            <w:gridSpan w:val="2"/>
          </w:tcPr>
          <w:p>
            <w:pPr>
              <w:spacing w:after="0" w:line="169" w:lineRule="exact"/>
              <w:rPr>
                <w:sz w:val="20"/>
                <w:szCs w:val="20"/>
                <w:color w:val="auto"/>
              </w:rPr>
            </w:pPr>
            <w:r>
              <w:rPr>
                <w:rFonts w:ascii="Arial" w:cs="Arial" w:eastAsia="Arial" w:hAnsi="Arial"/>
                <w:sz w:val="17"/>
                <w:szCs w:val="17"/>
                <w:color w:val="auto"/>
              </w:rPr>
              <w:t>Chief Medical Officer</w:t>
            </w:r>
          </w:p>
        </w:tc>
      </w:tr>
      <w:tr>
        <w:trPr>
          <w:trHeight w:val="209"/>
        </w:trPr>
        <w:tc>
          <w:tcPr>
            <w:tcW w:w="44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Non-Employee Directors</w:t>
            </w: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Corey Goodman, Ph.D. </w:t>
            </w:r>
            <w:r>
              <w:rPr>
                <w:rFonts w:ascii="Arial" w:cs="Arial" w:eastAsia="Arial" w:hAnsi="Arial"/>
                <w:sz w:val="14"/>
                <w:szCs w:val="14"/>
                <w:color w:val="auto"/>
              </w:rPr>
              <w:t>(2) (3)</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69</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Executive Chairman of the Board</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Rekha Hemrajani </w:t>
            </w:r>
            <w:r>
              <w:rPr>
                <w:rFonts w:ascii="Arial" w:cs="Arial" w:eastAsia="Arial" w:hAnsi="Arial"/>
                <w:sz w:val="14"/>
                <w:szCs w:val="14"/>
                <w:color w:val="auto"/>
              </w:rPr>
              <w:t>(1) (3)</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51</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Jason Lettmann </w:t>
            </w:r>
            <w:r>
              <w:rPr>
                <w:rFonts w:ascii="Arial" w:cs="Arial" w:eastAsia="Arial" w:hAnsi="Arial"/>
                <w:sz w:val="14"/>
                <w:szCs w:val="14"/>
                <w:color w:val="auto"/>
              </w:rPr>
              <w:t>(2) (3)</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43</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Jack Nielsen </w:t>
            </w:r>
            <w:r>
              <w:rPr>
                <w:rFonts w:ascii="Arial" w:cs="Arial" w:eastAsia="Arial" w:hAnsi="Arial"/>
                <w:sz w:val="14"/>
                <w:szCs w:val="14"/>
                <w:color w:val="auto"/>
              </w:rPr>
              <w:t>(1) (2)</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56</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69"/>
        </w:trPr>
        <w:tc>
          <w:tcPr>
            <w:tcW w:w="420" w:type="dxa"/>
            <w:vAlign w:val="bottom"/>
          </w:tcPr>
          <w:p>
            <w:pPr>
              <w:spacing w:after="0"/>
              <w:rPr>
                <w:sz w:val="14"/>
                <w:szCs w:val="14"/>
                <w:color w:val="auto"/>
              </w:rPr>
            </w:pPr>
          </w:p>
        </w:tc>
        <w:tc>
          <w:tcPr>
            <w:tcW w:w="4040" w:type="dxa"/>
            <w:vAlign w:val="bottom"/>
          </w:tcPr>
          <w:p>
            <w:pPr>
              <w:ind w:left="80"/>
              <w:spacing w:after="0" w:line="169" w:lineRule="exact"/>
              <w:rPr>
                <w:sz w:val="20"/>
                <w:szCs w:val="20"/>
                <w:color w:val="auto"/>
              </w:rPr>
            </w:pPr>
            <w:r>
              <w:rPr>
                <w:rFonts w:ascii="Arial" w:cs="Arial" w:eastAsia="Arial" w:hAnsi="Arial"/>
                <w:sz w:val="17"/>
                <w:szCs w:val="17"/>
                <w:color w:val="auto"/>
              </w:rPr>
              <w:t xml:space="preserve">Graham Walmsley, M.D., Ph.D. </w:t>
            </w:r>
            <w:r>
              <w:rPr>
                <w:rFonts w:ascii="Arial" w:cs="Arial" w:eastAsia="Arial" w:hAnsi="Arial"/>
                <w:sz w:val="14"/>
                <w:szCs w:val="14"/>
                <w:color w:val="auto"/>
              </w:rPr>
              <w:t>(1) (3)</w:t>
            </w:r>
          </w:p>
        </w:tc>
        <w:tc>
          <w:tcPr>
            <w:tcW w:w="480" w:type="dxa"/>
            <w:vAlign w:val="bottom"/>
            <w:gridSpan w:val="2"/>
          </w:tcPr>
          <w:p>
            <w:pPr>
              <w:jc w:val="right"/>
              <w:ind w:right="160"/>
              <w:spacing w:after="0" w:line="169" w:lineRule="exact"/>
              <w:rPr>
                <w:sz w:val="20"/>
                <w:szCs w:val="20"/>
                <w:color w:val="auto"/>
              </w:rPr>
            </w:pPr>
            <w:r>
              <w:rPr>
                <w:rFonts w:ascii="Arial" w:cs="Arial" w:eastAsia="Arial" w:hAnsi="Arial"/>
                <w:sz w:val="17"/>
                <w:szCs w:val="17"/>
                <w:color w:val="auto"/>
              </w:rPr>
              <w:t>34</w:t>
            </w:r>
          </w:p>
        </w:tc>
        <w:tc>
          <w:tcPr>
            <w:tcW w:w="4020" w:type="dxa"/>
            <w:vAlign w:val="bottom"/>
            <w:gridSpan w:val="2"/>
          </w:tcPr>
          <w:p>
            <w:pPr>
              <w:spacing w:after="0" w:line="169" w:lineRule="exact"/>
              <w:rPr>
                <w:sz w:val="20"/>
                <w:szCs w:val="20"/>
                <w:color w:val="auto"/>
              </w:rPr>
            </w:pPr>
            <w:r>
              <w:rPr>
                <w:rFonts w:ascii="Arial" w:cs="Arial" w:eastAsia="Arial" w:hAnsi="Arial"/>
                <w:sz w:val="17"/>
                <w:szCs w:val="17"/>
                <w:color w:val="auto"/>
              </w:rPr>
              <w:t>Director</w:t>
            </w:r>
          </w:p>
        </w:tc>
      </w:tr>
      <w:tr>
        <w:trPr>
          <w:trHeight w:val="209"/>
        </w:trPr>
        <w:tc>
          <w:tcPr>
            <w:tcW w:w="44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Key Employee</w:t>
            </w: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05"/>
        </w:trPr>
        <w:tc>
          <w:tcPr>
            <w:tcW w:w="420" w:type="dxa"/>
            <w:vAlign w:val="bottom"/>
          </w:tcPr>
          <w:p>
            <w:pPr>
              <w:spacing w:after="0"/>
              <w:rPr>
                <w:sz w:val="17"/>
                <w:szCs w:val="17"/>
                <w:color w:val="auto"/>
              </w:rPr>
            </w:pPr>
          </w:p>
        </w:tc>
        <w:tc>
          <w:tcPr>
            <w:tcW w:w="4040" w:type="dxa"/>
            <w:vAlign w:val="bottom"/>
          </w:tcPr>
          <w:p>
            <w:pPr>
              <w:ind w:left="80"/>
              <w:spacing w:after="0"/>
              <w:rPr>
                <w:sz w:val="20"/>
                <w:szCs w:val="20"/>
                <w:color w:val="auto"/>
              </w:rPr>
            </w:pPr>
            <w:r>
              <w:rPr>
                <w:rFonts w:ascii="Arial" w:cs="Arial" w:eastAsia="Arial" w:hAnsi="Arial"/>
                <w:sz w:val="17"/>
                <w:szCs w:val="17"/>
                <w:color w:val="auto"/>
              </w:rPr>
              <w:t>Jeanne Jew</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57</w:t>
            </w:r>
          </w:p>
        </w:tc>
        <w:tc>
          <w:tcPr>
            <w:tcW w:w="4020" w:type="dxa"/>
            <w:vAlign w:val="bottom"/>
            <w:gridSpan w:val="2"/>
          </w:tcPr>
          <w:p>
            <w:pPr>
              <w:spacing w:after="0"/>
              <w:rPr>
                <w:sz w:val="20"/>
                <w:szCs w:val="20"/>
                <w:color w:val="auto"/>
              </w:rPr>
            </w:pPr>
            <w:r>
              <w:rPr>
                <w:rFonts w:ascii="Arial" w:cs="Arial" w:eastAsia="Arial" w:hAnsi="Arial"/>
                <w:sz w:val="17"/>
                <w:szCs w:val="17"/>
                <w:color w:val="auto"/>
              </w:rPr>
              <w:t>Chief Business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1" w:lineRule="exact"/>
        <w:rPr>
          <w:sz w:val="20"/>
          <w:szCs w:val="20"/>
          <w:color w:val="auto"/>
        </w:rPr>
      </w:pPr>
    </w:p>
    <w:p>
      <w:pPr>
        <w:ind w:left="540" w:hanging="249"/>
        <w:spacing w:after="0"/>
        <w:tabs>
          <w:tab w:leader="none" w:pos="54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Member of the audit committee</w:t>
      </w:r>
    </w:p>
    <w:p>
      <w:pPr>
        <w:ind w:left="540" w:hanging="249"/>
        <w:spacing w:after="0" w:line="187" w:lineRule="auto"/>
        <w:tabs>
          <w:tab w:leader="none" w:pos="540" w:val="left"/>
        </w:tabs>
        <w:numPr>
          <w:ilvl w:val="0"/>
          <w:numId w:val="72"/>
        </w:numPr>
        <w:rPr>
          <w:rFonts w:ascii="Arial" w:cs="Arial" w:eastAsia="Arial" w:hAnsi="Arial"/>
          <w:sz w:val="18"/>
          <w:szCs w:val="18"/>
          <w:color w:val="auto"/>
          <w:vertAlign w:val="superscript"/>
        </w:rPr>
      </w:pPr>
      <w:r>
        <w:rPr>
          <w:rFonts w:ascii="Arial" w:cs="Arial" w:eastAsia="Arial" w:hAnsi="Arial"/>
          <w:sz w:val="11"/>
          <w:szCs w:val="11"/>
          <w:color w:val="auto"/>
        </w:rPr>
        <w:t>Member of the compensation committee</w:t>
      </w:r>
    </w:p>
    <w:p>
      <w:pPr>
        <w:ind w:left="540" w:hanging="249"/>
        <w:spacing w:after="0" w:line="189" w:lineRule="auto"/>
        <w:tabs>
          <w:tab w:leader="none" w:pos="540" w:val="left"/>
        </w:tabs>
        <w:numPr>
          <w:ilvl w:val="0"/>
          <w:numId w:val="72"/>
        </w:numPr>
        <w:rPr>
          <w:rFonts w:ascii="Arial" w:cs="Arial" w:eastAsia="Arial" w:hAnsi="Arial"/>
          <w:sz w:val="19"/>
          <w:szCs w:val="19"/>
          <w:color w:val="auto"/>
          <w:vertAlign w:val="superscript"/>
        </w:rPr>
      </w:pPr>
      <w:r>
        <w:rPr>
          <w:rFonts w:ascii="Arial" w:cs="Arial" w:eastAsia="Arial" w:hAnsi="Arial"/>
          <w:sz w:val="12"/>
          <w:szCs w:val="12"/>
          <w:color w:val="auto"/>
        </w:rPr>
        <w:t>Member of the corporate governance and nominating committee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62"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i w:val="1"/>
          <w:iCs w:val="1"/>
          <w:color w:val="auto"/>
        </w:rPr>
        <w:t xml:space="preserve">Jaume Pons, Ph.D. </w:t>
      </w:r>
      <w:r>
        <w:rPr>
          <w:rFonts w:ascii="Arial" w:cs="Arial" w:eastAsia="Arial" w:hAnsi="Arial"/>
          <w:sz w:val="17"/>
          <w:szCs w:val="17"/>
          <w:color w:val="auto"/>
        </w:rPr>
        <w:t>has served as our President, Chief Executive Officer and a member of our board of directors since April 2015. He has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Scientific Advisor at Lightstone Ventures, a venture capital fund, since January 2019 and as a Venture Partner at venBio Partners, a venture capital firm, since January 2017. Prior to joining us, Dr. Pons was with Pfizer, Inc., a biopharmaceutical company, where he served as Senior Vice President and a member of the Pfizer Worldwide Research and Development Leadership Team and Chief Technology Officer for Pfizer Biotherapeutics from September 2009 to February 2015. From October 2007 to February 2015, he served as Chief Scientific Officer at Rinat Neuroscience Corporation, a subsidiary of Pfizer. Dr. Pons holds a B.S. in Biochemistry from Autonomous University of Barcelona and an M.S. in Biotechnology and a Ph.D. in Molecular and Cell Biology from the Institute on Fundamental Biology, Barcelona (Autonomous University of Barcelona)</w:t>
      </w:r>
      <w:r>
        <w:rPr>
          <w:rFonts w:ascii="Arial" w:cs="Arial" w:eastAsia="Arial" w:hAnsi="Arial"/>
          <w:sz w:val="17"/>
          <w:szCs w:val="17"/>
          <w:i w:val="1"/>
          <w:iCs w:val="1"/>
          <w:color w:val="auto"/>
        </w:rPr>
        <w:t>.</w:t>
      </w:r>
    </w:p>
    <w:p>
      <w:pPr>
        <w:spacing w:after="0" w:line="148"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We believe Dr. Pons is qualified to serve on our board of directors because of the perspective and experience he brings as our Chief Executive Officer, his experience in leadership positions in the biotechnology industry, his educational background and his strong scientific knowledge.</w:t>
      </w:r>
    </w:p>
    <w:p>
      <w:pPr>
        <w:spacing w:after="0" w:line="126"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i w:val="1"/>
          <w:iCs w:val="1"/>
          <w:color w:val="auto"/>
        </w:rPr>
        <w:t xml:space="preserve">Peter Garcia </w:t>
      </w:r>
      <w:r>
        <w:rPr>
          <w:rFonts w:ascii="Arial" w:cs="Arial" w:eastAsia="Arial" w:hAnsi="Arial"/>
          <w:sz w:val="17"/>
          <w:szCs w:val="17"/>
          <w:color w:val="auto"/>
        </w:rPr>
        <w:t>has served as our Chief Financial Officer since January 2020. Prior to joining us, he served as Vice President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from May 2013 until August 2019 and as Acting Chief Accounting Officer from May 2013 until July 2013 at PDL BioPharma, Inc., an acquirer of royalties and pharmaceutical assets. From October 2011 to May 2013, Mr. Garcia served as Chief Financial Officer at BioTime, Inc., a clinical-stage biotechnology company now known as Lineage Cell Therapeutics. He previously served as Chief Financial Officer of six biotechnology and high technology companies, including Marina Biotech, Nanosys, Nuvelo, Novacept, IntraBiotics Pharmaceuticals and Dendreon. Mr. Garcia holds a B.A. in Economics and Sociology from Stanford University and an M.B.A. from the University of California, Los Angeles.</w:t>
      </w:r>
    </w:p>
    <w:p>
      <w:pPr>
        <w:spacing w:after="0" w:line="134"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i w:val="1"/>
          <w:iCs w:val="1"/>
          <w:color w:val="auto"/>
        </w:rPr>
        <w:t xml:space="preserve">Steffen Pietzke </w:t>
      </w:r>
      <w:r>
        <w:rPr>
          <w:rFonts w:ascii="Arial" w:cs="Arial" w:eastAsia="Arial" w:hAnsi="Arial"/>
          <w:sz w:val="17"/>
          <w:szCs w:val="17"/>
          <w:color w:val="auto"/>
        </w:rPr>
        <w:t>has served as our Vice President, Finance and Chief Accounting Officer since March 2020. Prior to joining us,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Finance and Chief Accounting Officer at Tricida, Inc., a biotechnology company, from April 2018 to March 2020. From June 2015 to April 2018, Mr. Pietzke served as Vice President, Finance and Chief Accounting Officer at PDL BioPharma. From July 2013 to June 2015, he served as a Senior</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700"/>
        <w:spacing w:after="0" w:line="238" w:lineRule="auto"/>
        <w:rPr>
          <w:sz w:val="20"/>
          <w:szCs w:val="20"/>
          <w:color w:val="auto"/>
        </w:rPr>
      </w:pPr>
      <w:r>
        <w:rPr>
          <w:rFonts w:ascii="Arial" w:cs="Arial" w:eastAsia="Arial" w:hAnsi="Arial"/>
          <w:sz w:val="17"/>
          <w:szCs w:val="17"/>
          <w:color w:val="auto"/>
        </w:rPr>
        <w:t>Manager with Ernst &amp; Young LLP, a professional services firm. From September 2000 to June 2013, Mr. Pietzke was with PricewaterhouseCoopers LLP, a professional services firm, where he served most recently as a Senior Manager. He holds a Bachelor of Business Science in Accounting from the University of Applied Sciences in Offenburg, Germany and is a certified public accountant.</w:t>
      </w:r>
    </w:p>
    <w:p>
      <w:pPr>
        <w:spacing w:after="0" w:line="129" w:lineRule="exact"/>
        <w:rPr>
          <w:sz w:val="20"/>
          <w:szCs w:val="20"/>
          <w:color w:val="auto"/>
        </w:rPr>
      </w:pPr>
    </w:p>
    <w:p>
      <w:pPr>
        <w:ind w:left="120" w:right="20"/>
        <w:spacing w:after="0"/>
        <w:rPr>
          <w:sz w:val="20"/>
          <w:szCs w:val="20"/>
          <w:color w:val="auto"/>
        </w:rPr>
      </w:pPr>
      <w:r>
        <w:rPr>
          <w:rFonts w:ascii="Arial" w:cs="Arial" w:eastAsia="Arial" w:hAnsi="Arial"/>
          <w:sz w:val="17"/>
          <w:szCs w:val="17"/>
          <w:i w:val="1"/>
          <w:iCs w:val="1"/>
          <w:color w:val="auto"/>
        </w:rPr>
        <w:t xml:space="preserve">Sophia Randolph, M.D., Ph.D. </w:t>
      </w:r>
      <w:r>
        <w:rPr>
          <w:rFonts w:ascii="Arial" w:cs="Arial" w:eastAsia="Arial" w:hAnsi="Arial"/>
          <w:sz w:val="17"/>
          <w:szCs w:val="17"/>
          <w:color w:val="auto"/>
        </w:rPr>
        <w:t>has served as our Chief Medical Officer since June 2016. Prior to joining us, she was with Pfizer Oncology Early</w:t>
      </w:r>
      <w:r>
        <w:rPr>
          <w:rFonts w:ascii="Arial" w:cs="Arial" w:eastAsia="Arial" w:hAnsi="Arial"/>
          <w:sz w:val="17"/>
          <w:szCs w:val="17"/>
          <w:i w:val="1"/>
          <w:iCs w:val="1"/>
          <w:color w:val="auto"/>
        </w:rPr>
        <w:t xml:space="preserve"> </w:t>
      </w:r>
      <w:r>
        <w:rPr>
          <w:rFonts w:ascii="Arial" w:cs="Arial" w:eastAsia="Arial" w:hAnsi="Arial"/>
          <w:sz w:val="17"/>
          <w:szCs w:val="17"/>
          <w:color w:val="auto"/>
        </w:rPr>
        <w:t>and Late Development Groups from June 2008 to April 2016, where she served most recently as Executive Director, Oncology from June 2015 to April 2016. From June 2007 to May 2008, Dr. Randolph served as Director, Clinical Sciences, Oncology at Merck, a pharmaceutical company. She holds an A.B. in Biochemistry from Harvard University and an M.D. and a Ph.D. in Cellular and Molecular Biology from the University of Michigan. Dr. Randolph completed her oncology fellowship training at Seattle Cancer Care Alliance/Fred Hutchinson Cancer Research Center.</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Non-Employee Directors</w:t>
      </w:r>
    </w:p>
    <w:p>
      <w:pPr>
        <w:spacing w:after="0" w:line="7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 xml:space="preserve">Corey Goodman, Ph.D. </w:t>
      </w:r>
      <w:r>
        <w:rPr>
          <w:rFonts w:ascii="Arial" w:cs="Arial" w:eastAsia="Arial" w:hAnsi="Arial"/>
          <w:sz w:val="17"/>
          <w:szCs w:val="17"/>
          <w:color w:val="auto"/>
        </w:rPr>
        <w:t>is our co-founder and has served as a member of our board of directors and as Executive Chairman since March 2015.</w:t>
      </w:r>
      <w:r>
        <w:rPr>
          <w:rFonts w:ascii="Arial" w:cs="Arial" w:eastAsia="Arial" w:hAnsi="Arial"/>
          <w:sz w:val="17"/>
          <w:szCs w:val="17"/>
          <w:i w:val="1"/>
          <w:iCs w:val="1"/>
          <w:color w:val="auto"/>
        </w:rPr>
        <w:t xml:space="preserve"> </w:t>
      </w:r>
      <w:r>
        <w:rPr>
          <w:rFonts w:ascii="Arial" w:cs="Arial" w:eastAsia="Arial" w:hAnsi="Arial"/>
          <w:sz w:val="17"/>
          <w:szCs w:val="17"/>
          <w:color w:val="auto"/>
        </w:rPr>
        <w:t>He co-founded and has served as a Managing Partner of venBio Partners since March 2010. Dr. Goodman founded Labrys, a biopharmaceutical company acquired by Teva, where he served as chairman and as a member of the board of directors from December 2012 to June 2014. He founded Pfizer’s Biotherapeutics and Bioinnovation Center where he served as President and a member of Pfizer’s Executive Leadership Team from October 2007 until May 2009. He co-founded Renovis, a biopharmaceutical company acquired by Evotec, where he served as President, Chief Executive Officer and a director from September 2001 October 2007. He is a former tenured biology professor at both Stanford University and the University of California, Berkeley, the co-founder of U.C. Berkeley’s Wills Neuroscience Institute, Investigator with the Howard Hughes Medical Institute and currently is an adjunct professor at U.C. Berkeley. Dr. Goodman is a member of the U.S. National Academy of Sciences, the American Academy of Arts &amp; Sciences and the American Philosophical Society and a recipient of the 2020 Gruber Neuroscience Prize. He currently serves as chairman and as a member of the board of directors of several privately held biotechnology companies. Dr. Goodman holds a B.S. in Biology from Stanford University and a Ph.D. in Neurobiology from U.C. Berkeley and was a postdoctoral fellow at the University of California, San Diego.</w:t>
      </w:r>
    </w:p>
    <w:p>
      <w:pPr>
        <w:spacing w:after="0" w:line="15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believe Dr. Goodman is qualified to serve on our board of directors due to his experience founding and managing biotechnology companies in both the private and public markets.</w:t>
      </w:r>
    </w:p>
    <w:p>
      <w:pPr>
        <w:spacing w:after="0" w:line="12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i w:val="1"/>
          <w:iCs w:val="1"/>
          <w:color w:val="auto"/>
        </w:rPr>
        <w:t xml:space="preserve">Rekha Hemrajani </w:t>
      </w:r>
      <w:r>
        <w:rPr>
          <w:rFonts w:ascii="Arial" w:cs="Arial" w:eastAsia="Arial" w:hAnsi="Arial"/>
          <w:sz w:val="17"/>
          <w:szCs w:val="17"/>
          <w:color w:val="auto"/>
        </w:rPr>
        <w:t>has served as a member of our board of directors since April 2020. She is currently Chief Executive Officer and Director of Jiya</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Corporation. She previously served as President and Chief Executive Officer of 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FLX Bio, Inc. (now RAPT Therapeutics, Inc.), a biotechnology company. From February 2015 to March 2016, Ms. Hemrajani served as Chief Financial Officer and Senior Vice President of Business and Financial Operations at 3-V Biosciences, Inc. (now Sagimet Biosciences, Inc.), a biotechnology company. From November 2013 to January 2015, Ms. Hemrajani advised privately held companies on strategic corporate development and financing activities at Ravinia Consulting, a consulting firm she founded. Ms. Hemrajani currently serves as a director at Adverum Biotechnologies, Inc., a clinical-stage gene therapy company, and previously served as a director at Aravive. She holds a B.S. in Economics and Computer Science from the University of Michigan and an M.B.A. from the Kellogg Graduate School of Management at Northwestern University.</w:t>
      </w:r>
    </w:p>
    <w:p>
      <w:pPr>
        <w:spacing w:after="0" w:line="148"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We believe Ms. Hemrajani is qualified to serve on our board of directors due to her executive and financial experience at multiple companies in the biopharmaceutical and biotechnology industries.</w:t>
      </w:r>
    </w:p>
    <w:p>
      <w:pPr>
        <w:spacing w:after="0" w:line="126"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i w:val="1"/>
          <w:iCs w:val="1"/>
          <w:color w:val="auto"/>
        </w:rPr>
        <w:t xml:space="preserve">Jason Lettmann </w:t>
      </w:r>
      <w:r>
        <w:rPr>
          <w:rFonts w:ascii="Arial" w:cs="Arial" w:eastAsia="Arial" w:hAnsi="Arial"/>
          <w:sz w:val="17"/>
          <w:szCs w:val="17"/>
          <w:color w:val="auto"/>
        </w:rPr>
        <w:t>has served as a member of our board of directors since April 2020 and previously served as a member of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from March 2015 to May 2017. Mr. Lettmann has served as a General Partner of Lightstone Ventures since March 2012 and as a Partner at Morgenthaler Ventures, a venture capital and private equity firm, since June 2009. He previously served as Chief Executive Officer of Promedior Inc., a biotechnology company acquired by Roche, from January 2019 to February 2020 and as a Vice President at Split Rock Partners, a</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venture capital firm, from June 2006 to June 2009. Mr. Lettmann currently serves as a member of the board of directors of several privately-held companies and previously served as a director of Ra Pharmaceuticals, a clinical-stage pharmaceutical company acquired by UCB. Mr. Lettmann holds a B.A. in Psychology from the University of Iowa and an M.B.A. from the University of Michigan’s Ross School of Business.</w:t>
      </w:r>
    </w:p>
    <w:p>
      <w:pPr>
        <w:spacing w:after="0" w:line="147"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We believe Mr. Lettmann is qualified to serve on our board of directors because of his industry experience, his experience serving on the boards of directors for multiple life sciences companies and his extensive experience with venture capital investments.</w:t>
      </w:r>
    </w:p>
    <w:p>
      <w:pPr>
        <w:spacing w:after="0" w:line="12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i w:val="1"/>
          <w:iCs w:val="1"/>
          <w:color w:val="auto"/>
        </w:rPr>
        <w:t xml:space="preserve">Jack Nielsen </w:t>
      </w:r>
      <w:r>
        <w:rPr>
          <w:rFonts w:ascii="Arial" w:cs="Arial" w:eastAsia="Arial" w:hAnsi="Arial"/>
          <w:sz w:val="17"/>
          <w:szCs w:val="17"/>
          <w:color w:val="auto"/>
        </w:rPr>
        <w:t>has served as a member of our board of directors since February 2020. Mr. Nielsen has served as a Managing Director at Vivo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LLC, a healthcare focused investment firm, since August 2017, and previously served as a consultant from March 2017 to July 2017. From 2001 to February 2017, Mr. Nielsen was with the Novo A/S (Novozymes) organization and its venture activities in several roles, most recently as a Senior Partner based in Copenhagen, Denmark. From May 2006 to August 2012, Mr. Nielsen was a Partner at Novo Ventures (US) in San Francisco, where he established the office that provides certain consultancy services to Novo A/S. He currently serves as a member of the board of directors of Aligos Therapeutics Inc., a biotechnology company, Harmony Biosciences Holdings Inc., a pharmaceutical company, and Reata Pharmaceuticals, a pharmaceutical company, and previously served as a director of Akebia Therapeutics, Apollo Endosurgery, Crinetics Pharmaceuticals and Merus, N.V. Mr. Nielsen holds an M.Sc. in Chemical Engineering from the Technical University of Denmark and a Masters in Management of Technology from Center for Technology, Economics and Management, Technical University of Denmark.</w:t>
      </w:r>
    </w:p>
    <w:p>
      <w:pPr>
        <w:spacing w:after="0" w:line="151"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We believe Mr. Nielsen is qualified to serve on our board of directors because of his experience working in the biotechnology industry, his experience as a venture capital investor and his board service for several companies in the biotechnology sector.</w:t>
      </w:r>
    </w:p>
    <w:p>
      <w:pPr>
        <w:spacing w:after="0" w:line="12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i w:val="1"/>
          <w:iCs w:val="1"/>
          <w:color w:val="auto"/>
        </w:rPr>
        <w:t xml:space="preserve">Graham Walmsley, M.D., Ph.D. </w:t>
      </w:r>
      <w:r>
        <w:rPr>
          <w:rFonts w:ascii="Arial" w:cs="Arial" w:eastAsia="Arial" w:hAnsi="Arial"/>
          <w:sz w:val="17"/>
          <w:szCs w:val="17"/>
          <w:color w:val="auto"/>
        </w:rPr>
        <w:t>has served as a member of our board of directors since February 2020. Dr. Walmsley is a Founding Member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a Managing Partner of Logos Global Management, LP, a biotechnology-focused hedge fund, since August 2019. From July 2016 to August 2019, he served as a Principal at Versant Ventures, a healthcare focused venture capital firm. Dr. Walmsley served as Head of Business Development at Pipeline Therapeutics Inc., a biotechnology company, from April 2018 to December 2018 and as Head of Business Development at Jecure Therapeutics, Inc., a biotechnology company, from June 2017 until its acquisition by Genentech, a subsidiary of Roche, in November 2018. He currently serves as a member of the board of directors of Akero Therapeutics and Olema Pharmaceuticals, both Nasdaq-listed biotechnology companies, and LifeSci Acquisition II Corporation, a special purpose acquisition company. Dr. Walmsley received a B.A. in Molecular and Cell Biology from the University of California, Berkeley in June 2009 and a Ph.D. and an M.D. in Stem Cell Biology and Regenerative Medicine from Stanford University School of Medicine in June 2016 and June 2018, respectively.</w:t>
      </w:r>
    </w:p>
    <w:p>
      <w:pPr>
        <w:spacing w:after="0" w:line="151"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We believe Dr. Walmsley is qualified to serve on our board of directors because of his significant experience in the healthcare and biotechnology industry, his educational background and his experience as a director for companies in the biotechnology sector.</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Key Employee</w:t>
      </w:r>
    </w:p>
    <w:p>
      <w:pPr>
        <w:spacing w:after="0" w:line="77" w:lineRule="exact"/>
        <w:rPr>
          <w:sz w:val="20"/>
          <w:szCs w:val="20"/>
          <w:color w:val="auto"/>
        </w:rPr>
      </w:pPr>
    </w:p>
    <w:p>
      <w:pPr>
        <w:ind w:left="120" w:right="120"/>
        <w:spacing w:after="0" w:line="237" w:lineRule="auto"/>
        <w:rPr>
          <w:sz w:val="20"/>
          <w:szCs w:val="20"/>
          <w:color w:val="auto"/>
        </w:rPr>
      </w:pPr>
      <w:r>
        <w:rPr>
          <w:rFonts w:ascii="Arial" w:cs="Arial" w:eastAsia="Arial" w:hAnsi="Arial"/>
          <w:sz w:val="17"/>
          <w:szCs w:val="17"/>
          <w:i w:val="1"/>
          <w:iCs w:val="1"/>
          <w:color w:val="auto"/>
        </w:rPr>
        <w:t xml:space="preserve">Jeanne Jew </w:t>
      </w:r>
      <w:r>
        <w:rPr>
          <w:rFonts w:ascii="Arial" w:cs="Arial" w:eastAsia="Arial" w:hAnsi="Arial"/>
          <w:sz w:val="17"/>
          <w:szCs w:val="17"/>
          <w:color w:val="auto"/>
        </w:rPr>
        <w:t>has served as our Chief Business Officer since August 2020. Prior to joining us, she served as Senior Vice President,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Paratek Pharmaceuticals from July 2015 to March 2020. From April 2008 to June 2015, Ms. Jew served as Senior Vice President, Business Development for KaloBios Pharmaceuticals. Prior to that, Ms. Jew was Vice President, Corporate and Commercial Development at Onyx Pharmaceuticals from 2002 to 2007. Previously, Ms. Jew held business development positions at Coulter Pharmaceutical and became Vice President, Business Development following the acquisition of Coulter Pharmaceutical by Corixa Corporation. Earlier in her career, Ms. Jew also held business development positions at Scios, Inc. and Genentech, Inc. Ms. Jew holds a B.A.in Psychology from Wesleyan University and an M.B.A. from Cornell University.</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Board Composition</w:t>
      </w:r>
    </w:p>
    <w:p>
      <w:pPr>
        <w:spacing w:after="0" w:line="81"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7"/>
          <w:szCs w:val="17"/>
          <w:color w:val="auto"/>
        </w:rPr>
        <w:t>Our board of directors currently consists of six members. The number of directors is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Our amended and restated certificate of incorporation provides that our board of directors is divided into three classes with staggered three-year terms. Only one class of directors is elected at each annual meeting of stockholders, with the other classes continuing for the remainder of their respective three-year terms. Our current directors are divided among the three classes as follows:</w:t>
      </w:r>
    </w:p>
    <w:p>
      <w:pPr>
        <w:spacing w:after="0" w:line="188" w:lineRule="exact"/>
        <w:rPr>
          <w:sz w:val="20"/>
          <w:szCs w:val="20"/>
          <w:color w:val="auto"/>
        </w:rPr>
      </w:pPr>
    </w:p>
    <w:p>
      <w:pPr>
        <w:ind w:left="980" w:right="920" w:hanging="432"/>
        <w:spacing w:after="0" w:line="243"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the Class I directors are Corey Goodman, Ph.D., and Jason Lettmann, and their terms will expire at the annual meeting of stockholders to be held in 2021;</w:t>
      </w:r>
    </w:p>
    <w:p>
      <w:pPr>
        <w:spacing w:after="0" w:line="22"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the Class II directors are Jack Nielsen and Graham Walmsley, M.D., Ph.D., and their terms will expire at the annual meeting of stockholders to be held in 2022; and</w:t>
      </w:r>
    </w:p>
    <w:p>
      <w:pPr>
        <w:spacing w:after="0" w:line="22" w:lineRule="exact"/>
        <w:rPr>
          <w:rFonts w:ascii="MS PGothic" w:cs="MS PGothic" w:eastAsia="MS PGothic" w:hAnsi="MS PGothic"/>
          <w:sz w:val="13"/>
          <w:szCs w:val="13"/>
          <w:color w:val="auto"/>
        </w:rPr>
      </w:pPr>
    </w:p>
    <w:p>
      <w:pPr>
        <w:ind w:left="980" w:right="20" w:hanging="432"/>
        <w:spacing w:after="0" w:line="243"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the Class III directors are Jaume Pons, Ph.D., and Rekha Hemrajani, and their terms will expire at the annual meeting of stockholders to be held in 2023.</w:t>
      </w:r>
    </w:p>
    <w:p>
      <w:pPr>
        <w:spacing w:after="0" w:line="144"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classification of our board of directors may have the effect of delaying or preventing changes in control of our company.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common stock is listed on the Nasdaq Global Select Market. Under the rules of Nasdaq, independent directors must comprise a majority of a listed company’s board of directors within one year of the completion of our initial public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5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4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Corey Goodman, Ph.D., Rekha Hemrajani, Jason Lettmann, Jack Nielsen and Graham Walmsley, M.D., Ph.D., representing five of our six directors,</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080"/>
          </w:cols>
          <w:pgMar w:left="32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do not have a relationship that would interfere with the exercise of independent judgment in carrying out the responsibilities of a director and that each of these directors is “independent” as that term is defined under the rules of Nasdaq.</w:t>
      </w:r>
    </w:p>
    <w:p>
      <w:pPr>
        <w:spacing w:after="0" w:line="144"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9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board of directors is currently chaired by Dr. Goodman. As a general policy, our board of directors believes that separation of the positions of Executive Chairman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Pons serves as our Chief Executive Officer while Dr. Goodman serves as the Executive Chairman of our board of directors but is not an officer. We currently expect and intend the positions of Executive Chairman of our board of directors and Chief Executive Officer to continue to be held by two individuals in the future.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8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Our board of directors has an audit committee, a compensation committee and a corporate governance and nominating committee, each of which has the composition and the responsibilities described below.</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Audit Committee</w:t>
      </w:r>
    </w:p>
    <w:p>
      <w:pPr>
        <w:spacing w:after="0" w:line="41" w:lineRule="exact"/>
        <w:rPr>
          <w:sz w:val="20"/>
          <w:szCs w:val="20"/>
          <w:color w:val="auto"/>
        </w:rPr>
      </w:pPr>
    </w:p>
    <w:p>
      <w:pPr>
        <w:jc w:val="both"/>
        <w:ind w:left="120" w:right="180"/>
        <w:spacing w:after="0" w:line="236" w:lineRule="auto"/>
        <w:rPr>
          <w:sz w:val="20"/>
          <w:szCs w:val="20"/>
          <w:color w:val="auto"/>
        </w:rPr>
      </w:pPr>
      <w:r>
        <w:rPr>
          <w:rFonts w:ascii="Arial" w:cs="Arial" w:eastAsia="Arial" w:hAnsi="Arial"/>
          <w:sz w:val="17"/>
          <w:szCs w:val="17"/>
          <w:color w:val="auto"/>
        </w:rPr>
        <w:t>The members of our audit committee are Rekha Hemrajani, Jack Nielsen and Graham Walmsley, M.D., Ph.D. Ms. Hemrajani is the chair of our audit committee and is our audit committee 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also:</w:t>
      </w:r>
    </w:p>
    <w:p>
      <w:pPr>
        <w:spacing w:after="0" w:line="190" w:lineRule="exact"/>
        <w:rPr>
          <w:sz w:val="20"/>
          <w:szCs w:val="20"/>
          <w:color w:val="auto"/>
        </w:rPr>
      </w:pPr>
    </w:p>
    <w:p>
      <w:pPr>
        <w:ind w:left="980" w:hanging="432"/>
        <w:spacing w:after="0"/>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selects and hires the independent registered public accounting firm to audit our consolidated financial statements;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helps to ensure the independence and performance of the independent registered public accounting firm;</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approves audit and non-audit services and fees;</w:t>
      </w:r>
    </w:p>
    <w:p>
      <w:pPr>
        <w:spacing w:after="0" w:line="34"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reviews consolidated financial statements and discuss with management and the independent registered public accounting firm our annual audited and quarterly consolidated financial statements, the results of the independent audit and the quarterly reviews and the reports and certifications regarding internal controls over financial reporting and disclosure controls;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prepares the audit committee report that the SEC requires to be included in our annual proxy statement;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reviews reports and communications from the independent registered public accounting firm;</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reviews the adequacy and effectiveness of our internal controls and disclosure controls and procedure;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reviews our policies on risk assessment and risk management;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reviews related-party transactions; and</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establishes and oversees procedures for the receipt, retention and treatment of accounting related complaints and the confidential submission by our employees of concerns regarding questionable accounting or auditing matters.</w:t>
      </w:r>
    </w:p>
    <w:p>
      <w:pPr>
        <w:spacing w:after="0" w:line="144" w:lineRule="exact"/>
        <w:rPr>
          <w:sz w:val="20"/>
          <w:szCs w:val="20"/>
          <w:color w:val="auto"/>
        </w:rPr>
      </w:pPr>
    </w:p>
    <w:p>
      <w:pPr>
        <w:ind w:left="120" w:right="840"/>
        <w:spacing w:after="0" w:line="298" w:lineRule="auto"/>
        <w:rPr>
          <w:sz w:val="20"/>
          <w:szCs w:val="20"/>
          <w:color w:val="auto"/>
        </w:rPr>
      </w:pPr>
      <w:r>
        <w:rPr>
          <w:rFonts w:ascii="Arial" w:cs="Arial" w:eastAsia="Arial" w:hAnsi="Arial"/>
          <w:sz w:val="17"/>
          <w:szCs w:val="17"/>
          <w:color w:val="auto"/>
        </w:rPr>
        <w:t xml:space="preserve">Our audit committee operates under a written charter that satisfies the applicable rules of the SEC and the listing standards of Nasdaq. </w:t>
      </w:r>
      <w:r>
        <w:rPr>
          <w:rFonts w:ascii="Arial" w:cs="Arial" w:eastAsia="Arial" w:hAnsi="Arial"/>
          <w:sz w:val="17"/>
          <w:szCs w:val="17"/>
          <w:b w:val="1"/>
          <w:bCs w:val="1"/>
          <w:i w:val="1"/>
          <w:iCs w:val="1"/>
          <w:color w:val="auto"/>
        </w:rPr>
        <w:t>Compensation Committee</w:t>
      </w:r>
    </w:p>
    <w:p>
      <w:pPr>
        <w:spacing w:after="0" w:line="1"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7"/>
          <w:szCs w:val="17"/>
          <w:color w:val="auto"/>
        </w:rPr>
        <w:t>The members of our compensation committee are Corey Goodman, Ph.D., Jason Lettmann and Jack Nielsen. Dr. Goodman is the chair of our compensation committee. Our compensation committee oversees our compensation policies, plans and benefits programs. The compensation committee also:</w:t>
      </w:r>
    </w:p>
    <w:p>
      <w:pPr>
        <w:spacing w:after="0" w:line="188" w:lineRule="exact"/>
        <w:rPr>
          <w:sz w:val="20"/>
          <w:szCs w:val="20"/>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oversees our overall compensation philosophy and compensation policies, plans and benefit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reviews and approve or recommend to the board of directors for approval compensation for our executive officers and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prepares the compensation committee report that the SEC will require to be included in our annual proxy statement;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administers our equity compensation plans.</w:t>
      </w:r>
    </w:p>
    <w:p>
      <w:pPr>
        <w:spacing w:after="0" w:line="156" w:lineRule="exact"/>
        <w:rPr>
          <w:sz w:val="20"/>
          <w:szCs w:val="20"/>
          <w:color w:val="auto"/>
        </w:rPr>
      </w:pPr>
    </w:p>
    <w:p>
      <w:pPr>
        <w:ind w:left="120" w:right="140"/>
        <w:spacing w:after="0" w:line="298" w:lineRule="auto"/>
        <w:rPr>
          <w:sz w:val="20"/>
          <w:szCs w:val="20"/>
          <w:color w:val="auto"/>
        </w:rPr>
      </w:pPr>
      <w:r>
        <w:rPr>
          <w:rFonts w:ascii="Arial" w:cs="Arial" w:eastAsia="Arial" w:hAnsi="Arial"/>
          <w:sz w:val="17"/>
          <w:szCs w:val="17"/>
          <w:color w:val="auto"/>
        </w:rPr>
        <w:t xml:space="preserve">Our compensation committee operates under a written charter that satisfies the applicable rules of the SEC and the listing standards of Nasdaq. </w:t>
      </w:r>
      <w:r>
        <w:rPr>
          <w:rFonts w:ascii="Arial" w:cs="Arial" w:eastAsia="Arial" w:hAnsi="Arial"/>
          <w:sz w:val="17"/>
          <w:szCs w:val="17"/>
          <w:b w:val="1"/>
          <w:bCs w:val="1"/>
          <w:i w:val="1"/>
          <w:iCs w:val="1"/>
          <w:color w:val="auto"/>
        </w:rPr>
        <w:t>Corporate Governance and Nominating Committee</w:t>
      </w:r>
    </w:p>
    <w:p>
      <w:pPr>
        <w:spacing w:after="0" w:line="1"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The members of our corporate governance and nominating committee are Corey Goodman, Ph.D., Rekha Hemrajani, Jason Lettmann and Graham Walmsley, M.D., Ph.D. Mr. Lettmann is the chairman of our corporate governance and nominating committee. Our corporate governance and nominating committee oversees and assists our board of directors in reviewing and recommending nominees for election as directors. Specifically, the corporate governance and nominating committee:</w:t>
      </w:r>
    </w:p>
    <w:p>
      <w:pPr>
        <w:spacing w:after="0" w:line="190" w:lineRule="exact"/>
        <w:rPr>
          <w:sz w:val="20"/>
          <w:szCs w:val="20"/>
          <w:color w:val="auto"/>
        </w:rPr>
      </w:pPr>
    </w:p>
    <w:p>
      <w:pPr>
        <w:ind w:left="980" w:right="180" w:hanging="432"/>
        <w:spacing w:after="0" w:line="243"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identifies, evaluates and makes recommendations to our board of directors regarding nominees for election to our board of directors and its committees;</w:t>
      </w:r>
    </w:p>
    <w:p>
      <w:pPr>
        <w:spacing w:after="0" w:line="22" w:lineRule="exact"/>
        <w:rPr>
          <w:rFonts w:ascii="MS PGothic" w:cs="MS PGothic" w:eastAsia="MS PGothic" w:hAnsi="MS PGothic"/>
          <w:sz w:val="13"/>
          <w:szCs w:val="13"/>
          <w:color w:val="auto"/>
        </w:rPr>
      </w:pPr>
    </w:p>
    <w:p>
      <w:pPr>
        <w:ind w:left="980" w:right="840" w:hanging="432"/>
        <w:spacing w:after="0" w:line="243"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considers and makes recommendations to our board of directors regarding the composition of our board of directors and its committees;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reviews developments in corporate governance practices;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evaluates the adequacy of our corporate governance practices and reporting;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evaluates the performance of our board of directors and of individual directors.</w:t>
      </w:r>
    </w:p>
    <w:p>
      <w:pPr>
        <w:spacing w:after="0" w:line="156"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Our corporate governance and nominating committee operates under a written charter that satisfies the applicable rules of the SEC and the listing standards of Nasdaq.</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93"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As of September 30, 2020, none of our directors had received any cash or equity compensation for serving on our board of directors. This includes our current directors and Dr. Robert Adelman and Ms. Caroline Gaynor, each of whom served on our board of directors during the fiscal year ended December 31, 2019.</w:t>
      </w:r>
    </w:p>
    <w:p>
      <w:pPr>
        <w:spacing w:after="0" w:line="147" w:lineRule="exact"/>
        <w:rPr>
          <w:sz w:val="20"/>
          <w:szCs w:val="20"/>
          <w:color w:val="auto"/>
        </w:rPr>
      </w:pPr>
    </w:p>
    <w:p>
      <w:pPr>
        <w:ind w:left="120" w:right="700"/>
        <w:spacing w:after="0" w:line="243" w:lineRule="auto"/>
        <w:rPr>
          <w:sz w:val="20"/>
          <w:szCs w:val="20"/>
          <w:color w:val="auto"/>
        </w:rPr>
      </w:pPr>
      <w:r>
        <w:rPr>
          <w:rFonts w:ascii="Arial" w:cs="Arial" w:eastAsia="Arial" w:hAnsi="Arial"/>
          <w:sz w:val="17"/>
          <w:szCs w:val="17"/>
          <w:color w:val="auto"/>
        </w:rPr>
        <w:t>We do reimburse our directors for expenses associated with attending meetings of our board of directors and committees of our board of directors.</w:t>
      </w:r>
    </w:p>
    <w:p>
      <w:pPr>
        <w:spacing w:after="0" w:line="144"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Dr. Pons was our only employee director during 2019. See the section titled “Executive Compensation” for additional information about Dr. Pons’ compensation.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April 2020, we retained Compensia, a third-party compensation consultant, to provide our board of directors and its compensation committee with an analysis of publicly available market data, and assistance in determining, compensation to be provided to our non-employee directors on and after the effective date of our registration statement of which this prospectus forms a part. Based on the discussions with and assistance from Compensia, in July 2020, our board of directors adopted, and our stockholders approved, an Outside Director Compensation Policy that provides for certain compensation to our non-employee directors.</w:t>
      </w:r>
    </w:p>
    <w:p>
      <w:pPr>
        <w:spacing w:after="0" w:line="150"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In June 2020 and in connection with our initial public offering, our board of directors approved the grant of options to purchase 24,009 shares of our common stock to each of our directors, other than to Dr. Pons and Ms. Hemrajani, with an exercise price equal to the initial public offering price of our common stock, which were effective as of July 16, 2020. The grants are subject to the terms and conditions of our 2020 Plan and form of option agreement thereunder. Each of the options vests as to one thirty-sixth of the shares subject to the option on a monthly basis from the grant date, in each case subject to continued service through each applicable vesting date.</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Compensation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Outside Director Compensation Policy provides for the following cash compensation program for our non-employee directors:</w:t>
      </w:r>
    </w:p>
    <w:p>
      <w:pPr>
        <w:spacing w:after="0" w:line="196" w:lineRule="exact"/>
        <w:rPr>
          <w:sz w:val="20"/>
          <w:szCs w:val="20"/>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$40,000 per year for service as a non-employee director;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$30,000 per year for service as non-employee chair of our board of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$20,000 per year for service as chair of the audit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$7,500 per year for service as a member of the audit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$10,000 per year for service as chair of the compensation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$5,000 per year for service as a member of the compensation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$8,000 per year for service as chair of the corporate governance and nominating committee;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$4,000 per year for service as a member of the corporate governance and nominating committee.</w:t>
      </w:r>
    </w:p>
    <w:p>
      <w:pPr>
        <w:spacing w:after="0" w:line="156" w:lineRule="exact"/>
        <w:rPr>
          <w:sz w:val="20"/>
          <w:szCs w:val="20"/>
          <w:color w:val="auto"/>
        </w:rPr>
      </w:pPr>
    </w:p>
    <w:p>
      <w:pPr>
        <w:jc w:val="both"/>
        <w:ind w:left="120" w:right="340"/>
        <w:spacing w:after="0" w:line="236" w:lineRule="auto"/>
        <w:rPr>
          <w:sz w:val="20"/>
          <w:szCs w:val="20"/>
          <w:color w:val="auto"/>
        </w:rPr>
      </w:pPr>
      <w:r>
        <w:rPr>
          <w:rFonts w:ascii="Arial" w:cs="Arial" w:eastAsia="Arial" w:hAnsi="Arial"/>
          <w:sz w:val="17"/>
          <w:szCs w:val="17"/>
          <w:color w:val="auto"/>
        </w:rPr>
        <w:t>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2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i w:val="1"/>
          <w:iCs w:val="1"/>
          <w:color w:val="auto"/>
        </w:rPr>
        <w:t xml:space="preserve">Initial Award. </w:t>
      </w:r>
      <w:r>
        <w:rPr>
          <w:rFonts w:ascii="Arial" w:cs="Arial" w:eastAsia="Arial" w:hAnsi="Arial"/>
          <w:sz w:val="17"/>
          <w:szCs w:val="17"/>
          <w:color w:val="auto"/>
        </w:rPr>
        <w:t>Pursuant to our Outside Director Compensation Policy, each person who first becomes a non-employee director after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such policy will receive, on the first trading day on or after the date that the person first becomes a non-employee director, an initial award, or the Initial Award, of stock options to purchase 24,009 shares of our common stock.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3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i w:val="1"/>
          <w:iCs w:val="1"/>
          <w:color w:val="auto"/>
        </w:rPr>
        <w:t xml:space="preserve">Annual Award. </w:t>
      </w:r>
      <w:r>
        <w:rPr>
          <w:rFonts w:ascii="Arial" w:cs="Arial" w:eastAsia="Arial" w:hAnsi="Arial"/>
          <w:sz w:val="17"/>
          <w:szCs w:val="17"/>
          <w:color w:val="auto"/>
        </w:rPr>
        <w:t>Pursuant to our Outside Director Compensation Policy, each non-employee director automatically will receive, on the first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day immediately after the date of each annual meeting of our stockholders that occurs following the effective date of our Outside Director Compensation Policy, an annual award, or the Annual Award, of stock options to purchase 12,004 shares of our common stock, with such number of shares prorated if the recipient commenced service as a non-employee director after the date of the immediately prior annual meeting of our stockholders, based on the number of whole months of non-employee director service completed before the Annual Award’s grant date. Each Annual Award will be scheduled to vest as to one-twelfth of the shares of our common stock subject at grant to the Annual Award on a monthly basis following the Annual Award’s grant date, on the same day of the month as the grant date, or if earlier, the day immediately before the day of the next annual meeting of stockholders that occurs after the grant date of the Annual Award, subject to continued services to us through the applicable vesting dates.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100"/>
        <w:spacing w:after="0" w:line="248"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In the event of a change in control, as defined in our Amended and Restated 2020 Equity Incentive Plan, each non-employee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then outstanding equity awards covering shares of our common stock will accelerate vesting in full, provided that he or she remains a non-employee director through the date of our change in control.</w:t>
      </w:r>
    </w:p>
    <w:p>
      <w:pPr>
        <w:spacing w:after="0" w:line="123"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i w:val="1"/>
          <w:iCs w:val="1"/>
          <w:color w:val="auto"/>
        </w:rPr>
        <w:t>Other Award Terms</w:t>
      </w:r>
      <w:r>
        <w:rPr>
          <w:rFonts w:ascii="Arial" w:cs="Arial" w:eastAsia="Arial" w:hAnsi="Arial"/>
          <w:sz w:val="17"/>
          <w:szCs w:val="17"/>
          <w:color w:val="auto"/>
        </w:rPr>
        <w:t>. Each Initial Award and Annual Award will be granted under our Amended and Restated 2020 Equity Incentive Plan (or its</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plan, as applicable) and form of award agreement under such plan. These awards will have a maximum term to expiration of ten years from their grant and a per-share exercise price equal to 100% of the fair market value of a share of our common stock on the award’s grant date.</w:t>
      </w:r>
    </w:p>
    <w:p>
      <w:pPr>
        <w:spacing w:after="0" w:line="123" w:lineRule="exact"/>
        <w:rPr>
          <w:sz w:val="20"/>
          <w:szCs w:val="20"/>
          <w:color w:val="auto"/>
        </w:rPr>
      </w:pPr>
    </w:p>
    <w:p>
      <w:pPr>
        <w:ind w:left="120" w:right="60"/>
        <w:spacing w:after="0"/>
        <w:rPr>
          <w:sz w:val="20"/>
          <w:szCs w:val="20"/>
          <w:color w:val="auto"/>
        </w:rPr>
      </w:pPr>
      <w:r>
        <w:rPr>
          <w:rFonts w:ascii="Arial" w:cs="Arial" w:eastAsia="Arial" w:hAnsi="Arial"/>
          <w:sz w:val="17"/>
          <w:szCs w:val="17"/>
          <w:i w:val="1"/>
          <w:iCs w:val="1"/>
          <w:color w:val="auto"/>
        </w:rPr>
        <w:t xml:space="preserve">Director Compensation Limits. </w:t>
      </w:r>
      <w:r>
        <w:rPr>
          <w:rFonts w:ascii="Arial" w:cs="Arial" w:eastAsia="Arial" w:hAnsi="Arial"/>
          <w:sz w:val="17"/>
          <w:szCs w:val="17"/>
          <w:color w:val="auto"/>
        </w:rPr>
        <w:t>Our Outside Director Compensation Policy provides that in any fiscal year, a non-employee director may be paid</w:t>
      </w:r>
      <w:r>
        <w:rPr>
          <w:rFonts w:ascii="Arial" w:cs="Arial" w:eastAsia="Arial" w:hAnsi="Arial"/>
          <w:sz w:val="17"/>
          <w:szCs w:val="17"/>
          <w:i w:val="1"/>
          <w:iCs w:val="1"/>
          <w:color w:val="auto"/>
        </w:rPr>
        <w:t xml:space="preserve"> </w:t>
      </w:r>
      <w:r>
        <w:rPr>
          <w:rFonts w:ascii="Arial" w:cs="Arial" w:eastAsia="Arial" w:hAnsi="Arial"/>
          <w:sz w:val="17"/>
          <w:szCs w:val="17"/>
          <w:color w:val="auto"/>
        </w:rPr>
        <w:t>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our initial public offering, do not count toward this annual limit.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93"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board of directors has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http://alxoncology.com.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336"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Our named executive officers for the year ended December 31, 2019, which consist of our principal executive officer and the next two most highly compensated executive officers, are:</w:t>
      </w:r>
    </w:p>
    <w:p>
      <w:pPr>
        <w:spacing w:after="0" w:line="185" w:lineRule="exact"/>
        <w:rPr>
          <w:sz w:val="20"/>
          <w:szCs w:val="20"/>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Jaume Pons, Ph.D., our President and Chief Executive Officer;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Sophia Randolph, M.D., Ph.D., our Chief Medical Officer; and</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Hong Wan, Ph.D., our former Chief Scientific Officer, who resigned effective June 30, 2020 as described in “Certain Relationships and Related-Party Transactions—Tallac Therapeutics Agreements.”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 for Fiscal Year Ended December 31, 2019</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the compensation of our named executive officers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NON-EQUITY</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INCENTIVE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PLAN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AWARDS</w:t>
            </w:r>
          </w:p>
        </w:tc>
        <w:tc>
          <w:tcPr>
            <w:tcW w:w="13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COMPENSATION</w:t>
            </w: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0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160" w:type="dxa"/>
            <w:vAlign w:val="bottom"/>
          </w:tcPr>
          <w:p>
            <w:pPr>
              <w:spacing w:after="0"/>
              <w:rPr>
                <w:sz w:val="16"/>
                <w:szCs w:val="16"/>
                <w:color w:val="auto"/>
              </w:rPr>
            </w:pPr>
          </w:p>
        </w:tc>
        <w:tc>
          <w:tcPr>
            <w:tcW w:w="122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160" w:type="dxa"/>
            <w:vAlign w:val="bottom"/>
          </w:tcPr>
          <w:p>
            <w:pPr>
              <w:spacing w:after="0"/>
              <w:rPr>
                <w:sz w:val="16"/>
                <w:szCs w:val="16"/>
                <w:color w:val="auto"/>
              </w:rPr>
            </w:pPr>
          </w:p>
        </w:tc>
        <w:tc>
          <w:tcPr>
            <w:tcW w:w="72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Borders>
              <w:top w:val="single" w:sz="8" w:color="auto"/>
            </w:tcBorders>
            <w:shd w:val="clear" w:color="auto" w:fill="CCEEFF"/>
          </w:tcPr>
          <w:p>
            <w:pPr>
              <w:spacing w:after="0" w:line="152" w:lineRule="exact"/>
              <w:rPr>
                <w:sz w:val="20"/>
                <w:szCs w:val="20"/>
                <w:color w:val="auto"/>
              </w:rPr>
            </w:pPr>
            <w:r>
              <w:rPr>
                <w:rFonts w:ascii="Arial" w:cs="Arial" w:eastAsia="Arial" w:hAnsi="Arial"/>
                <w:sz w:val="17"/>
                <w:szCs w:val="17"/>
                <w:color w:val="auto"/>
              </w:rPr>
              <w:t>Jaume Pons, Ph.D.</w:t>
            </w:r>
          </w:p>
        </w:tc>
        <w:tc>
          <w:tcPr>
            <w:tcW w:w="40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80"/>
              <w:spacing w:after="0" w:line="152" w:lineRule="exact"/>
              <w:rPr>
                <w:sz w:val="20"/>
                <w:szCs w:val="20"/>
                <w:color w:val="auto"/>
              </w:rPr>
            </w:pPr>
            <w:r>
              <w:rPr>
                <w:rFonts w:ascii="Arial" w:cs="Arial" w:eastAsia="Arial" w:hAnsi="Arial"/>
                <w:sz w:val="17"/>
                <w:szCs w:val="17"/>
                <w:color w:val="auto"/>
                <w:w w:val="95"/>
              </w:rPr>
              <w:t>2019</w:t>
            </w:r>
          </w:p>
        </w:tc>
        <w:tc>
          <w:tcPr>
            <w:tcW w:w="1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422,300</w:t>
            </w: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134,002</w:t>
            </w:r>
          </w:p>
        </w:tc>
        <w:tc>
          <w:tcPr>
            <w:tcW w:w="16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147,900</w:t>
            </w: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704,202</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380" w:type="dxa"/>
            <w:vAlign w:val="bottom"/>
            <w:gridSpan w:val="2"/>
            <w:shd w:val="clear" w:color="auto" w:fill="CCEEFF"/>
          </w:tcPr>
          <w:p>
            <w:pPr>
              <w:ind w:left="500"/>
              <w:spacing w:after="0"/>
              <w:rPr>
                <w:sz w:val="20"/>
                <w:szCs w:val="20"/>
                <w:color w:val="auto"/>
              </w:rPr>
            </w:pPr>
            <w:r>
              <w:rPr>
                <w:rFonts w:ascii="Arial" w:cs="Arial" w:eastAsia="Arial" w:hAnsi="Arial"/>
                <w:sz w:val="17"/>
                <w:szCs w:val="17"/>
                <w:i w:val="1"/>
                <w:iCs w:val="1"/>
                <w:color w:val="auto"/>
              </w:rPr>
              <w:t>President and Chief Executive Officer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380" w:type="dxa"/>
            <w:vAlign w:val="bottom"/>
            <w:gridSpan w:val="2"/>
          </w:tcPr>
          <w:p>
            <w:pPr>
              <w:spacing w:after="0" w:line="165" w:lineRule="exact"/>
              <w:rPr>
                <w:sz w:val="20"/>
                <w:szCs w:val="20"/>
                <w:color w:val="auto"/>
              </w:rPr>
            </w:pPr>
            <w:r>
              <w:rPr>
                <w:rFonts w:ascii="Arial" w:cs="Arial" w:eastAsia="Arial" w:hAnsi="Arial"/>
                <w:sz w:val="17"/>
                <w:szCs w:val="17"/>
                <w:color w:val="auto"/>
              </w:rPr>
              <w:t>Sophia Randolph, M.D., Ph.D.</w:t>
            </w:r>
          </w:p>
        </w:tc>
        <w:tc>
          <w:tcPr>
            <w:tcW w:w="740" w:type="dxa"/>
            <w:vAlign w:val="bottom"/>
            <w:gridSpan w:val="3"/>
          </w:tcPr>
          <w:p>
            <w:pPr>
              <w:ind w:left="180"/>
              <w:spacing w:after="0" w:line="165" w:lineRule="exact"/>
              <w:rPr>
                <w:sz w:val="20"/>
                <w:szCs w:val="20"/>
                <w:color w:val="auto"/>
              </w:rPr>
            </w:pPr>
            <w:r>
              <w:rPr>
                <w:rFonts w:ascii="Arial" w:cs="Arial" w:eastAsia="Arial" w:hAnsi="Arial"/>
                <w:sz w:val="17"/>
                <w:szCs w:val="17"/>
                <w:color w:val="auto"/>
              </w:rPr>
              <w:t>2019</w:t>
            </w:r>
          </w:p>
        </w:tc>
        <w:tc>
          <w:tcPr>
            <w:tcW w:w="860" w:type="dxa"/>
            <w:vAlign w:val="bottom"/>
            <w:gridSpan w:val="2"/>
          </w:tcPr>
          <w:p>
            <w:pPr>
              <w:jc w:val="right"/>
              <w:ind w:right="160"/>
              <w:spacing w:after="0" w:line="165" w:lineRule="exact"/>
              <w:rPr>
                <w:sz w:val="20"/>
                <w:szCs w:val="20"/>
                <w:color w:val="auto"/>
              </w:rPr>
            </w:pPr>
            <w:r>
              <w:rPr>
                <w:rFonts w:ascii="Arial" w:cs="Arial" w:eastAsia="Arial" w:hAnsi="Arial"/>
                <w:sz w:val="17"/>
                <w:szCs w:val="17"/>
                <w:color w:val="auto"/>
              </w:rPr>
              <w:t>351,100</w:t>
            </w:r>
          </w:p>
        </w:tc>
        <w:tc>
          <w:tcPr>
            <w:tcW w:w="860" w:type="dxa"/>
            <w:vAlign w:val="bottom"/>
            <w:gridSpan w:val="2"/>
          </w:tcPr>
          <w:p>
            <w:pPr>
              <w:jc w:val="right"/>
              <w:ind w:right="160"/>
              <w:spacing w:after="0" w:line="165" w:lineRule="exact"/>
              <w:rPr>
                <w:sz w:val="20"/>
                <w:szCs w:val="20"/>
                <w:color w:val="auto"/>
              </w:rPr>
            </w:pPr>
            <w:r>
              <w:rPr>
                <w:rFonts w:ascii="Arial" w:cs="Arial" w:eastAsia="Arial" w:hAnsi="Arial"/>
                <w:sz w:val="17"/>
                <w:szCs w:val="17"/>
                <w:color w:val="auto"/>
              </w:rPr>
              <w:t>40,834</w:t>
            </w:r>
          </w:p>
        </w:tc>
        <w:tc>
          <w:tcPr>
            <w:tcW w:w="1380" w:type="dxa"/>
            <w:vAlign w:val="bottom"/>
            <w:gridSpan w:val="2"/>
          </w:tcPr>
          <w:p>
            <w:pPr>
              <w:jc w:val="right"/>
              <w:ind w:right="160"/>
              <w:spacing w:after="0" w:line="165" w:lineRule="exact"/>
              <w:rPr>
                <w:sz w:val="20"/>
                <w:szCs w:val="20"/>
                <w:color w:val="auto"/>
              </w:rPr>
            </w:pPr>
            <w:r>
              <w:rPr>
                <w:rFonts w:ascii="Arial" w:cs="Arial" w:eastAsia="Arial" w:hAnsi="Arial"/>
                <w:sz w:val="17"/>
                <w:szCs w:val="17"/>
                <w:color w:val="auto"/>
              </w:rPr>
              <w:t>105,400</w:t>
            </w:r>
          </w:p>
        </w:tc>
        <w:tc>
          <w:tcPr>
            <w:tcW w:w="800" w:type="dxa"/>
            <w:vAlign w:val="bottom"/>
            <w:gridSpan w:val="2"/>
          </w:tcPr>
          <w:p>
            <w:pPr>
              <w:jc w:val="right"/>
              <w:ind w:right="80"/>
              <w:spacing w:after="0" w:line="165" w:lineRule="exact"/>
              <w:rPr>
                <w:sz w:val="20"/>
                <w:szCs w:val="20"/>
                <w:color w:val="auto"/>
              </w:rPr>
            </w:pPr>
            <w:r>
              <w:rPr>
                <w:rFonts w:ascii="Arial" w:cs="Arial" w:eastAsia="Arial" w:hAnsi="Arial"/>
                <w:sz w:val="17"/>
                <w:szCs w:val="17"/>
                <w:color w:val="auto"/>
              </w:rPr>
              <w:t>497,334</w:t>
            </w:r>
          </w:p>
        </w:tc>
        <w:tc>
          <w:tcPr>
            <w:tcW w:w="0" w:type="dxa"/>
            <w:vAlign w:val="bottom"/>
          </w:tcPr>
          <w:p>
            <w:pPr>
              <w:spacing w:after="0"/>
              <w:rPr>
                <w:sz w:val="1"/>
                <w:szCs w:val="1"/>
                <w:color w:val="auto"/>
              </w:rPr>
            </w:pPr>
          </w:p>
        </w:tc>
      </w:tr>
      <w:tr>
        <w:trPr>
          <w:trHeight w:val="213"/>
        </w:trPr>
        <w:tc>
          <w:tcPr>
            <w:tcW w:w="6380" w:type="dxa"/>
            <w:vAlign w:val="bottom"/>
            <w:gridSpan w:val="2"/>
          </w:tcPr>
          <w:p>
            <w:pPr>
              <w:ind w:left="500"/>
              <w:spacing w:after="0"/>
              <w:rPr>
                <w:sz w:val="20"/>
                <w:szCs w:val="20"/>
                <w:color w:val="auto"/>
              </w:rPr>
            </w:pPr>
            <w:r>
              <w:rPr>
                <w:rFonts w:ascii="Arial" w:cs="Arial" w:eastAsia="Arial" w:hAnsi="Arial"/>
                <w:sz w:val="17"/>
                <w:szCs w:val="17"/>
                <w:i w:val="1"/>
                <w:iCs w:val="1"/>
                <w:color w:val="auto"/>
              </w:rPr>
              <w:t>Chief Medical Officer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380" w:type="dxa"/>
            <w:vAlign w:val="bottom"/>
            <w:gridSpan w:val="2"/>
            <w:shd w:val="clear" w:color="auto" w:fill="CCEEFF"/>
          </w:tcPr>
          <w:p>
            <w:pPr>
              <w:spacing w:after="0" w:line="165" w:lineRule="exact"/>
              <w:rPr>
                <w:sz w:val="20"/>
                <w:szCs w:val="20"/>
                <w:color w:val="auto"/>
              </w:rPr>
            </w:pPr>
            <w:r>
              <w:rPr>
                <w:rFonts w:ascii="Arial" w:cs="Arial" w:eastAsia="Arial" w:hAnsi="Arial"/>
                <w:sz w:val="17"/>
                <w:szCs w:val="17"/>
                <w:color w:val="auto"/>
              </w:rPr>
              <w:t>Hong Wan, Ph.D.</w:t>
            </w:r>
          </w:p>
        </w:tc>
        <w:tc>
          <w:tcPr>
            <w:tcW w:w="740" w:type="dxa"/>
            <w:vAlign w:val="bottom"/>
            <w:gridSpan w:val="3"/>
            <w:shd w:val="clear" w:color="auto" w:fill="CCEEFF"/>
          </w:tcPr>
          <w:p>
            <w:pPr>
              <w:ind w:left="180"/>
              <w:spacing w:after="0" w:line="165" w:lineRule="exact"/>
              <w:rPr>
                <w:sz w:val="20"/>
                <w:szCs w:val="20"/>
                <w:color w:val="auto"/>
              </w:rPr>
            </w:pPr>
            <w:r>
              <w:rPr>
                <w:rFonts w:ascii="Arial" w:cs="Arial" w:eastAsia="Arial" w:hAnsi="Arial"/>
                <w:sz w:val="17"/>
                <w:szCs w:val="17"/>
                <w:color w:val="auto"/>
              </w:rPr>
              <w:t>2019</w:t>
            </w:r>
          </w:p>
        </w:tc>
        <w:tc>
          <w:tcPr>
            <w:tcW w:w="860" w:type="dxa"/>
            <w:vAlign w:val="bottom"/>
            <w:gridSpan w:val="2"/>
            <w:shd w:val="clear" w:color="auto" w:fill="CCEEFF"/>
          </w:tcPr>
          <w:p>
            <w:pPr>
              <w:jc w:val="right"/>
              <w:ind w:right="160"/>
              <w:spacing w:after="0" w:line="165" w:lineRule="exact"/>
              <w:rPr>
                <w:sz w:val="20"/>
                <w:szCs w:val="20"/>
                <w:color w:val="auto"/>
              </w:rPr>
            </w:pPr>
            <w:r>
              <w:rPr>
                <w:rFonts w:ascii="Arial" w:cs="Arial" w:eastAsia="Arial" w:hAnsi="Arial"/>
                <w:sz w:val="17"/>
                <w:szCs w:val="17"/>
                <w:color w:val="auto"/>
              </w:rPr>
              <w:t>313,100</w:t>
            </w:r>
          </w:p>
        </w:tc>
        <w:tc>
          <w:tcPr>
            <w:tcW w:w="860" w:type="dxa"/>
            <w:vAlign w:val="bottom"/>
            <w:gridSpan w:val="2"/>
            <w:shd w:val="clear" w:color="auto" w:fill="CCEEFF"/>
          </w:tcPr>
          <w:p>
            <w:pPr>
              <w:jc w:val="right"/>
              <w:ind w:right="160"/>
              <w:spacing w:after="0" w:line="165" w:lineRule="exact"/>
              <w:rPr>
                <w:sz w:val="20"/>
                <w:szCs w:val="20"/>
                <w:color w:val="auto"/>
              </w:rPr>
            </w:pPr>
            <w:r>
              <w:rPr>
                <w:rFonts w:ascii="Arial" w:cs="Arial" w:eastAsia="Arial" w:hAnsi="Arial"/>
                <w:sz w:val="17"/>
                <w:szCs w:val="17"/>
                <w:color w:val="auto"/>
              </w:rPr>
              <w:t>40,372</w:t>
            </w:r>
          </w:p>
        </w:tc>
        <w:tc>
          <w:tcPr>
            <w:tcW w:w="1380" w:type="dxa"/>
            <w:vAlign w:val="bottom"/>
            <w:gridSpan w:val="2"/>
            <w:shd w:val="clear" w:color="auto" w:fill="CCEEFF"/>
          </w:tcPr>
          <w:p>
            <w:pPr>
              <w:jc w:val="right"/>
              <w:ind w:right="160"/>
              <w:spacing w:after="0" w:line="165" w:lineRule="exact"/>
              <w:rPr>
                <w:sz w:val="20"/>
                <w:szCs w:val="20"/>
                <w:color w:val="auto"/>
              </w:rPr>
            </w:pPr>
            <w:r>
              <w:rPr>
                <w:rFonts w:ascii="Arial" w:cs="Arial" w:eastAsia="Arial" w:hAnsi="Arial"/>
                <w:sz w:val="17"/>
                <w:szCs w:val="17"/>
                <w:color w:val="auto"/>
              </w:rPr>
              <w:t>94,000</w:t>
            </w:r>
          </w:p>
        </w:tc>
        <w:tc>
          <w:tcPr>
            <w:tcW w:w="800" w:type="dxa"/>
            <w:vAlign w:val="bottom"/>
            <w:gridSpan w:val="2"/>
            <w:shd w:val="clear" w:color="auto" w:fill="CCEEFF"/>
          </w:tcPr>
          <w:p>
            <w:pPr>
              <w:jc w:val="right"/>
              <w:ind w:right="80"/>
              <w:spacing w:after="0" w:line="165" w:lineRule="exact"/>
              <w:rPr>
                <w:sz w:val="20"/>
                <w:szCs w:val="20"/>
                <w:color w:val="auto"/>
              </w:rPr>
            </w:pPr>
            <w:r>
              <w:rPr>
                <w:rFonts w:ascii="Arial" w:cs="Arial" w:eastAsia="Arial" w:hAnsi="Arial"/>
                <w:sz w:val="17"/>
                <w:szCs w:val="17"/>
                <w:color w:val="auto"/>
              </w:rPr>
              <w:t>447,472</w:t>
            </w:r>
          </w:p>
        </w:tc>
        <w:tc>
          <w:tcPr>
            <w:tcW w:w="0" w:type="dxa"/>
            <w:vAlign w:val="bottom"/>
          </w:tcPr>
          <w:p>
            <w:pPr>
              <w:spacing w:after="0"/>
              <w:rPr>
                <w:sz w:val="1"/>
                <w:szCs w:val="1"/>
                <w:color w:val="auto"/>
              </w:rPr>
            </w:pPr>
          </w:p>
        </w:tc>
      </w:tr>
      <w:tr>
        <w:trPr>
          <w:trHeight w:val="213"/>
        </w:trPr>
        <w:tc>
          <w:tcPr>
            <w:tcW w:w="6380" w:type="dxa"/>
            <w:vAlign w:val="bottom"/>
            <w:gridSpan w:val="2"/>
            <w:shd w:val="clear" w:color="auto" w:fill="CCEEFF"/>
          </w:tcPr>
          <w:p>
            <w:pPr>
              <w:ind w:left="500"/>
              <w:spacing w:after="0"/>
              <w:rPr>
                <w:sz w:val="20"/>
                <w:szCs w:val="20"/>
                <w:color w:val="auto"/>
              </w:rPr>
            </w:pPr>
            <w:r>
              <w:rPr>
                <w:rFonts w:ascii="Arial" w:cs="Arial" w:eastAsia="Arial" w:hAnsi="Arial"/>
                <w:sz w:val="17"/>
                <w:szCs w:val="17"/>
                <w:i w:val="1"/>
                <w:iCs w:val="1"/>
                <w:color w:val="auto"/>
              </w:rPr>
              <w:t>Chief Scientific Officer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ind w:left="540" w:right="20" w:hanging="276"/>
        <w:spacing w:after="0" w:line="249" w:lineRule="auto"/>
        <w:tabs>
          <w:tab w:leader="none" w:pos="5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amounts disclosed represent the aggregate grant date fair value of the award as calculated in accordance with ASC 718. The assumptions used in calculating the grant date fair value of the award disclosed in this column are set forth in the notes to our audited consolidated financial statements included elsewhere in this prospectus. These amounts do not correspond to the actual value that may be recognized by the named executive officers upon vesting of the applicable awards.</w:t>
      </w:r>
    </w:p>
    <w:p>
      <w:pPr>
        <w:spacing w:after="0" w:line="25" w:lineRule="exact"/>
        <w:rPr>
          <w:rFonts w:ascii="Arial" w:cs="Arial" w:eastAsia="Arial" w:hAnsi="Arial"/>
          <w:sz w:val="14"/>
          <w:szCs w:val="14"/>
          <w:color w:val="auto"/>
        </w:rPr>
      </w:pPr>
    </w:p>
    <w:p>
      <w:pPr>
        <w:ind w:left="540" w:right="620" w:hanging="276"/>
        <w:spacing w:after="0" w:line="258" w:lineRule="auto"/>
        <w:tabs>
          <w:tab w:leader="none" w:pos="5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amounts disclosed represent discretionary bonuses based upon achievement of certain Company and individual performance metrics for the year ended December 31, 2019, which were paid in March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 2019</w:t>
      </w:r>
    </w:p>
    <w:p>
      <w:pPr>
        <w:spacing w:after="0" w:line="80"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The following table sets forth information concerning outstanding equity awards held by each of our named executive officers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40" w:type="dxa"/>
            <w:vAlign w:val="bottom"/>
            <w:gridSpan w:val="3"/>
          </w:tcPr>
          <w:p>
            <w:pPr>
              <w:ind w:left="140"/>
              <w:spacing w:after="0"/>
              <w:rPr>
                <w:sz w:val="20"/>
                <w:szCs w:val="20"/>
                <w:color w:val="auto"/>
              </w:rPr>
            </w:pPr>
            <w:r>
              <w:rPr>
                <w:rFonts w:ascii="Arial" w:cs="Arial" w:eastAsia="Arial" w:hAnsi="Arial"/>
                <w:sz w:val="14"/>
                <w:szCs w:val="14"/>
                <w:b w:val="1"/>
                <w:bCs w:val="1"/>
                <w:color w:val="auto"/>
              </w:rPr>
              <w:t>OPTION AWARDS</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4"/>
          </w:tcPr>
          <w:p>
            <w:pPr>
              <w:ind w:left="3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MARKET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48"/>
              <w:spacing w:after="0" w:line="135" w:lineRule="exact"/>
              <w:rPr>
                <w:sz w:val="20"/>
                <w:szCs w:val="20"/>
                <w:color w:val="auto"/>
              </w:rPr>
            </w:pPr>
            <w:r>
              <w:rPr>
                <w:rFonts w:ascii="Arial" w:cs="Arial" w:eastAsia="Arial" w:hAnsi="Arial"/>
                <w:sz w:val="13"/>
                <w:szCs w:val="13"/>
                <w:b w:val="1"/>
                <w:bCs w:val="1"/>
                <w:color w:val="auto"/>
                <w:w w:val="96"/>
              </w:rPr>
              <w:t>NUMBER OF</w:t>
            </w: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NUMBER OF</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42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SHARES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4"/>
              </w:rPr>
              <w:t>SECURITIES</w:t>
            </w: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SECURITIES</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SHARES OR</w:t>
            </w:r>
          </w:p>
        </w:tc>
        <w:tc>
          <w:tcPr>
            <w:tcW w:w="42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OR UNITS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5"/>
              </w:rPr>
              <w:t>UNDERLYING</w:t>
            </w: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UNDERLYING</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UNITS OF</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8"/>
              </w:rPr>
              <w:t>OF STOCK</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UNEXERCISED</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OPTION</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THAT HAVE</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9"/>
              </w:rPr>
              <w:t>OPTIONS</w:t>
            </w: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9"/>
              </w:rPr>
              <w:t>OPTIONS</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EXERCISE</w:t>
            </w: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OPTION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 HAVE</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NOT</w:t>
            </w:r>
          </w:p>
        </w:tc>
        <w:tc>
          <w:tcPr>
            <w:tcW w:w="0" w:type="dxa"/>
            <w:vAlign w:val="bottom"/>
          </w:tcPr>
          <w:p>
            <w:pPr>
              <w:spacing w:after="0"/>
              <w:rPr>
                <w:sz w:val="1"/>
                <w:szCs w:val="1"/>
                <w:color w:val="auto"/>
              </w:rPr>
            </w:pPr>
          </w:p>
        </w:tc>
      </w:tr>
      <w:tr>
        <w:trPr>
          <w:trHeight w:val="135"/>
        </w:trPr>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w w:val="93"/>
              </w:rPr>
              <w:t>NAME</w:t>
            </w:r>
          </w:p>
        </w:tc>
        <w:tc>
          <w:tcPr>
            <w:tcW w:w="26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GRANT</w:t>
            </w: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7"/>
              </w:rPr>
              <w:t>EXERCISABLE</w:t>
            </w: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UNEXERCISABLE</w:t>
            </w: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PRICE</w:t>
            </w: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EXPIRATION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NOT</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VESTED</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460"/>
              <w:spacing w:after="0" w:line="144"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10"/>
                <w:szCs w:val="10"/>
                <w:b w:val="1"/>
                <w:bCs w:val="1"/>
                <w:color w:val="auto"/>
              </w:rPr>
              <w:t>(1)</w:t>
            </w: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420" w:type="dxa"/>
            <w:vAlign w:val="bottom"/>
          </w:tcPr>
          <w:p>
            <w:pPr>
              <w:spacing w:after="0"/>
              <w:rPr>
                <w:sz w:val="14"/>
                <w:szCs w:val="14"/>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4"/>
                <w:szCs w:val="14"/>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(2)</w:t>
            </w:r>
          </w:p>
        </w:tc>
        <w:tc>
          <w:tcPr>
            <w:tcW w:w="260" w:type="dxa"/>
            <w:vAlign w:val="bottom"/>
          </w:tcPr>
          <w:p>
            <w:pPr>
              <w:spacing w:after="0"/>
              <w:rPr>
                <w:sz w:val="14"/>
                <w:szCs w:val="14"/>
                <w:color w:val="auto"/>
              </w:rPr>
            </w:pPr>
          </w:p>
        </w:tc>
        <w:tc>
          <w:tcPr>
            <w:tcW w:w="11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5"/>
              </w:rPr>
              <w:t>DATE</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VESTED (#)</w:t>
            </w:r>
          </w:p>
        </w:tc>
        <w:tc>
          <w:tcPr>
            <w:tcW w:w="420" w:type="dxa"/>
            <w:vAlign w:val="bottom"/>
          </w:tcPr>
          <w:p>
            <w:pPr>
              <w:spacing w:after="0"/>
              <w:rPr>
                <w:sz w:val="14"/>
                <w:szCs w:val="14"/>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8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7"/>
                <w:szCs w:val="17"/>
                <w:color w:val="auto"/>
              </w:rPr>
              <w:t>Jaume Pons, Ph.D</w:t>
            </w:r>
          </w:p>
        </w:tc>
        <w:tc>
          <w:tcPr>
            <w:tcW w:w="1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03/30/2017</w:t>
            </w:r>
          </w:p>
        </w:tc>
        <w:tc>
          <w:tcPr>
            <w:tcW w:w="2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174,786</w:t>
            </w:r>
          </w:p>
        </w:tc>
        <w:tc>
          <w:tcPr>
            <w:tcW w:w="420" w:type="dxa"/>
            <w:vAlign w:val="bottom"/>
            <w:tcBorders>
              <w:top w:val="single" w:sz="8" w:color="CCEEFF"/>
            </w:tcBorders>
            <w:shd w:val="clear" w:color="auto" w:fill="CCEEFF"/>
          </w:tcPr>
          <w:p>
            <w:pPr>
              <w:jc w:val="right"/>
              <w:ind w:right="168"/>
              <w:spacing w:after="0" w:line="164" w:lineRule="exact"/>
              <w:rPr>
                <w:sz w:val="20"/>
                <w:szCs w:val="20"/>
                <w:color w:val="auto"/>
              </w:rPr>
            </w:pPr>
            <w:r>
              <w:rPr>
                <w:rFonts w:ascii="Arial" w:cs="Arial" w:eastAsia="Arial" w:hAnsi="Arial"/>
                <w:sz w:val="15"/>
                <w:szCs w:val="15"/>
                <w:color w:val="auto"/>
                <w:w w:val="87"/>
              </w:rPr>
              <w:t>(4)</w:t>
            </w:r>
          </w:p>
        </w:tc>
        <w:tc>
          <w:tcPr>
            <w:tcW w:w="1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87,393</w:t>
            </w:r>
          </w:p>
        </w:tc>
        <w:tc>
          <w:tcPr>
            <w:tcW w:w="2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0.99</w:t>
            </w:r>
          </w:p>
        </w:tc>
        <w:tc>
          <w:tcPr>
            <w:tcW w:w="2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03/30/2027</w:t>
            </w:r>
          </w:p>
        </w:tc>
        <w:tc>
          <w:tcPr>
            <w:tcW w:w="2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
        </w:trPr>
        <w:tc>
          <w:tcPr>
            <w:tcW w:w="38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340" w:type="dxa"/>
            <w:vAlign w:val="bottom"/>
            <w:gridSpan w:val="3"/>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09/12/2019</w:t>
            </w:r>
          </w:p>
        </w:tc>
        <w:tc>
          <w:tcPr>
            <w:tcW w:w="1340" w:type="dxa"/>
            <w:vAlign w:val="bottom"/>
            <w:gridSpan w:val="2"/>
            <w:shd w:val="clear" w:color="auto" w:fill="CCEEFF"/>
          </w:tcPr>
          <w:p>
            <w:pPr>
              <w:jc w:val="right"/>
              <w:ind w:right="348"/>
              <w:spacing w:after="0" w:line="10" w:lineRule="exact"/>
              <w:rPr>
                <w:sz w:val="20"/>
                <w:szCs w:val="20"/>
                <w:color w:val="auto"/>
              </w:rPr>
            </w:pPr>
            <w:r>
              <w:rPr>
                <w:rFonts w:ascii="Arial" w:cs="Arial" w:eastAsia="Arial" w:hAnsi="Arial"/>
                <w:sz w:val="1"/>
                <w:szCs w:val="1"/>
                <w:color w:val="auto"/>
              </w:rPr>
              <w:t>105,719</w:t>
            </w:r>
          </w:p>
        </w:tc>
        <w:tc>
          <w:tcPr>
            <w:tcW w:w="132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w:t>
            </w:r>
          </w:p>
        </w:tc>
        <w:tc>
          <w:tcPr>
            <w:tcW w:w="92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1.91</w:t>
            </w:r>
          </w:p>
        </w:tc>
        <w:tc>
          <w:tcPr>
            <w:tcW w:w="116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09/12/2029</w:t>
            </w:r>
          </w:p>
        </w:tc>
        <w:tc>
          <w:tcPr>
            <w:tcW w:w="780" w:type="dxa"/>
            <w:vAlign w:val="bottom"/>
            <w:shd w:val="clear" w:color="auto" w:fill="CCEEFF"/>
          </w:tcPr>
          <w:p>
            <w:pPr>
              <w:jc w:val="right"/>
              <w:spacing w:after="0" w:line="10" w:lineRule="exact"/>
              <w:rPr>
                <w:sz w:val="20"/>
                <w:szCs w:val="20"/>
                <w:color w:val="auto"/>
              </w:rPr>
            </w:pPr>
            <w:r>
              <w:rPr>
                <w:rFonts w:ascii="Arial" w:cs="Arial" w:eastAsia="Arial" w:hAnsi="Arial"/>
                <w:sz w:val="1"/>
                <w:szCs w:val="1"/>
                <w:color w:val="auto"/>
              </w:rPr>
              <w:t>—</w:t>
            </w:r>
          </w:p>
        </w:tc>
        <w:tc>
          <w:tcPr>
            <w:tcW w:w="42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85"/>
        </w:trPr>
        <w:tc>
          <w:tcPr>
            <w:tcW w:w="38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80" w:type="dxa"/>
            <w:vAlign w:val="bottom"/>
            <w:gridSpan w:val="2"/>
          </w:tcPr>
          <w:p>
            <w:pPr>
              <w:spacing w:after="0" w:line="135" w:lineRule="exact"/>
              <w:rPr>
                <w:sz w:val="20"/>
                <w:szCs w:val="20"/>
                <w:color w:val="auto"/>
              </w:rPr>
            </w:pPr>
            <w:r>
              <w:rPr>
                <w:rFonts w:ascii="Arial" w:cs="Arial" w:eastAsia="Arial" w:hAnsi="Arial"/>
                <w:sz w:val="15"/>
                <w:szCs w:val="15"/>
                <w:color w:val="auto"/>
              </w:rPr>
              <w:t>Sophia Randolph, M.D., Ph.D</w:t>
            </w:r>
          </w:p>
        </w:tc>
        <w:tc>
          <w:tcPr>
            <w:tcW w:w="1340" w:type="dxa"/>
            <w:vAlign w:val="bottom"/>
            <w:gridSpan w:val="3"/>
          </w:tcPr>
          <w:p>
            <w:pPr>
              <w:jc w:val="right"/>
              <w:ind w:right="240"/>
              <w:spacing w:after="0" w:line="135" w:lineRule="exact"/>
              <w:rPr>
                <w:sz w:val="20"/>
                <w:szCs w:val="20"/>
                <w:color w:val="auto"/>
              </w:rPr>
            </w:pPr>
            <w:r>
              <w:rPr>
                <w:rFonts w:ascii="Arial" w:cs="Arial" w:eastAsia="Arial" w:hAnsi="Arial"/>
                <w:sz w:val="15"/>
                <w:szCs w:val="15"/>
                <w:color w:val="auto"/>
              </w:rPr>
              <w:t>11/10/2016</w:t>
            </w:r>
          </w:p>
        </w:tc>
        <w:tc>
          <w:tcPr>
            <w:tcW w:w="1340" w:type="dxa"/>
            <w:vAlign w:val="bottom"/>
            <w:gridSpan w:val="2"/>
          </w:tcPr>
          <w:p>
            <w:pPr>
              <w:jc w:val="right"/>
              <w:ind w:right="348"/>
              <w:spacing w:after="0" w:line="135" w:lineRule="exact"/>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240"/>
              <w:spacing w:after="0" w:line="135"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5"/>
                <w:szCs w:val="15"/>
                <w:color w:val="auto"/>
              </w:rPr>
              <w:t>16,620</w:t>
            </w:r>
          </w:p>
        </w:tc>
        <w:tc>
          <w:tcPr>
            <w:tcW w:w="420" w:type="dxa"/>
            <w:vAlign w:val="bottom"/>
            <w:vMerge w:val="restart"/>
          </w:tcPr>
          <w:p>
            <w:pPr>
              <w:jc w:val="right"/>
              <w:ind w:right="167"/>
              <w:spacing w:after="0"/>
              <w:rPr>
                <w:sz w:val="20"/>
                <w:szCs w:val="20"/>
                <w:color w:val="auto"/>
              </w:rPr>
            </w:pPr>
            <w:r>
              <w:rPr>
                <w:rFonts w:ascii="Arial" w:cs="Arial" w:eastAsia="Arial" w:hAnsi="Arial"/>
                <w:sz w:val="15"/>
                <w:szCs w:val="15"/>
                <w:color w:val="auto"/>
                <w:w w:val="87"/>
              </w:rPr>
              <w:t>(6)</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31,718</w:t>
            </w:r>
          </w:p>
        </w:tc>
        <w:tc>
          <w:tcPr>
            <w:tcW w:w="0" w:type="dxa"/>
            <w:vAlign w:val="bottom"/>
          </w:tcPr>
          <w:p>
            <w:pPr>
              <w:spacing w:after="0"/>
              <w:rPr>
                <w:sz w:val="1"/>
                <w:szCs w:val="1"/>
                <w:color w:val="auto"/>
              </w:rPr>
            </w:pPr>
          </w:p>
        </w:tc>
      </w:tr>
      <w:tr>
        <w:trPr>
          <w:trHeight w:val="58"/>
        </w:trPr>
        <w:tc>
          <w:tcPr>
            <w:tcW w:w="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340" w:type="dxa"/>
            <w:vAlign w:val="bottom"/>
            <w:gridSpan w:val="3"/>
          </w:tcPr>
          <w:p>
            <w:pPr>
              <w:jc w:val="right"/>
              <w:ind w:right="240"/>
              <w:spacing w:after="0" w:line="58" w:lineRule="exact"/>
              <w:rPr>
                <w:sz w:val="20"/>
                <w:szCs w:val="20"/>
                <w:color w:val="auto"/>
              </w:rPr>
            </w:pPr>
            <w:r>
              <w:rPr>
                <w:rFonts w:ascii="Arial" w:cs="Arial" w:eastAsia="Arial" w:hAnsi="Arial"/>
                <w:sz w:val="6"/>
                <w:szCs w:val="6"/>
                <w:color w:val="auto"/>
              </w:rPr>
              <w:t>03/30/2017</w:t>
            </w:r>
          </w:p>
        </w:tc>
        <w:tc>
          <w:tcPr>
            <w:tcW w:w="1340" w:type="dxa"/>
            <w:vAlign w:val="bottom"/>
            <w:gridSpan w:val="2"/>
          </w:tcPr>
          <w:p>
            <w:pPr>
              <w:jc w:val="right"/>
              <w:ind w:right="348"/>
              <w:spacing w:after="0" w:line="58" w:lineRule="exact"/>
              <w:rPr>
                <w:sz w:val="20"/>
                <w:szCs w:val="20"/>
                <w:color w:val="auto"/>
              </w:rPr>
            </w:pPr>
            <w:r>
              <w:rPr>
                <w:rFonts w:ascii="Arial" w:cs="Arial" w:eastAsia="Arial" w:hAnsi="Arial"/>
                <w:sz w:val="6"/>
                <w:szCs w:val="6"/>
                <w:color w:val="auto"/>
              </w:rPr>
              <w:t>45,487</w:t>
            </w:r>
          </w:p>
        </w:tc>
        <w:tc>
          <w:tcPr>
            <w:tcW w:w="1320" w:type="dxa"/>
            <w:vAlign w:val="bottom"/>
            <w:gridSpan w:val="2"/>
          </w:tcPr>
          <w:p>
            <w:pPr>
              <w:jc w:val="right"/>
              <w:ind w:right="240"/>
              <w:spacing w:after="0" w:line="58" w:lineRule="exact"/>
              <w:rPr>
                <w:sz w:val="20"/>
                <w:szCs w:val="20"/>
                <w:color w:val="auto"/>
              </w:rPr>
            </w:pPr>
            <w:r>
              <w:rPr>
                <w:rFonts w:ascii="Arial" w:cs="Arial" w:eastAsia="Arial" w:hAnsi="Arial"/>
                <w:sz w:val="6"/>
                <w:szCs w:val="6"/>
                <w:color w:val="auto"/>
              </w:rPr>
              <w:t>22,743</w:t>
            </w:r>
          </w:p>
        </w:tc>
        <w:tc>
          <w:tcPr>
            <w:tcW w:w="920" w:type="dxa"/>
            <w:vAlign w:val="bottom"/>
            <w:gridSpan w:val="2"/>
          </w:tcPr>
          <w:p>
            <w:pPr>
              <w:jc w:val="right"/>
              <w:ind w:right="260"/>
              <w:spacing w:after="0" w:line="58" w:lineRule="exact"/>
              <w:rPr>
                <w:sz w:val="20"/>
                <w:szCs w:val="20"/>
                <w:color w:val="auto"/>
              </w:rPr>
            </w:pPr>
            <w:r>
              <w:rPr>
                <w:rFonts w:ascii="Arial" w:cs="Arial" w:eastAsia="Arial" w:hAnsi="Arial"/>
                <w:sz w:val="6"/>
                <w:szCs w:val="6"/>
                <w:color w:val="auto"/>
              </w:rPr>
              <w:t>0.99</w:t>
            </w:r>
          </w:p>
        </w:tc>
        <w:tc>
          <w:tcPr>
            <w:tcW w:w="1160" w:type="dxa"/>
            <w:vAlign w:val="bottom"/>
            <w:gridSpan w:val="2"/>
          </w:tcPr>
          <w:p>
            <w:pPr>
              <w:jc w:val="right"/>
              <w:ind w:right="240"/>
              <w:spacing w:after="0" w:line="58" w:lineRule="exact"/>
              <w:rPr>
                <w:sz w:val="20"/>
                <w:szCs w:val="20"/>
                <w:color w:val="auto"/>
              </w:rPr>
            </w:pPr>
            <w:r>
              <w:rPr>
                <w:rFonts w:ascii="Arial" w:cs="Arial" w:eastAsia="Arial" w:hAnsi="Arial"/>
                <w:sz w:val="6"/>
                <w:szCs w:val="6"/>
                <w:color w:val="auto"/>
              </w:rPr>
              <w:t>03/30/2027</w:t>
            </w:r>
          </w:p>
        </w:tc>
        <w:tc>
          <w:tcPr>
            <w:tcW w:w="780" w:type="dxa"/>
            <w:vAlign w:val="bottom"/>
          </w:tcPr>
          <w:p>
            <w:pPr>
              <w:jc w:val="right"/>
              <w:spacing w:after="0" w:line="58"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760" w:type="dxa"/>
            <w:vAlign w:val="bottom"/>
            <w:gridSpan w:val="2"/>
          </w:tcPr>
          <w:p>
            <w:pPr>
              <w:jc w:val="right"/>
              <w:ind w:right="60"/>
              <w:spacing w:after="0" w:line="58"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40" w:type="dxa"/>
            <w:vAlign w:val="bottom"/>
            <w:gridSpan w:val="3"/>
            <w:vMerge w:val="restart"/>
          </w:tcPr>
          <w:p>
            <w:pPr>
              <w:jc w:val="right"/>
              <w:ind w:right="240"/>
              <w:spacing w:after="0" w:line="189" w:lineRule="exact"/>
              <w:rPr>
                <w:sz w:val="20"/>
                <w:szCs w:val="20"/>
                <w:color w:val="auto"/>
              </w:rPr>
            </w:pPr>
            <w:r>
              <w:rPr>
                <w:rFonts w:ascii="Arial" w:cs="Arial" w:eastAsia="Arial" w:hAnsi="Arial"/>
                <w:sz w:val="17"/>
                <w:szCs w:val="17"/>
                <w:color w:val="auto"/>
              </w:rPr>
              <w:t>09/12/2019</w:t>
            </w:r>
          </w:p>
        </w:tc>
        <w:tc>
          <w:tcPr>
            <w:tcW w:w="1340" w:type="dxa"/>
            <w:vAlign w:val="bottom"/>
            <w:gridSpan w:val="2"/>
          </w:tcPr>
          <w:p>
            <w:pPr>
              <w:jc w:val="right"/>
              <w:ind w:right="168"/>
              <w:spacing w:after="0"/>
              <w:rPr>
                <w:sz w:val="20"/>
                <w:szCs w:val="20"/>
                <w:color w:val="auto"/>
              </w:rPr>
            </w:pPr>
            <w:r>
              <w:rPr>
                <w:rFonts w:ascii="Arial" w:cs="Arial" w:eastAsia="Arial" w:hAnsi="Arial"/>
                <w:sz w:val="15"/>
                <w:szCs w:val="15"/>
                <w:color w:val="auto"/>
              </w:rPr>
              <w:t>(4)</w:t>
            </w:r>
          </w:p>
        </w:tc>
        <w:tc>
          <w:tcPr>
            <w:tcW w:w="1320" w:type="dxa"/>
            <w:vAlign w:val="bottom"/>
            <w:gridSpan w:val="2"/>
            <w:vMerge w:val="restart"/>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vMerge w:val="restart"/>
          </w:tcPr>
          <w:p>
            <w:pPr>
              <w:jc w:val="right"/>
              <w:ind w:right="260"/>
              <w:spacing w:after="0" w:line="189" w:lineRule="exact"/>
              <w:rPr>
                <w:sz w:val="20"/>
                <w:szCs w:val="20"/>
                <w:color w:val="auto"/>
              </w:rPr>
            </w:pPr>
            <w:r>
              <w:rPr>
                <w:rFonts w:ascii="Arial" w:cs="Arial" w:eastAsia="Arial" w:hAnsi="Arial"/>
                <w:sz w:val="17"/>
                <w:szCs w:val="17"/>
                <w:color w:val="auto"/>
              </w:rPr>
              <w:t>1.91</w:t>
            </w:r>
          </w:p>
        </w:tc>
        <w:tc>
          <w:tcPr>
            <w:tcW w:w="1160" w:type="dxa"/>
            <w:vAlign w:val="bottom"/>
            <w:gridSpan w:val="2"/>
            <w:vMerge w:val="restart"/>
          </w:tcPr>
          <w:p>
            <w:pPr>
              <w:jc w:val="right"/>
              <w:ind w:right="240"/>
              <w:spacing w:after="0" w:line="189" w:lineRule="exact"/>
              <w:rPr>
                <w:sz w:val="20"/>
                <w:szCs w:val="20"/>
                <w:color w:val="auto"/>
              </w:rPr>
            </w:pPr>
            <w:r>
              <w:rPr>
                <w:rFonts w:ascii="Arial" w:cs="Arial" w:eastAsia="Arial" w:hAnsi="Arial"/>
                <w:sz w:val="17"/>
                <w:szCs w:val="17"/>
                <w:color w:val="auto"/>
              </w:rPr>
              <w:t>09/12/2029</w:t>
            </w:r>
          </w:p>
        </w:tc>
        <w:tc>
          <w:tcPr>
            <w:tcW w:w="78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w:t>
            </w:r>
          </w:p>
        </w:tc>
        <w:tc>
          <w:tcPr>
            <w:tcW w:w="420" w:type="dxa"/>
            <w:vAlign w:val="bottom"/>
          </w:tcPr>
          <w:p>
            <w:pPr>
              <w:spacing w:after="0"/>
              <w:rPr>
                <w:sz w:val="15"/>
                <w:szCs w:val="15"/>
                <w:color w:val="auto"/>
              </w:rPr>
            </w:pPr>
          </w:p>
        </w:tc>
        <w:tc>
          <w:tcPr>
            <w:tcW w:w="760" w:type="dxa"/>
            <w:vAlign w:val="bottom"/>
            <w:gridSpan w:val="2"/>
            <w:vMerge w:val="restart"/>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
        </w:trPr>
        <w:tc>
          <w:tcPr>
            <w:tcW w:w="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1340" w:type="dxa"/>
            <w:vAlign w:val="bottom"/>
            <w:gridSpan w:val="2"/>
          </w:tcPr>
          <w:p>
            <w:pPr>
              <w:jc w:val="right"/>
              <w:ind w:right="348"/>
              <w:spacing w:after="0"/>
              <w:rPr>
                <w:sz w:val="20"/>
                <w:szCs w:val="20"/>
                <w:color w:val="auto"/>
              </w:rPr>
            </w:pPr>
            <w:r>
              <w:rPr>
                <w:rFonts w:ascii="Arial" w:cs="Arial" w:eastAsia="Arial" w:hAnsi="Arial"/>
                <w:sz w:val="1"/>
                <w:szCs w:val="1"/>
                <w:color w:val="auto"/>
              </w:rPr>
              <w:t>32,215</w:t>
            </w:r>
          </w:p>
        </w:tc>
        <w:tc>
          <w:tcPr>
            <w:tcW w:w="1320" w:type="dxa"/>
            <w:vAlign w:val="bottom"/>
            <w:gridSpan w:val="2"/>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298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Hong Wan, Ph.D</w:t>
            </w:r>
          </w:p>
        </w:tc>
        <w:tc>
          <w:tcPr>
            <w:tcW w:w="1340" w:type="dxa"/>
            <w:vAlign w:val="bottom"/>
            <w:gridSpan w:val="3"/>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03/30/2017</w:t>
            </w:r>
          </w:p>
        </w:tc>
        <w:tc>
          <w:tcPr>
            <w:tcW w:w="1340" w:type="dxa"/>
            <w:vAlign w:val="bottom"/>
            <w:gridSpan w:val="2"/>
            <w:shd w:val="clear" w:color="auto" w:fill="CCEEFF"/>
          </w:tcPr>
          <w:p>
            <w:pPr>
              <w:jc w:val="right"/>
              <w:ind w:right="348"/>
              <w:spacing w:after="0" w:line="10" w:lineRule="exact"/>
              <w:rPr>
                <w:sz w:val="20"/>
                <w:szCs w:val="20"/>
                <w:color w:val="auto"/>
              </w:rPr>
            </w:pPr>
            <w:r>
              <w:rPr>
                <w:rFonts w:ascii="Arial" w:cs="Arial" w:eastAsia="Arial" w:hAnsi="Arial"/>
                <w:sz w:val="1"/>
                <w:szCs w:val="1"/>
                <w:color w:val="auto"/>
              </w:rPr>
              <w:t>45,223</w:t>
            </w:r>
          </w:p>
        </w:tc>
        <w:tc>
          <w:tcPr>
            <w:tcW w:w="132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22,612</w:t>
            </w:r>
          </w:p>
        </w:tc>
        <w:tc>
          <w:tcPr>
            <w:tcW w:w="92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0.99</w:t>
            </w:r>
          </w:p>
        </w:tc>
        <w:tc>
          <w:tcPr>
            <w:tcW w:w="116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03/30/2027</w:t>
            </w:r>
          </w:p>
        </w:tc>
        <w:tc>
          <w:tcPr>
            <w:tcW w:w="780" w:type="dxa"/>
            <w:vAlign w:val="bottom"/>
            <w:shd w:val="clear" w:color="auto" w:fill="CCEEFF"/>
          </w:tcPr>
          <w:p>
            <w:pPr>
              <w:jc w:val="right"/>
              <w:spacing w:after="0" w:line="10" w:lineRule="exact"/>
              <w:rPr>
                <w:sz w:val="20"/>
                <w:szCs w:val="20"/>
                <w:color w:val="auto"/>
              </w:rPr>
            </w:pPr>
            <w:r>
              <w:rPr>
                <w:rFonts w:ascii="Arial" w:cs="Arial" w:eastAsia="Arial" w:hAnsi="Arial"/>
                <w:sz w:val="1"/>
                <w:szCs w:val="1"/>
                <w:color w:val="auto"/>
              </w:rPr>
              <w:t>—</w:t>
            </w:r>
          </w:p>
        </w:tc>
        <w:tc>
          <w:tcPr>
            <w:tcW w:w="42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3"/>
        </w:trPr>
        <w:tc>
          <w:tcPr>
            <w:tcW w:w="38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8"/>
              <w:spacing w:after="0"/>
              <w:rPr>
                <w:sz w:val="20"/>
                <w:szCs w:val="20"/>
                <w:color w:val="auto"/>
              </w:rPr>
            </w:pPr>
            <w:r>
              <w:rPr>
                <w:rFonts w:ascii="Arial" w:cs="Arial" w:eastAsia="Arial" w:hAnsi="Arial"/>
                <w:sz w:val="15"/>
                <w:szCs w:val="15"/>
                <w:color w:val="auto"/>
              </w:rPr>
              <w:t>(4)</w:t>
            </w: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
        </w:trPr>
        <w:tc>
          <w:tcPr>
            <w:tcW w:w="38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
                <w:szCs w:val="1"/>
                <w:color w:val="auto"/>
              </w:rPr>
              <w:t>09/12/2019</w:t>
            </w:r>
          </w:p>
        </w:tc>
        <w:tc>
          <w:tcPr>
            <w:tcW w:w="1340" w:type="dxa"/>
            <w:vAlign w:val="bottom"/>
            <w:gridSpan w:val="2"/>
            <w:shd w:val="clear" w:color="auto" w:fill="CCEEFF"/>
          </w:tcPr>
          <w:p>
            <w:pPr>
              <w:jc w:val="right"/>
              <w:ind w:right="348"/>
              <w:spacing w:after="0"/>
              <w:rPr>
                <w:sz w:val="20"/>
                <w:szCs w:val="20"/>
                <w:color w:val="auto"/>
              </w:rPr>
            </w:pPr>
            <w:r>
              <w:rPr>
                <w:rFonts w:ascii="Arial" w:cs="Arial" w:eastAsia="Arial" w:hAnsi="Arial"/>
                <w:sz w:val="1"/>
                <w:szCs w:val="1"/>
                <w:color w:val="auto"/>
              </w:rPr>
              <w:t>31,851</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
                <w:szCs w:val="1"/>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
                <w:szCs w:val="1"/>
                <w:color w:val="auto"/>
              </w:rPr>
              <w:t>1.91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
                <w:szCs w:val="1"/>
                <w:color w:val="auto"/>
              </w:rPr>
              <w:t>09/12/2029</w:t>
            </w:r>
          </w:p>
        </w:tc>
        <w:tc>
          <w:tcPr>
            <w:tcW w:w="780" w:type="dxa"/>
            <w:vAlign w:val="bottom"/>
            <w:shd w:val="clear" w:color="auto" w:fill="CCEEFF"/>
          </w:tcPr>
          <w:p>
            <w:pPr>
              <w:jc w:val="right"/>
              <w:spacing w:after="0"/>
              <w:rPr>
                <w:sz w:val="20"/>
                <w:szCs w:val="20"/>
                <w:color w:val="auto"/>
              </w:rPr>
            </w:pPr>
            <w:r>
              <w:rPr>
                <w:rFonts w:ascii="Arial" w:cs="Arial" w:eastAsia="Arial" w:hAnsi="Arial"/>
                <w:sz w:val="1"/>
                <w:szCs w:val="1"/>
                <w:color w:val="auto"/>
              </w:rPr>
              <w:t>—</w:t>
            </w:r>
          </w:p>
        </w:tc>
        <w:tc>
          <w:tcPr>
            <w:tcW w:w="42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85"/>
        </w:trPr>
        <w:tc>
          <w:tcPr>
            <w:tcW w:w="38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136</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0"/>
          <w:szCs w:val="20"/>
          <w:color w:val="auto"/>
        </w:rPr>
      </w:pPr>
    </w:p>
    <w:p>
      <w:pPr>
        <w:ind w:left="540" w:hanging="276"/>
        <w:spacing w:after="0" w:line="247"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outstanding options to purchase shares of our common stock, or ALX Options, were originally granted as options to purchase ordinary shares of ALX Oncology Limited, or ALX Ireland Options, pursuant to its share award scheme and U.S. sub-scheme. In connection with the reorganization effective as of April 1, 2020, the ALX Ireland Options have been substituted and replaced with ALX Options under our 2020 Plan. While the grant date of the ALX Option is April 1, 2020, each ALX Option has the same vesting terms, exercise price and expiration date as the corresponding ALX Ireland Option.</w:t>
      </w:r>
    </w:p>
    <w:p>
      <w:pPr>
        <w:spacing w:after="0" w:line="25" w:lineRule="exact"/>
        <w:rPr>
          <w:rFonts w:ascii="Arial" w:cs="Arial" w:eastAsia="Arial" w:hAnsi="Arial"/>
          <w:sz w:val="14"/>
          <w:szCs w:val="14"/>
          <w:color w:val="auto"/>
        </w:rPr>
      </w:pPr>
    </w:p>
    <w:p>
      <w:pPr>
        <w:ind w:left="540" w:right="440" w:hanging="276"/>
        <w:spacing w:after="0" w:line="258"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on the date of grant, as determined by the board of directors of ALX Oncology Limited.</w:t>
      </w:r>
    </w:p>
    <w:p>
      <w:pPr>
        <w:spacing w:after="0" w:line="18" w:lineRule="exact"/>
        <w:rPr>
          <w:rFonts w:ascii="Arial" w:cs="Arial" w:eastAsia="Arial" w:hAnsi="Arial"/>
          <w:sz w:val="14"/>
          <w:szCs w:val="14"/>
          <w:color w:val="auto"/>
        </w:rPr>
      </w:pPr>
    </w:p>
    <w:p>
      <w:pPr>
        <w:ind w:left="540" w:right="200" w:hanging="276"/>
        <w:spacing w:after="0" w:line="258"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of $1.91 as of December 31, 2019 (the determination of the fair market value by our board of directors as of the most proximate date) multiplied by the amount shown in the column for the number of shares or units that have not vested.</w:t>
      </w:r>
    </w:p>
    <w:p>
      <w:pPr>
        <w:spacing w:after="0" w:line="18" w:lineRule="exact"/>
        <w:rPr>
          <w:rFonts w:ascii="Arial" w:cs="Arial" w:eastAsia="Arial" w:hAnsi="Arial"/>
          <w:sz w:val="14"/>
          <w:szCs w:val="14"/>
          <w:color w:val="auto"/>
        </w:rPr>
      </w:pPr>
    </w:p>
    <w:p>
      <w:pPr>
        <w:ind w:left="540" w:hanging="276"/>
        <w:spacing w:after="0"/>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shares underlying this option vest in 48 equal monthly installments beginning on May 1, 2017, subject to continued service to the Company.</w:t>
      </w:r>
    </w:p>
    <w:p>
      <w:pPr>
        <w:spacing w:after="0" w:line="41" w:lineRule="exact"/>
        <w:rPr>
          <w:rFonts w:ascii="Arial" w:cs="Arial" w:eastAsia="Arial" w:hAnsi="Arial"/>
          <w:sz w:val="14"/>
          <w:szCs w:val="14"/>
          <w:color w:val="auto"/>
        </w:rPr>
      </w:pPr>
    </w:p>
    <w:p>
      <w:pPr>
        <w:ind w:left="540" w:right="100" w:hanging="276"/>
        <w:spacing w:after="0" w:line="258"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option is subject to an early exercise provision and is immediately exercisable. The shares underlying this option vest in 48 equal monthly installments beginning on June 16, 2019, subject to continued service to the Company.</w:t>
      </w:r>
    </w:p>
    <w:p>
      <w:pPr>
        <w:spacing w:after="0" w:line="18" w:lineRule="exact"/>
        <w:rPr>
          <w:rFonts w:ascii="Arial" w:cs="Arial" w:eastAsia="Arial" w:hAnsi="Arial"/>
          <w:sz w:val="14"/>
          <w:szCs w:val="14"/>
          <w:color w:val="auto"/>
        </w:rPr>
      </w:pPr>
    </w:p>
    <w:p>
      <w:pPr>
        <w:ind w:left="540" w:right="180" w:hanging="276"/>
        <w:spacing w:after="0" w:line="258"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shares were acquired pursuant to an early exercise provision and remain subject to our repurchase right in accordance with the vesting schedule of this option. The remaining shares underlying this option vest in six equal monthly installments beginning on January 1, 2020, subject to continued service to the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Named Executive Officer Equity Awards</w:t>
      </w:r>
    </w:p>
    <w:p>
      <w:pPr>
        <w:spacing w:after="0" w:line="8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June 2020, our board of directors, upon the recommendation of our compensation committee, and with input from Compensia, approved option grants to certain of our named executive officers to provide them additional incentives to remain with us and to promote further alignment between their interests and those of our stockholders. The number of shares subject to each option grant was determined with input from Compensia as follows: 272,771 (Dr. Pons) and 89,657 (Dr. Randolph). These grants became effective on the effective date of the registration statement related to our initial public offering and have an exercise price per share equal to $19.00, the initial public offering price. The grants are subject to the terms and conditions of the 2020 Plan and form of option agreement thereunder. Each of the options will vest as to 1/48th of the shares subject to the option on a monthly basis from the grant date, in each case subject to continued service through each applicable vesting date, and further subject to vesting acceleration under certain circumstances as described under “—Change in Control and Severance Agreements.”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Jaume Pons</w:t>
      </w:r>
    </w:p>
    <w:p>
      <w:pPr>
        <w:spacing w:after="0" w:line="8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In July 2020, we entered into a confirmatory employment letter with Dr. Jaume Pons, our President and Chief Executive Officer. The confirmatory employment letter has no specific term and provides that Dr. Pons is an at-will employee. The employment letter supersedes all existing agreements and understandings that Dr. Pons may have entered into concerning his employment relationship with us. Dr. Pons’ current annual base salary is $550,000, and he is eligible for an annual target cash incentive payment equal to 50.0% of his annual base salary.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Sophia Randolph</w:t>
      </w:r>
    </w:p>
    <w:p>
      <w:pPr>
        <w:spacing w:after="0" w:line="5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July 2020, we entered into a confirmatory employment letter with Dr. Sophia Randolph, our Chief Medical Officer. The confirmatory employment letter has no specific term and provides that Dr. Randolph is an at-will employee. The employment letter supersedes all existing agreements and understandings that Dr. Randolph may have entered into concerning her employment relationship with us. Dr. Randolph’s current annual base salary is $440,000, and she is eligible for an annual target cash incentive payment equal to 40.0% of her annual base salary.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Hong Wan</w:t>
      </w:r>
    </w:p>
    <w:p>
      <w:pPr>
        <w:spacing w:after="0" w:line="54"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Dr. Hong Wan, our former Chief Scientific Officer, resigned effective June 30, 2020 as described in “Certain Relationships and Related-Party Transactions—Tallac Therapeutics Agreements.” We have entered into a consulting agreement with Dr. Wan that provides for continued vesting of her outstanding options to purchase shares of our common stock while she provides consulting services to us under such agreement.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Executive Incentive Compensation Plan</w:t>
      </w:r>
    </w:p>
    <w:p>
      <w:pPr>
        <w:spacing w:after="0" w:line="54" w:lineRule="exact"/>
        <w:rPr>
          <w:sz w:val="20"/>
          <w:szCs w:val="20"/>
          <w:color w:val="auto"/>
        </w:rPr>
      </w:pPr>
    </w:p>
    <w:p>
      <w:pPr>
        <w:ind w:left="120" w:right="1080"/>
        <w:spacing w:after="0" w:line="243" w:lineRule="auto"/>
        <w:rPr>
          <w:sz w:val="20"/>
          <w:szCs w:val="20"/>
          <w:color w:val="auto"/>
        </w:rPr>
      </w:pPr>
      <w:r>
        <w:rPr>
          <w:rFonts w:ascii="Arial" w:cs="Arial" w:eastAsia="Arial" w:hAnsi="Arial"/>
          <w:sz w:val="17"/>
          <w:szCs w:val="17"/>
          <w:color w:val="auto"/>
        </w:rPr>
        <w:t>Our board of directors has adopted our Executive Incentive Compensation Plan, or the Incentive Compensation Plan. Our Incentive Compensation Plan will be administered by the compensation committee of our board of directors,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unless and until our board of directors determines otherwise. Our Incentive Compensation Plan allows us to grant incentive awards, generally payable in cash, to employees selected by the administrator, including our named executive officers, based upon performance goals that may be established by the administrator.</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Under our Incentive Compensation Plan, the administrator determines the performance goals applicable to any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regularly-related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in the compensation committee’s sole discretion.</w:t>
      </w:r>
    </w:p>
    <w:p>
      <w:pPr>
        <w:spacing w:after="0" w:line="15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administrator of our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50"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Actual awards generally will be paid in cash (or its equivalent) only after they are earned, and, unless otherwise determined by the administrator, a participant must be employed with us through the date the actual award is paid. The administrator of our Incentive Compensation Plan reserves the right to settle an actual award with a grant of an equity award under our then-current equity compensation plan, which equity award may have such terms and conditions, including vesting, as the administrator of such equity compensation plan determines. Payment of awards occurs as soon as administratively practicable after they are earned, but no later than the dates set forth in our Incentive Compensation Plan.</w:t>
      </w:r>
    </w:p>
    <w:p>
      <w:pPr>
        <w:spacing w:after="0" w:line="150"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Awards under our Incentive Compensation Plan are subject to any clawback policy of ours, which we may be required to adopt from time to time to comply with applicable laws. The administrator also may impose such other clawback, recovery or recoupment provisions with respect to an award under our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51"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The administrator of our Incentive Compensation Plan has the authority to amend, alter, suspend or terminate our Incentive Compensation Plan, provided such action does not impair the existing rights of any participant with respect to any earned awards. Our Incentive Compensation Plan will remain in effect until terminated in accordance with its terms.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 in Control and Severance Agreements</w:t>
      </w:r>
    </w:p>
    <w:p>
      <w:pPr>
        <w:spacing w:after="0" w:line="5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In July 2020, we entered into a change in control and severance agreement, or CIC Agreement, with each of Dr. Pons and Dr. Randolph, which provide for certain severance and change in control benefits, as summarized below.</w:t>
      </w:r>
    </w:p>
    <w:p>
      <w:pPr>
        <w:spacing w:after="0" w:line="144"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Each CIC Agreement supersedes any prior agreement or arrangement that the named executive officer may have had with us that provides for severance or change in control payments and benefits. The CIC Agreements have no specific term and will terminate upon written consent by the parties or when all obligations under the CIC Agreement are satisfied.</w:t>
      </w:r>
    </w:p>
    <w:p>
      <w:pPr>
        <w:spacing w:after="0" w:line="93"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The CIC Agreements provide that if, other than during the period beginning three months before our change in control through the one-year anniversary of our change in control, or the CIC Period, the named executive officer’s employment with us is terminated by us without cause (as defined in the CIC Agreement, and excluding by reason of his or her death or disability) or by the named executive officer for good reason (as defined in the CIC Agreement), the named executive officer will receive the following severance payments and benefits if he or she timely executes and does not revoke a release of claims in our favor:</w:t>
      </w:r>
    </w:p>
    <w:p>
      <w:pPr>
        <w:spacing w:after="0" w:line="190" w:lineRule="exact"/>
        <w:rPr>
          <w:sz w:val="20"/>
          <w:szCs w:val="20"/>
          <w:color w:val="auto"/>
        </w:rPr>
      </w:pPr>
    </w:p>
    <w:p>
      <w:pPr>
        <w:ind w:left="980" w:right="300" w:hanging="432"/>
        <w:spacing w:after="0" w:line="243" w:lineRule="auto"/>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A lump sum cash payment equal to 100% for Dr. Pons, or 75% for Dr. Randolph, of the named executive officer’s base salary as in effect immediately before such termination; and</w:t>
      </w:r>
    </w:p>
    <w:p>
      <w:pPr>
        <w:spacing w:after="0" w:line="22" w:lineRule="exact"/>
        <w:rPr>
          <w:rFonts w:ascii="MS PGothic" w:cs="MS PGothic" w:eastAsia="MS PGothic" w:hAnsi="MS PGothic"/>
          <w:sz w:val="13"/>
          <w:szCs w:val="13"/>
          <w:color w:val="auto"/>
        </w:rPr>
      </w:pPr>
    </w:p>
    <w:p>
      <w:pPr>
        <w:ind w:left="980" w:right="740" w:hanging="432"/>
        <w:spacing w:after="0" w:line="243" w:lineRule="auto"/>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Company-paid group health, dental and vision coverage under COBRA for the named executive officer and his or her eligible dependents for up to twelve months for Dr. Pons, or nine months for Dr. Randolph.</w:t>
      </w:r>
    </w:p>
    <w:p>
      <w:pPr>
        <w:spacing w:after="0" w:line="9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If, during the CIC Period, the named executive officer’s employment with us is terminated by us without cause (as defined in the CIC Agreement, and excluding by reason of his or her death or disability) or by the named executive officer for good reason (as defined in the CIC Agreement), the named executive officer will receive the following severance payments and benefits if he or she timely executes and does not revoke a separation agreement and release of claims in our favor:</w:t>
      </w:r>
    </w:p>
    <w:p>
      <w:pPr>
        <w:spacing w:after="0" w:line="190" w:lineRule="exact"/>
        <w:rPr>
          <w:sz w:val="20"/>
          <w:szCs w:val="20"/>
          <w:color w:val="auto"/>
        </w:rPr>
      </w:pPr>
    </w:p>
    <w:p>
      <w:pPr>
        <w:ind w:left="980" w:right="200" w:hanging="432"/>
        <w:spacing w:after="0" w:line="243" w:lineRule="auto"/>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A lump sum cash payment equal to 150% for Dr. Pons, or 100% for Dr. Randolph, of the named executive officer’s base salary as in effect immediately before such termination or if greater, the base salary in effect immediately before our change in control;</w:t>
      </w:r>
    </w:p>
    <w:p>
      <w:pPr>
        <w:spacing w:after="0" w:line="22" w:lineRule="exact"/>
        <w:rPr>
          <w:rFonts w:ascii="MS PGothic" w:cs="MS PGothic" w:eastAsia="MS PGothic" w:hAnsi="MS PGothic"/>
          <w:sz w:val="13"/>
          <w:szCs w:val="13"/>
          <w:color w:val="auto"/>
        </w:rPr>
      </w:pPr>
    </w:p>
    <w:p>
      <w:pPr>
        <w:ind w:left="980" w:right="80" w:hanging="432"/>
        <w:spacing w:after="0" w:line="238" w:lineRule="auto"/>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A lump sum cash payment equal to 150% for Dr. Pons, or 100% for Dr. Randolph, of the named executive officer’s target bonus opportunity as in effect immediately before such termination or if greater, the target bonus opportunity in effect immediately before our change in control;</w:t>
      </w:r>
    </w:p>
    <w:p>
      <w:pPr>
        <w:spacing w:after="0" w:line="25" w:lineRule="exact"/>
        <w:rPr>
          <w:rFonts w:ascii="MS PGothic" w:cs="MS PGothic" w:eastAsia="MS PGothic" w:hAnsi="MS PGothic"/>
          <w:sz w:val="13"/>
          <w:szCs w:val="13"/>
          <w:color w:val="auto"/>
        </w:rPr>
      </w:pPr>
    </w:p>
    <w:p>
      <w:pPr>
        <w:ind w:left="980" w:right="740" w:hanging="432"/>
        <w:spacing w:after="0" w:line="243" w:lineRule="auto"/>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Company-paid group health, dental and vision coverage under COBRA for the named executive officer and his or her eligible dependents for up to eighteen months for Dr. Pons, or twelve months for Dr. Randolph; and</w:t>
      </w:r>
    </w:p>
    <w:p>
      <w:pPr>
        <w:spacing w:after="0" w:line="22"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100% accelerated vesting and exercisability of the outstanding and unvested Company equity awards (other than Company equity awards subject to performance-based vesting criteria) granted to the named executive officer.</w:t>
      </w:r>
    </w:p>
    <w:p>
      <w:pPr>
        <w:spacing w:after="0" w:line="144"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In addition, the CIC Agreement for Dr. Pons provides that in the event of our change in control, 100% of his outstanding Company equity awards (other than Company equity awards subject to performance-based vesting criteria) will accelerate vesting.</w:t>
      </w:r>
    </w:p>
    <w:p>
      <w:pPr>
        <w:spacing w:after="0" w:line="14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be entitled to receive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our change in control.</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Amended and Restated 2020 Equity Incentive Plan</w:t>
      </w:r>
    </w:p>
    <w:p>
      <w:pPr>
        <w:spacing w:after="0" w:line="41"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Our 2020 Plan initially was adopted by our board of directors and approved by our stockholders in April 2020 and was amended and restated effective on the business day immediately prior to the effective date of our registration statement related to our initial public offering. Our 2020 Plan provides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performance units and performance shares to our employees, directors and consultants and any of our parent or subsidiary corporations’ employees and consultants.</w:t>
      </w:r>
    </w:p>
    <w:p>
      <w:pPr>
        <w:spacing w:after="0" w:line="130" w:lineRule="exact"/>
        <w:rPr>
          <w:sz w:val="20"/>
          <w:szCs w:val="20"/>
          <w:color w:val="auto"/>
        </w:rPr>
      </w:pPr>
    </w:p>
    <w:p>
      <w:pPr>
        <w:ind w:left="120" w:right="40"/>
        <w:spacing w:after="0" w:line="24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As of September 30, 2020, a total of 7,874,862 shares of our common stock are reserved for issuance pursuant to our 2020</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number of shares available for issuance under our 2020 Plan will also include an annual increase on the first day of each fiscal year beginning on January 1, 2021, and ending on (and inclusive of) January 1, 2030, equal to the least of:</w:t>
      </w:r>
    </w:p>
    <w:p>
      <w:pPr>
        <w:spacing w:after="0" w:line="182" w:lineRule="exact"/>
        <w:rPr>
          <w:sz w:val="20"/>
          <w:szCs w:val="20"/>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4,000,000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four percent of the outstanding shares of our common stock as of the last day of the immediately preceding fiscal year;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such number of shares as our board of directors may determine no later than the last day of our immediately preceding fiscal year.</w:t>
      </w:r>
    </w:p>
    <w:p>
      <w:pPr>
        <w:spacing w:after="0" w:line="15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Shares issuable under our 2020 Plan will be authorized, but unissued, or reacquired shares of our common stock. If an award expires or becomes unexercisable without having been exercised in full, is surrendered pursuant to an exchange program, or, with respect to restricted stock, restricted stock units, performance units or performance shares,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have actually been issued under the 2020 Plan under any award will not be returned to the 2020 Plan; except if shares issued pursuant to awards of restricted stock, restricted stock units, performance shares or performance units are repurchased or forfeited, such shares will become available for future grant under the 2020 Plan. Shares used to pay the exercise price of an award or satisfy the tax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 For clarity, shares subject to awards that may return to and become available for issuance under the 2020 Plan as described in this paragraph will include shares subject to awards granted under our 2020 Plan prior to its amendment and restatement that are outstanding as of the effective date of the 2020 Plan.</w:t>
      </w:r>
    </w:p>
    <w:p>
      <w:pPr>
        <w:spacing w:after="0" w:line="13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one or more committees appointed by our board of directors has authority to administer our 2020</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compensation committee of our board of directors will initially administer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including but not limited to the discretionary authority to extend the post-termination exercisability period of awards (except no option or stock</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13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may be granted under our 2020 Plan. The exercise price of options granted under our 2020 Plan must at least be</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the fair market value of our common stock on the date of grant. The term of an option may not exceed ten years. With respect to any participant who owns more than 10% of the voting power of all classes of our (or any of our parent’s or subsidiaries’) outstanding stock, the term of an incentive stock option granted to such participant must not exceed five years and the per-share exercise price must equal at least 110% of the fair market value of a share of our common stock on the grant date. The administrator may grant incentive stock options under the 2020 Plan for a period of ten years from the earlier of the date our board of directors approved the 2020 Plan or the date that our stockholders approved the 2020 Plan. The administrator will determine the methods of payment of the exercise price of an option, which may include cash, certain shares, promissory notes if permitted by applicable law,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 termination of service. An option, however, may not be exercised later than the expiration of its term. Subject to the provisions of our 2020 Plan, the administrator determines the terms of options.</w:t>
      </w:r>
    </w:p>
    <w:p>
      <w:pPr>
        <w:spacing w:after="0" w:line="13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may be granted under our 2020 Plan. Stock appreciation rights allow the recipient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90 days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common stock, or a combination thereof, except that the per-share exercise price for the shares to be issued pursuant to the exercise of a stock appreciation right will be no less than 100% of the fair market value per share on the date of grant.</w:t>
      </w:r>
    </w:p>
    <w:p>
      <w:pPr>
        <w:spacing w:after="0" w:line="13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2020 Plan. Restricted stock awards are grants of shares of our common stock that</w:t>
      </w:r>
      <w:r>
        <w:rPr>
          <w:rFonts w:ascii="Arial" w:cs="Arial" w:eastAsia="Arial" w:hAnsi="Arial"/>
          <w:sz w:val="17"/>
          <w:szCs w:val="17"/>
          <w:i w:val="1"/>
          <w:iCs w:val="1"/>
          <w:color w:val="auto"/>
        </w:rPr>
        <w:t xml:space="preserve"> </w:t>
      </w:r>
      <w:r>
        <w:rPr>
          <w:rFonts w:ascii="Arial" w:cs="Arial" w:eastAsia="Arial" w:hAnsi="Arial"/>
          <w:sz w:val="17"/>
          <w:szCs w:val="17"/>
          <w:color w:val="auto"/>
        </w:rPr>
        <w:t>may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130" w:lineRule="exact"/>
        <w:rPr>
          <w:sz w:val="20"/>
          <w:szCs w:val="20"/>
          <w:color w:val="auto"/>
        </w:rPr>
      </w:pPr>
    </w:p>
    <w:p>
      <w:pPr>
        <w:ind w:left="120" w:right="60"/>
        <w:spacing w:after="0" w:line="265"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Restricted stock units may be granted under our 2020 Plan. Restricted stock units are bookkeeping entries representing</w:t>
      </w:r>
      <w:r>
        <w:rPr>
          <w:rFonts w:ascii="Arial" w:cs="Arial" w:eastAsia="Arial" w:hAnsi="Arial"/>
          <w:sz w:val="17"/>
          <w:szCs w:val="17"/>
          <w:i w:val="1"/>
          <w:iCs w:val="1"/>
          <w:color w:val="auto"/>
        </w:rPr>
        <w:t xml:space="preserve"> </w:t>
      </w:r>
      <w:r>
        <w:rPr>
          <w:rFonts w:ascii="Arial" w:cs="Arial" w:eastAsia="Arial" w:hAnsi="Arial"/>
          <w:sz w:val="17"/>
          <w:szCs w:val="17"/>
          <w:color w:val="auto"/>
        </w:rPr>
        <w:t>an amount equal to the fair market value of one share of our common stock.</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Notwithstanding the foregoing, the administrator, in its sole discretion, may accelerate the time at which any restrictions will lapse or be removed.</w:t>
      </w:r>
    </w:p>
    <w:p>
      <w:pPr>
        <w:spacing w:after="0" w:line="13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Performance Units and Performance Shares</w:t>
      </w:r>
      <w:r>
        <w:rPr>
          <w:rFonts w:ascii="Arial" w:cs="Arial" w:eastAsia="Arial" w:hAnsi="Arial"/>
          <w:sz w:val="17"/>
          <w:szCs w:val="17"/>
          <w:color w:val="auto"/>
        </w:rPr>
        <w:t>. Performance units and performance shares may be granted under our 2020 Plan.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units and performance shares are awards that will result in a payment to a participant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dollar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3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Outside Directors</w:t>
      </w:r>
      <w:r>
        <w:rPr>
          <w:rFonts w:ascii="Arial" w:cs="Arial" w:eastAsia="Arial" w:hAnsi="Arial"/>
          <w:sz w:val="17"/>
          <w:szCs w:val="17"/>
          <w:color w:val="auto"/>
        </w:rPr>
        <w:t>. All outside (non-employee) directors are eligible to receive all types of awards (except for incentive stock options)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2020 Plan. Pursuant to our Outside Director Compensation Policy, our outside directors are eligible to receive equity awards under our 2020 Plan. Our 2020 Plan provides that in any given fiscal year, no outside director may be granted awards (the value of which will be based on their grant-date fair value) under our 2020 Plan and any other compensation (including without limitation any cash retainers and fees) greater than $1,000,000. The grant-date fair values of awards granted under our 2020 Plan will be determined according to U.S. GAAP. Any awards or other compensation provided to an individual for his or her services as an employee or a consultant (other than an outside director), or prior to the effective date of the registration statement related to our initial public offering, do not count toward this limit. The maximum limit does not reflect the intended size of any potential grants or a commitment to make grants to our outside directors under our 2020 Plan in the future.</w:t>
      </w:r>
    </w:p>
    <w:p>
      <w:pPr>
        <w:spacing w:after="0" w:line="13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i w:val="1"/>
          <w:iCs w:val="1"/>
          <w:color w:val="auto"/>
        </w:rPr>
        <w:t>Non-Transferability of Awards</w:t>
      </w:r>
      <w:r>
        <w:rPr>
          <w:rFonts w:ascii="Arial" w:cs="Arial" w:eastAsia="Arial" w:hAnsi="Arial"/>
          <w:sz w:val="17"/>
          <w:szCs w:val="17"/>
          <w:color w:val="auto"/>
        </w:rPr>
        <w:t>. Unless the administrator provides otherwise, our 2020 Plan generally does not allow for the transfer of awards</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324"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such as a dividend or other distribution,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133"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i w:val="1"/>
          <w:iCs w:val="1"/>
          <w:color w:val="auto"/>
        </w:rPr>
        <w:t>Dissolution or Liquidation</w:t>
      </w:r>
      <w:r>
        <w:rPr>
          <w:rFonts w:ascii="Arial" w:cs="Arial" w:eastAsia="Arial" w:hAnsi="Arial"/>
          <w:sz w:val="17"/>
          <w:szCs w:val="17"/>
          <w:color w:val="auto"/>
        </w:rPr>
        <w:t>. In the event of our proposed liquidation or dissolution, the administrator will notify participants as soon as practicable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all awards will terminate immediately prior to the consummation of such proposed transaction.</w:t>
      </w:r>
    </w:p>
    <w:p>
      <w:pPr>
        <w:spacing w:after="0" w:line="10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Our 2020 Plan provides that in the event of a merger or change in control, as defined under our 2020 Plan, each</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47"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event that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If an outside director’s awards are assumed or substituted for in a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 xml:space="preserve">Clawback. </w:t>
      </w:r>
      <w:r>
        <w:rPr>
          <w:rFonts w:ascii="Arial" w:cs="Arial" w:eastAsia="Arial" w:hAnsi="Arial"/>
          <w:sz w:val="17"/>
          <w:szCs w:val="17"/>
          <w:color w:val="auto"/>
        </w:rPr>
        <w:t>Awards are subject to any clawback policy of ours, which we may establish and/or amend from time to time to comply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130"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The administrator has the authority to amend, suspend or terminate our 2020 Plan, provided such action does not</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materially impair the rights of any participant unless mutually agreed otherwise. Our 2020 Plan will remain in effect until terminated in accordance with its terms.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95"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In July 2020, our board of directors adopted, and our stockholders approved, our ESPP. Our ESPP became effective one business day immediately before the effective date of our registration statement related to our initial public offering. However, no offering period or purchase period under the ESPP will begin unless and until determined by our board of directors or its compensation committee.</w:t>
      </w:r>
    </w:p>
    <w:p>
      <w:pPr>
        <w:spacing w:after="0" w:line="129" w:lineRule="exact"/>
        <w:rPr>
          <w:sz w:val="20"/>
          <w:szCs w:val="20"/>
          <w:color w:val="auto"/>
        </w:rPr>
      </w:pPr>
    </w:p>
    <w:p>
      <w:pPr>
        <w:ind w:left="120" w:right="180"/>
        <w:spacing w:after="0" w:line="24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400,000 shares of our common stock are available for issuance under our ESPP. In addition, our ESPP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for annual increases in the number of shares of our common stock available for issuance under our ESPP on the first day of each of our fiscal years beginning with our fiscal year 2021, equal to the least of:</w:t>
      </w:r>
    </w:p>
    <w:p>
      <w:pPr>
        <w:spacing w:after="0" w:line="182" w:lineRule="exact"/>
        <w:rPr>
          <w:sz w:val="20"/>
          <w:szCs w:val="20"/>
          <w:color w:val="auto"/>
        </w:rPr>
      </w:pPr>
    </w:p>
    <w:p>
      <w:pPr>
        <w:ind w:left="980" w:hanging="432"/>
        <w:spacing w:after="0"/>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800,000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one percent of the outstanding shares of our common stock on the last day of our immediately preceding fiscal year;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such number of shares as our board of directors may determine no later than the last day of our immediately preceding fiscal year.</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issuable under the ESPP will be authorized, but unissued, or reacquired shares of our common stock.</w:t>
      </w:r>
    </w:p>
    <w:p>
      <w:pPr>
        <w:spacing w:after="0" w:line="138" w:lineRule="exact"/>
        <w:rPr>
          <w:sz w:val="20"/>
          <w:szCs w:val="20"/>
          <w:color w:val="auto"/>
        </w:rPr>
      </w:pPr>
    </w:p>
    <w:p>
      <w:pPr>
        <w:ind w:left="120" w:right="20"/>
        <w:spacing w:after="0" w:line="265"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committee appointed by our board of directors has the authority to administer our ESPP. Unless</w:t>
      </w:r>
      <w:r>
        <w:rPr>
          <w:rFonts w:ascii="Arial" w:cs="Arial" w:eastAsia="Arial" w:hAnsi="Arial"/>
          <w:sz w:val="17"/>
          <w:szCs w:val="17"/>
          <w:i w:val="1"/>
          <w:iCs w:val="1"/>
          <w:color w:val="auto"/>
        </w:rPr>
        <w:t xml:space="preserve"> </w:t>
      </w:r>
      <w:r>
        <w:rPr>
          <w:rFonts w:ascii="Arial" w:cs="Arial" w:eastAsia="Arial" w:hAnsi="Arial"/>
          <w:sz w:val="17"/>
          <w:szCs w:val="17"/>
          <w:color w:val="auto"/>
        </w:rPr>
        <w:t>and until determined otherwise by our board of directors, the compensation committee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of our board of directors will administer the ESPP. The administrator has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are final and binding on all participants to the maximum extent permitted by law.</w:t>
      </w:r>
    </w:p>
    <w:p>
      <w:pPr>
        <w:spacing w:after="0" w:line="13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Generally, any of our employees are eligible to participate in our ESPP if they are customarily employed by us or any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w:t>
      </w:r>
    </w:p>
    <w:p>
      <w:pPr>
        <w:spacing w:after="0" w:line="151"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26" w:lineRule="exact"/>
        <w:rPr>
          <w:sz w:val="20"/>
          <w:szCs w:val="20"/>
          <w:color w:val="auto"/>
        </w:rPr>
      </w:pPr>
    </w:p>
    <w:p>
      <w:pPr>
        <w:jc w:val="both"/>
        <w:ind w:left="120" w:right="220"/>
        <w:spacing w:after="0" w:line="248" w:lineRule="auto"/>
        <w:rPr>
          <w:sz w:val="20"/>
          <w:szCs w:val="20"/>
          <w:color w:val="auto"/>
        </w:rPr>
      </w:pPr>
      <w:r>
        <w:rPr>
          <w:rFonts w:ascii="Arial" w:cs="Arial" w:eastAsia="Arial" w:hAnsi="Arial"/>
          <w:sz w:val="17"/>
          <w:szCs w:val="17"/>
          <w:i w:val="1"/>
          <w:iCs w:val="1"/>
          <w:color w:val="auto"/>
        </w:rPr>
        <w:t>Offering Periods and Purchase Periods</w:t>
      </w:r>
      <w:r>
        <w:rPr>
          <w:rFonts w:ascii="Arial" w:cs="Arial" w:eastAsia="Arial" w:hAnsi="Arial"/>
          <w:sz w:val="17"/>
          <w:szCs w:val="17"/>
          <w:color w:val="auto"/>
        </w:rPr>
        <w:t>. Our ESPP includes a component, or the 423 Component, that is intended to qualify as an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stock purchase plan” under Code Section 423, and a component that does not comply with Code Section 423, or the Non-423 Component. For purposes of this summary, a reference to our ESPP generally will mean the terms and operations of the 423 Component.</w:t>
      </w:r>
    </w:p>
    <w:p>
      <w:pPr>
        <w:spacing w:after="0" w:line="141"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Our ESPP provides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our ESPP, including the starting and ending dates of offering periods and purchase periods and the number of purchase periods in any offering periods. Unless determined otherwise by the administrator, if the fair market value of a share of our common stock on a purchase date is less than the fair market value of a share of our common stock on the first trading day of the offering period, participants in that offering period will be withdrawn from that offering period following their purchase of shares on such purchase date and automatically will be enrolled in a new offering period.</w:t>
      </w:r>
    </w:p>
    <w:p>
      <w:pPr>
        <w:spacing w:after="0" w:line="131"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i w:val="1"/>
          <w:iCs w:val="1"/>
          <w:color w:val="auto"/>
        </w:rPr>
        <w:t>Contributions</w:t>
      </w:r>
      <w:r>
        <w:rPr>
          <w:rFonts w:ascii="Arial" w:cs="Arial" w:eastAsia="Arial" w:hAnsi="Arial"/>
          <w:sz w:val="17"/>
          <w:szCs w:val="17"/>
          <w:color w:val="auto"/>
        </w:rPr>
        <w:t>. Our ESPP permits participants to purchase shares of our common stock through payroll deductions of up to 15% of their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Exercise of Purchase Right</w:t>
      </w:r>
      <w:r>
        <w:rPr>
          <w:rFonts w:ascii="Arial" w:cs="Arial" w:eastAsia="Arial" w:hAnsi="Arial"/>
          <w:sz w:val="17"/>
          <w:szCs w:val="17"/>
          <w:color w:val="auto"/>
        </w:rPr>
        <w:t>. Amounts deducted and accumulated by a participant under our ESPP are used to purchase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3,000 shares during each offering period. Until shares of our common stock are issued (as evidenced by the appropriate entry on our books or the books of a duly authorized transfer agent of</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our) to a participant, the participant will have only rights of an unsecured creditor with respect to such shares, and no right to vote or receive dividends or any other rights as a stockholder with respect to such shares.</w:t>
      </w:r>
    </w:p>
    <w:p>
      <w:pPr>
        <w:spacing w:after="0" w:line="126" w:lineRule="exact"/>
        <w:rPr>
          <w:sz w:val="20"/>
          <w:szCs w:val="20"/>
          <w:color w:val="auto"/>
        </w:rPr>
      </w:pPr>
    </w:p>
    <w:p>
      <w:pPr>
        <w:ind w:left="120" w:right="40"/>
        <w:spacing w:after="0" w:line="265" w:lineRule="auto"/>
        <w:rPr>
          <w:sz w:val="20"/>
          <w:szCs w:val="20"/>
          <w:color w:val="auto"/>
        </w:rPr>
      </w:pPr>
      <w:r>
        <w:rPr>
          <w:rFonts w:ascii="Arial" w:cs="Arial" w:eastAsia="Arial" w:hAnsi="Arial"/>
          <w:sz w:val="17"/>
          <w:szCs w:val="17"/>
          <w:i w:val="1"/>
          <w:iCs w:val="1"/>
          <w:color w:val="auto"/>
        </w:rPr>
        <w:t>Non-transferability</w:t>
      </w:r>
      <w:r>
        <w:rPr>
          <w:rFonts w:ascii="Arial" w:cs="Arial" w:eastAsia="Arial" w:hAnsi="Arial"/>
          <w:sz w:val="17"/>
          <w:szCs w:val="17"/>
          <w:color w:val="auto"/>
        </w:rPr>
        <w:t>. A participant may not transfer the contributions credited to his or her ESPP account or rights granted under our ESPP,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by will or the laws of descent and distribution.</w:t>
      </w:r>
    </w:p>
    <w:p>
      <w:pPr>
        <w:spacing w:after="0" w:line="108" w:lineRule="exact"/>
        <w:rPr>
          <w:sz w:val="20"/>
          <w:szCs w:val="20"/>
          <w:color w:val="auto"/>
        </w:rPr>
      </w:pPr>
    </w:p>
    <w:p>
      <w:pPr>
        <w:ind w:left="120" w:right="100"/>
        <w:spacing w:after="0" w:line="237"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Our ESPP provides that in the event that any dividend or other distribution (whether in the form of cash,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other securities or other property), recapitalization, stock split, reverse stock split, reorganization, merger, consolidation, split-up, spin-off,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30" w:lineRule="exact"/>
        <w:rPr>
          <w:sz w:val="20"/>
          <w:szCs w:val="20"/>
          <w:color w:val="auto"/>
        </w:rPr>
      </w:pPr>
    </w:p>
    <w:p>
      <w:pPr>
        <w:ind w:left="120" w:right="100"/>
        <w:spacing w:after="0"/>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In the event of our merger or change in control, as defined in our ESPP, a successor corporation may assume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3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The administrator has the authority to modify, amend, suspend or terminate our ESPP except that,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prior to the effective date of our registration statement related to our initial public offering, unless we terminate it earlier.</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Plan Sales</w:t>
      </w:r>
    </w:p>
    <w:p>
      <w:pPr>
        <w:spacing w:after="0" w:line="80"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90th day after the date of this offering, the sale of any shares under such plan would be subject to the lock-up agreement that the director or executive officer has entered into with the underwriters.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336"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The following is a description of certain relationships and transactions since January 2017 involving our directors, executive officers or beneficial holders of more than 5% of our capital stock. Compensation arrangements with our directors and officers are described in “Management— Director Compensation,” “Executive Compensation” and “Management.”</w:t>
      </w:r>
    </w:p>
    <w:p>
      <w:pPr>
        <w:spacing w:after="0" w:line="147"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Prior to April 1, 2020, all of our beneficial holders were shareholders of our predecessor, ALX Oncology Limited. On April 1, 2020, we were incorporated in Delaware and completed a reorganization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w:t>
      </w:r>
    </w:p>
    <w:p>
      <w:pPr>
        <w:spacing w:after="0" w:line="150"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 related-party transaction disclosures included below reflect transactions between ALX Oncology Limited and related parties from January 1, 2017 to September 30, 2020, the period prior to our incorporation and the effectiveness of the reorganization. For all other times, it includes transactions between us and related parties.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Transaction</w:t>
      </w:r>
    </w:p>
    <w:p>
      <w:pPr>
        <w:spacing w:after="0" w:line="53"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As described above, on April 1, 2020, we consummated a reorganization whereby we issued and sold to the existing shareholders of ALX Oncology Limited an aggregate of 3,166,946 shares of our common stock at purchase prices per share ranging from $0.007 to $1.91, an aggregate of 9,297,081 shares of our Series A convertible preferred stock at a purchase price per share of $6.58, an aggregate of 1,016,727 shares of our Series B convertible preferred stock at a purchase price per share of $9.4972 and an aggregate of 11,055,966 shares of our Series C convertible preferred stock at a purchase price per share of $9.4972, in exchange for promissory notes with an aggregate principal amount of $176.3 million. We also acquired 525,000,000 ordinary shares of ALX Oncology Limited in exchange for the promissory notes that were acquired in connection with such issuance and sale of our capital stock.</w:t>
      </w:r>
    </w:p>
    <w:p>
      <w:pPr>
        <w:spacing w:after="0" w:line="151"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Purchasers of our shares of common stock, Series A convertible preferred stock, Series B convertible preferred stock and Series C convertible preferred stock include certain of our directors and executive officers and venture capital funds that beneficially own more than 5% of our outstanding capital stock and/or are represented on our board of directors. The following table presents the number of shares purchased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154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SHARES OF</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7"/>
        </w:trPr>
        <w:tc>
          <w:tcPr>
            <w:tcW w:w="740" w:type="dxa"/>
            <w:vAlign w:val="bottom"/>
            <w:tcBorders>
              <w:bottom w:val="single" w:sz="8" w:color="auto"/>
            </w:tcBorders>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COMMON STOCK</w:t>
            </w:r>
          </w:p>
        </w:tc>
        <w:tc>
          <w:tcPr>
            <w:tcW w:w="260" w:type="dxa"/>
            <w:vAlign w:val="bottom"/>
          </w:tcPr>
          <w:p>
            <w:pPr>
              <w:spacing w:after="0"/>
              <w:rPr>
                <w:sz w:val="14"/>
                <w:szCs w:val="14"/>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2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w w:val="99"/>
              </w:rPr>
              <w:t>Sophia Randolph, M.D., Ph.D.</w:t>
            </w:r>
          </w:p>
        </w:tc>
        <w:tc>
          <w:tcPr>
            <w:tcW w:w="5500" w:type="dxa"/>
            <w:vAlign w:val="bottom"/>
            <w:vMerge w:val="restart"/>
            <w:shd w:val="clear" w:color="auto" w:fill="CCEEFF"/>
          </w:tcPr>
          <w:p>
            <w:pPr>
              <w:jc w:val="right"/>
              <w:ind w:right="5247"/>
              <w:spacing w:after="0" w:line="156" w:lineRule="exact"/>
              <w:rPr>
                <w:sz w:val="20"/>
                <w:szCs w:val="20"/>
                <w:color w:val="auto"/>
              </w:rPr>
            </w:pPr>
            <w:r>
              <w:rPr>
                <w:rFonts w:ascii="Arial" w:cs="Arial" w:eastAsia="Arial" w:hAnsi="Arial"/>
                <w:sz w:val="15"/>
                <w:szCs w:val="15"/>
                <w:color w:val="auto"/>
                <w:w w:val="87"/>
              </w:rPr>
              <w:t>(1)</w:t>
            </w: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280" w:type="dxa"/>
            <w:vAlign w:val="bottom"/>
            <w:gridSpan w:val="2"/>
            <w:vMerge w:val="continue"/>
            <w:shd w:val="clear" w:color="auto" w:fill="CCEEFF"/>
          </w:tcPr>
          <w:p>
            <w:pPr>
              <w:spacing w:after="0"/>
              <w:rPr>
                <w:sz w:val="11"/>
                <w:szCs w:val="11"/>
                <w:color w:val="auto"/>
              </w:rPr>
            </w:pPr>
          </w:p>
        </w:tc>
        <w:tc>
          <w:tcPr>
            <w:tcW w:w="5500" w:type="dxa"/>
            <w:vAlign w:val="bottom"/>
            <w:vMerge w:val="continue"/>
            <w:shd w:val="clear" w:color="auto" w:fill="CCEEFF"/>
          </w:tcPr>
          <w:p>
            <w:pPr>
              <w:spacing w:after="0"/>
              <w:rPr>
                <w:sz w:val="11"/>
                <w:szCs w:val="11"/>
                <w:color w:val="auto"/>
              </w:rPr>
            </w:pPr>
          </w:p>
        </w:tc>
        <w:tc>
          <w:tcPr>
            <w:tcW w:w="1860" w:type="dxa"/>
            <w:vAlign w:val="bottom"/>
            <w:gridSpan w:val="2"/>
            <w:vMerge w:val="restart"/>
            <w:shd w:val="clear" w:color="auto" w:fill="CCEEFF"/>
          </w:tcPr>
          <w:p>
            <w:pPr>
              <w:jc w:val="right"/>
              <w:ind w:right="660"/>
              <w:spacing w:after="0" w:line="176" w:lineRule="exact"/>
              <w:rPr>
                <w:sz w:val="20"/>
                <w:szCs w:val="20"/>
                <w:color w:val="auto"/>
              </w:rPr>
            </w:pPr>
            <w:r>
              <w:rPr>
                <w:rFonts w:ascii="Arial" w:cs="Arial" w:eastAsia="Arial" w:hAnsi="Arial"/>
                <w:sz w:val="17"/>
                <w:szCs w:val="17"/>
                <w:color w:val="auto"/>
              </w:rPr>
              <w:t>132,966</w:t>
            </w:r>
          </w:p>
        </w:tc>
        <w:tc>
          <w:tcPr>
            <w:tcW w:w="260" w:type="dxa"/>
            <w:vAlign w:val="bottom"/>
            <w:vMerge w:val="restart"/>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vMerge w:val="restart"/>
            <w:shd w:val="clear" w:color="auto" w:fill="CCEEFF"/>
          </w:tcPr>
          <w:p>
            <w:pPr>
              <w:jc w:val="right"/>
              <w:spacing w:after="0" w:line="176" w:lineRule="exact"/>
              <w:rPr>
                <w:sz w:val="20"/>
                <w:szCs w:val="20"/>
                <w:color w:val="auto"/>
              </w:rPr>
            </w:pPr>
            <w:r>
              <w:rPr>
                <w:rFonts w:ascii="Arial" w:cs="Arial" w:eastAsia="Arial" w:hAnsi="Arial"/>
                <w:sz w:val="17"/>
                <w:szCs w:val="17"/>
                <w:color w:val="auto"/>
              </w:rPr>
              <w:t>131,250</w:t>
            </w:r>
          </w:p>
        </w:tc>
        <w:tc>
          <w:tcPr>
            <w:tcW w:w="0" w:type="dxa"/>
            <w:vAlign w:val="bottom"/>
          </w:tcPr>
          <w:p>
            <w:pPr>
              <w:spacing w:after="0"/>
              <w:rPr>
                <w:sz w:val="1"/>
                <w:szCs w:val="1"/>
                <w:color w:val="auto"/>
              </w:rPr>
            </w:pPr>
          </w:p>
        </w:tc>
      </w:tr>
      <w:tr>
        <w:trPr>
          <w:trHeight w:val="40"/>
        </w:trPr>
        <w:tc>
          <w:tcPr>
            <w:tcW w:w="2280" w:type="dxa"/>
            <w:vAlign w:val="bottom"/>
            <w:gridSpan w:val="2"/>
            <w:vMerge w:val="continue"/>
            <w:shd w:val="clear" w:color="auto" w:fill="CCEEFF"/>
          </w:tcPr>
          <w:p>
            <w:pPr>
              <w:spacing w:after="0"/>
              <w:rPr>
                <w:sz w:val="3"/>
                <w:szCs w:val="3"/>
                <w:color w:val="auto"/>
              </w:rPr>
            </w:pPr>
          </w:p>
        </w:tc>
        <w:tc>
          <w:tcPr>
            <w:tcW w:w="5500" w:type="dxa"/>
            <w:vAlign w:val="bottom"/>
            <w:shd w:val="clear" w:color="auto" w:fill="CCEEFF"/>
          </w:tcPr>
          <w:p>
            <w:pPr>
              <w:spacing w:after="0"/>
              <w:rPr>
                <w:sz w:val="3"/>
                <w:szCs w:val="3"/>
                <w:color w:val="auto"/>
              </w:rPr>
            </w:pPr>
          </w:p>
        </w:tc>
        <w:tc>
          <w:tcPr>
            <w:tcW w:w="1860" w:type="dxa"/>
            <w:vAlign w:val="bottom"/>
            <w:gridSpan w:val="2"/>
            <w:vMerge w:val="continue"/>
            <w:shd w:val="clear" w:color="auto" w:fill="CCEEFF"/>
          </w:tcPr>
          <w:p>
            <w:pPr>
              <w:spacing w:after="0"/>
              <w:rPr>
                <w:sz w:val="3"/>
                <w:szCs w:val="3"/>
                <w:color w:val="auto"/>
              </w:rPr>
            </w:pPr>
          </w:p>
        </w:tc>
        <w:tc>
          <w:tcPr>
            <w:tcW w:w="260" w:type="dxa"/>
            <w:vAlign w:val="bottom"/>
            <w:vMerge w:val="continue"/>
            <w:shd w:val="clear" w:color="auto" w:fill="CCEEFF"/>
          </w:tcPr>
          <w:p>
            <w:pPr>
              <w:spacing w:after="0"/>
              <w:rPr>
                <w:sz w:val="3"/>
                <w:szCs w:val="3"/>
                <w:color w:val="auto"/>
              </w:rPr>
            </w:pPr>
          </w:p>
        </w:tc>
        <w:tc>
          <w:tcPr>
            <w:tcW w:w="1120" w:type="dxa"/>
            <w:vAlign w:val="bottom"/>
            <w:tcBorders>
              <w:right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Dr. Randolph currently serves as our 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line="232" w:lineRule="auto"/>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Jason Lettmann</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SHARES OF</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SERIES A</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CONVERTIBLE</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PREFERRED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76"/>
        </w:trPr>
        <w:tc>
          <w:tcPr>
            <w:tcW w:w="10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5,498,608</w:t>
            </w:r>
          </w:p>
        </w:tc>
        <w:tc>
          <w:tcPr>
            <w:tcW w:w="700" w:type="dxa"/>
            <w:vAlign w:val="bottom"/>
          </w:tcPr>
          <w:p>
            <w:pPr>
              <w:spacing w:after="0"/>
              <w:rPr>
                <w:sz w:val="15"/>
                <w:szCs w:val="15"/>
                <w:color w:val="auto"/>
              </w:rPr>
            </w:pPr>
          </w:p>
        </w:tc>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36,184,150</w:t>
            </w:r>
          </w:p>
        </w:tc>
        <w:tc>
          <w:tcPr>
            <w:tcW w:w="20" w:type="dxa"/>
            <w:vAlign w:val="bottom"/>
          </w:tcPr>
          <w:p>
            <w:pPr>
              <w:spacing w:after="0"/>
              <w:rPr>
                <w:sz w:val="15"/>
                <w:szCs w:val="15"/>
                <w:color w:val="auto"/>
              </w:rPr>
            </w:pPr>
          </w:p>
        </w:tc>
      </w:tr>
      <w:tr>
        <w:trPr>
          <w:trHeight w:val="189"/>
        </w:trPr>
        <w:tc>
          <w:tcPr>
            <w:tcW w:w="174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2,579,776</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16,976,504</w:t>
            </w:r>
          </w:p>
        </w:tc>
      </w:tr>
      <w:tr>
        <w:trPr>
          <w:trHeight w:val="189"/>
        </w:trPr>
        <w:tc>
          <w:tcPr>
            <w:tcW w:w="174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78,175</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514,446</w:t>
            </w:r>
          </w:p>
        </w:tc>
      </w:tr>
      <w:tr>
        <w:trPr>
          <w:trHeight w:val="205"/>
        </w:trPr>
        <w:tc>
          <w:tcPr>
            <w:tcW w:w="1740" w:type="dxa"/>
            <w:vAlign w:val="bottom"/>
            <w:gridSpan w:val="2"/>
          </w:tcPr>
          <w:p>
            <w:pPr>
              <w:jc w:val="right"/>
              <w:ind w:right="700"/>
              <w:spacing w:after="0"/>
              <w:rPr>
                <w:sz w:val="20"/>
                <w:szCs w:val="20"/>
                <w:color w:val="auto"/>
              </w:rPr>
            </w:pPr>
            <w:r>
              <w:rPr>
                <w:rFonts w:ascii="Arial" w:cs="Arial" w:eastAsia="Arial" w:hAnsi="Arial"/>
                <w:sz w:val="17"/>
                <w:szCs w:val="17"/>
                <w:color w:val="auto"/>
              </w:rPr>
              <w:t>78,175</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514,446</w:t>
            </w:r>
          </w:p>
        </w:tc>
      </w:tr>
    </w:tbl>
    <w:p>
      <w:pPr>
        <w:spacing w:after="0" w:line="200" w:lineRule="exact"/>
        <w:rPr>
          <w:sz w:val="20"/>
          <w:szCs w:val="20"/>
          <w:color w:val="auto"/>
        </w:rPr>
      </w:pPr>
    </w:p>
    <w:p>
      <w:pPr>
        <w:sectPr>
          <w:pgSz w:w="11900" w:h="16838" w:orient="portrait"/>
          <w:cols w:equalWidth="0" w:num="2">
            <w:col w:w="7300" w:space="720"/>
            <w:col w:w="3120"/>
          </w:cols>
          <w:pgMar w:left="320" w:top="459" w:right="439" w:bottom="1440" w:gutter="0" w:footer="0" w:header="0"/>
          <w:type w:val="continuous"/>
        </w:sectPr>
      </w:pPr>
    </w:p>
    <w:p>
      <w:pPr>
        <w:spacing w:after="0" w:line="65" w:lineRule="exact"/>
        <w:rPr>
          <w:sz w:val="20"/>
          <w:szCs w:val="20"/>
          <w:color w:val="auto"/>
        </w:rPr>
      </w:pPr>
    </w:p>
    <w:p>
      <w:pPr>
        <w:ind w:left="540" w:right="60" w:hanging="276"/>
        <w:spacing w:after="0" w:line="249"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140"/>
          </w:cols>
          <w:pgMar w:left="320" w:top="459" w:right="43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hanging="276"/>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00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SHARES OF SERIES B</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2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76"/>
        </w:trPr>
        <w:tc>
          <w:tcPr>
            <w:tcW w:w="15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490,411</w:t>
            </w:r>
          </w:p>
        </w:tc>
        <w:tc>
          <w:tcPr>
            <w:tcW w:w="840" w:type="dxa"/>
            <w:vAlign w:val="bottom"/>
          </w:tcPr>
          <w:p>
            <w:pPr>
              <w:spacing w:after="0"/>
              <w:rPr>
                <w:sz w:val="15"/>
                <w:szCs w:val="15"/>
                <w:color w:val="auto"/>
              </w:rPr>
            </w:pPr>
          </w:p>
        </w:tc>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4,657,496</w:t>
            </w:r>
          </w:p>
        </w:tc>
        <w:tc>
          <w:tcPr>
            <w:tcW w:w="20" w:type="dxa"/>
            <w:vAlign w:val="bottom"/>
          </w:tcPr>
          <w:p>
            <w:pPr>
              <w:spacing w:after="0"/>
              <w:rPr>
                <w:sz w:val="15"/>
                <w:szCs w:val="15"/>
                <w:color w:val="auto"/>
              </w:rPr>
            </w:pPr>
          </w:p>
        </w:tc>
      </w:tr>
      <w:tr>
        <w:trPr>
          <w:trHeight w:val="189"/>
        </w:trPr>
        <w:tc>
          <w:tcPr>
            <w:tcW w:w="2400" w:type="dxa"/>
            <w:vAlign w:val="bottom"/>
            <w:gridSpan w:val="2"/>
          </w:tcPr>
          <w:p>
            <w:pPr>
              <w:jc w:val="right"/>
              <w:ind w:right="840"/>
              <w:spacing w:after="0" w:line="189" w:lineRule="exact"/>
              <w:rPr>
                <w:sz w:val="20"/>
                <w:szCs w:val="20"/>
                <w:color w:val="auto"/>
              </w:rPr>
            </w:pPr>
            <w:r>
              <w:rPr>
                <w:rFonts w:ascii="Arial" w:cs="Arial" w:eastAsia="Arial" w:hAnsi="Arial"/>
                <w:sz w:val="17"/>
                <w:szCs w:val="17"/>
                <w:color w:val="auto"/>
              </w:rPr>
              <w:t>230,084</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2,185,155</w:t>
            </w:r>
          </w:p>
        </w:tc>
      </w:tr>
      <w:tr>
        <w:trPr>
          <w:trHeight w:val="205"/>
        </w:trPr>
        <w:tc>
          <w:tcPr>
            <w:tcW w:w="2400" w:type="dxa"/>
            <w:vAlign w:val="bottom"/>
            <w:gridSpan w:val="2"/>
          </w:tcPr>
          <w:p>
            <w:pPr>
              <w:jc w:val="right"/>
              <w:ind w:right="840"/>
              <w:spacing w:after="0"/>
              <w:rPr>
                <w:sz w:val="20"/>
                <w:szCs w:val="20"/>
                <w:color w:val="auto"/>
              </w:rPr>
            </w:pPr>
            <w:r>
              <w:rPr>
                <w:rFonts w:ascii="Arial" w:cs="Arial" w:eastAsia="Arial" w:hAnsi="Arial"/>
                <w:sz w:val="17"/>
                <w:szCs w:val="17"/>
                <w:color w:val="auto"/>
              </w:rPr>
              <w:t>15,794</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149,999</w:t>
            </w:r>
          </w:p>
        </w:tc>
      </w:tr>
    </w:tbl>
    <w:p>
      <w:pPr>
        <w:spacing w:after="0" w:line="200" w:lineRule="exact"/>
        <w:rPr>
          <w:sz w:val="20"/>
          <w:szCs w:val="20"/>
          <w:color w:val="auto"/>
        </w:rPr>
      </w:pPr>
    </w:p>
    <w:p>
      <w:pPr>
        <w:sectPr>
          <w:pgSz w:w="11900" w:h="16838" w:orient="portrait"/>
          <w:cols w:equalWidth="0" w:num="2">
            <w:col w:w="6640" w:space="720"/>
            <w:col w:w="3780"/>
          </w:cols>
          <w:pgMar w:left="320" w:top="459" w:right="439" w:bottom="1440" w:gutter="0" w:footer="0" w:header="0"/>
          <w:type w:val="continuous"/>
        </w:sectPr>
      </w:pPr>
    </w:p>
    <w:p>
      <w:pPr>
        <w:spacing w:after="0" w:line="65" w:lineRule="exact"/>
        <w:rPr>
          <w:sz w:val="20"/>
          <w:szCs w:val="20"/>
          <w:color w:val="auto"/>
        </w:rPr>
      </w:pPr>
    </w:p>
    <w:p>
      <w:pPr>
        <w:ind w:left="540" w:right="60" w:hanging="276"/>
        <w:spacing w:after="0" w:line="249"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SHARES OF 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260" w:type="dxa"/>
            <w:vAlign w:val="bottom"/>
          </w:tcPr>
          <w:p>
            <w:pPr>
              <w:spacing w:after="0"/>
              <w:rPr>
                <w:sz w:val="14"/>
                <w:szCs w:val="14"/>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260" w:type="dxa"/>
            <w:vAlign w:val="bottom"/>
          </w:tcPr>
          <w:p>
            <w:pPr>
              <w:spacing w:after="0"/>
              <w:rPr>
                <w:sz w:val="15"/>
                <w:szCs w:val="15"/>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26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52,647</w:t>
            </w:r>
          </w:p>
        </w:tc>
        <w:tc>
          <w:tcPr>
            <w:tcW w:w="6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260" w:type="dxa"/>
            <w:vAlign w:val="bottom"/>
            <w:vMerge w:val="restart"/>
          </w:tcPr>
          <w:p>
            <w:pPr>
              <w:jc w:val="right"/>
              <w:ind w:right="3007"/>
              <w:spacing w:after="0"/>
              <w:rPr>
                <w:sz w:val="20"/>
                <w:szCs w:val="20"/>
                <w:color w:val="auto"/>
              </w:rPr>
            </w:pPr>
            <w:r>
              <w:rPr>
                <w:rFonts w:ascii="Arial" w:cs="Arial" w:eastAsia="Arial" w:hAnsi="Arial"/>
                <w:sz w:val="15"/>
                <w:szCs w:val="15"/>
                <w:color w:val="auto"/>
                <w:w w:val="87"/>
              </w:rPr>
              <w:t>(2)</w:t>
            </w:r>
          </w:p>
        </w:tc>
        <w:tc>
          <w:tcPr>
            <w:tcW w:w="2220" w:type="dxa"/>
            <w:vAlign w:val="bottom"/>
            <w:gridSpan w:val="2"/>
          </w:tcPr>
          <w:p>
            <w:pPr>
              <w:jc w:val="right"/>
              <w:ind w:right="660"/>
              <w:spacing w:after="0" w:line="135" w:lineRule="exact"/>
              <w:rPr>
                <w:sz w:val="20"/>
                <w:szCs w:val="20"/>
                <w:color w:val="auto"/>
              </w:rPr>
            </w:pPr>
            <w:r>
              <w:rPr>
                <w:rFonts w:ascii="Arial" w:cs="Arial" w:eastAsia="Arial" w:hAnsi="Arial"/>
                <w:sz w:val="15"/>
                <w:szCs w:val="15"/>
                <w:color w:val="auto"/>
              </w:rPr>
              <w:t>1,052,950</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26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859,311</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260" w:type="dxa"/>
            <w:vAlign w:val="bottom"/>
          </w:tcPr>
          <w:p>
            <w:pPr>
              <w:spacing w:after="0" w:line="20" w:lineRule="exact"/>
              <w:rPr>
                <w:sz w:val="1"/>
                <w:szCs w:val="1"/>
                <w:color w:val="auto"/>
              </w:rPr>
            </w:pPr>
          </w:p>
        </w:tc>
        <w:tc>
          <w:tcPr>
            <w:tcW w:w="2220" w:type="dxa"/>
            <w:vAlign w:val="bottom"/>
            <w:gridSpan w:val="2"/>
          </w:tcPr>
          <w:p>
            <w:pPr>
              <w:jc w:val="right"/>
              <w:ind w:right="660"/>
              <w:spacing w:after="0" w:line="4" w:lineRule="exact"/>
              <w:rPr>
                <w:sz w:val="20"/>
                <w:szCs w:val="20"/>
                <w:color w:val="auto"/>
              </w:rPr>
            </w:pPr>
            <w:r>
              <w:rPr>
                <w:rFonts w:ascii="Arial" w:cs="Arial" w:eastAsia="Arial" w:hAnsi="Arial"/>
                <w:sz w:val="1"/>
                <w:szCs w:val="1"/>
                <w:color w:val="auto"/>
              </w:rPr>
              <w:t>2,105,901</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79"/>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16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Vivo Capital Fund IX, LP</w:t>
            </w:r>
          </w:p>
        </w:tc>
        <w:tc>
          <w:tcPr>
            <w:tcW w:w="3260" w:type="dxa"/>
            <w:vAlign w:val="bottom"/>
            <w:shd w:val="clear" w:color="auto" w:fill="CCEEFF"/>
          </w:tcPr>
          <w:p>
            <w:pPr>
              <w:spacing w:after="0" w:line="20" w:lineRule="exact"/>
              <w:rPr>
                <w:sz w:val="1"/>
                <w:szCs w:val="1"/>
                <w:color w:val="auto"/>
              </w:rPr>
            </w:pPr>
          </w:p>
        </w:tc>
        <w:tc>
          <w:tcPr>
            <w:tcW w:w="2220" w:type="dxa"/>
            <w:vAlign w:val="bottom"/>
            <w:gridSpan w:val="2"/>
            <w:shd w:val="clear" w:color="auto" w:fill="CCEEFF"/>
          </w:tcPr>
          <w:p>
            <w:pPr>
              <w:jc w:val="right"/>
              <w:ind w:right="660"/>
              <w:spacing w:after="0" w:line="10" w:lineRule="exact"/>
              <w:rPr>
                <w:sz w:val="20"/>
                <w:szCs w:val="20"/>
                <w:color w:val="auto"/>
              </w:rPr>
            </w:pPr>
            <w:r>
              <w:rPr>
                <w:rFonts w:ascii="Arial" w:cs="Arial" w:eastAsia="Arial" w:hAnsi="Arial"/>
                <w:sz w:val="1"/>
                <w:szCs w:val="1"/>
                <w:color w:val="auto"/>
              </w:rPr>
              <w:t>3,158,851</w:t>
            </w:r>
          </w:p>
        </w:tc>
        <w:tc>
          <w:tcPr>
            <w:tcW w:w="2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5" w:lineRule="exact"/>
        <w:rPr>
          <w:sz w:val="20"/>
          <w:szCs w:val="20"/>
          <w:color w:val="auto"/>
        </w:rPr>
      </w:pPr>
    </w:p>
    <w:p>
      <w:pPr>
        <w:ind w:left="540" w:hanging="276"/>
        <w:spacing w:after="0"/>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49"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Share Financings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C Convertible Preferred Shares Transaction</w:t>
      </w:r>
    </w:p>
    <w:p>
      <w:pPr>
        <w:spacing w:after="0" w:line="54"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In February 2020, we issued and sold an aggregate of 11,055,966 shares of our Series C convertible preferred shares at a purchase price of $9.4972 per share for an aggregate purchase price of approximately $105.0 million.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140"/>
          </w:cols>
          <w:pgMar w:left="320" w:top="459" w:right="43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7"/>
          <w:szCs w:val="17"/>
          <w:color w:val="auto"/>
        </w:rPr>
        <w:t>Purchasers of our Series C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3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52,647</w:t>
            </w:r>
          </w:p>
        </w:tc>
        <w:tc>
          <w:tcPr>
            <w:tcW w:w="5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360" w:type="dxa"/>
            <w:vAlign w:val="bottom"/>
            <w:vMerge w:val="restart"/>
          </w:tcPr>
          <w:p>
            <w:pPr>
              <w:jc w:val="right"/>
              <w:ind w:right="3107"/>
              <w:spacing w:after="0"/>
              <w:rPr>
                <w:sz w:val="20"/>
                <w:szCs w:val="20"/>
                <w:color w:val="auto"/>
              </w:rPr>
            </w:pPr>
            <w:r>
              <w:rPr>
                <w:rFonts w:ascii="Arial" w:cs="Arial" w:eastAsia="Arial" w:hAnsi="Arial"/>
                <w:sz w:val="15"/>
                <w:szCs w:val="15"/>
                <w:color w:val="auto"/>
                <w:w w:val="87"/>
              </w:rPr>
              <w:t>(2)</w:t>
            </w:r>
          </w:p>
        </w:tc>
        <w:tc>
          <w:tcPr>
            <w:tcW w:w="2120" w:type="dxa"/>
            <w:vAlign w:val="bottom"/>
            <w:gridSpan w:val="2"/>
          </w:tcPr>
          <w:p>
            <w:pPr>
              <w:jc w:val="right"/>
              <w:ind w:right="580"/>
              <w:spacing w:after="0" w:line="135" w:lineRule="exact"/>
              <w:rPr>
                <w:sz w:val="20"/>
                <w:szCs w:val="20"/>
                <w:color w:val="auto"/>
              </w:rPr>
            </w:pPr>
            <w:r>
              <w:rPr>
                <w:rFonts w:ascii="Arial" w:cs="Arial" w:eastAsia="Arial" w:hAnsi="Arial"/>
                <w:sz w:val="15"/>
                <w:szCs w:val="15"/>
                <w:color w:val="auto"/>
              </w:rPr>
              <w:t>1,052,950</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3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36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859,311</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360" w:type="dxa"/>
            <w:vAlign w:val="bottom"/>
          </w:tcPr>
          <w:p>
            <w:pPr>
              <w:spacing w:after="0" w:line="20" w:lineRule="exact"/>
              <w:rPr>
                <w:sz w:val="1"/>
                <w:szCs w:val="1"/>
                <w:color w:val="auto"/>
              </w:rPr>
            </w:pPr>
          </w:p>
        </w:tc>
        <w:tc>
          <w:tcPr>
            <w:tcW w:w="2120" w:type="dxa"/>
            <w:vAlign w:val="bottom"/>
            <w:gridSpan w:val="2"/>
          </w:tcPr>
          <w:p>
            <w:pPr>
              <w:jc w:val="right"/>
              <w:ind w:right="580"/>
              <w:spacing w:after="0" w:line="4" w:lineRule="exact"/>
              <w:rPr>
                <w:sz w:val="20"/>
                <w:szCs w:val="20"/>
                <w:color w:val="auto"/>
              </w:rPr>
            </w:pPr>
            <w:r>
              <w:rPr>
                <w:rFonts w:ascii="Arial" w:cs="Arial" w:eastAsia="Arial" w:hAnsi="Arial"/>
                <w:sz w:val="1"/>
                <w:szCs w:val="1"/>
                <w:color w:val="auto"/>
              </w:rPr>
              <w:t>2,105,901</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79"/>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16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Vivo Capital Fund IX, LP</w:t>
            </w:r>
          </w:p>
        </w:tc>
        <w:tc>
          <w:tcPr>
            <w:tcW w:w="3360" w:type="dxa"/>
            <w:vAlign w:val="bottom"/>
            <w:shd w:val="clear" w:color="auto" w:fill="CCEEFF"/>
          </w:tcPr>
          <w:p>
            <w:pPr>
              <w:spacing w:after="0" w:line="20" w:lineRule="exact"/>
              <w:rPr>
                <w:sz w:val="1"/>
                <w:szCs w:val="1"/>
                <w:color w:val="auto"/>
              </w:rPr>
            </w:pPr>
          </w:p>
        </w:tc>
        <w:tc>
          <w:tcPr>
            <w:tcW w:w="2120" w:type="dxa"/>
            <w:vAlign w:val="bottom"/>
            <w:gridSpan w:val="2"/>
            <w:shd w:val="clear" w:color="auto" w:fill="CCEEFF"/>
          </w:tcPr>
          <w:p>
            <w:pPr>
              <w:jc w:val="right"/>
              <w:ind w:right="580"/>
              <w:spacing w:after="0" w:line="10" w:lineRule="exact"/>
              <w:rPr>
                <w:sz w:val="20"/>
                <w:szCs w:val="20"/>
                <w:color w:val="auto"/>
              </w:rPr>
            </w:pPr>
            <w:r>
              <w:rPr>
                <w:rFonts w:ascii="Arial" w:cs="Arial" w:eastAsia="Arial" w:hAnsi="Arial"/>
                <w:sz w:val="1"/>
                <w:szCs w:val="1"/>
                <w:color w:val="auto"/>
              </w:rPr>
              <w:t>3,158,851</w:t>
            </w:r>
          </w:p>
        </w:tc>
        <w:tc>
          <w:tcPr>
            <w:tcW w:w="2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ind w:left="540" w:hanging="276"/>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49" w:lineRule="auto"/>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B Convertible Preferred Shares Transaction</w:t>
      </w:r>
    </w:p>
    <w:p>
      <w:pPr>
        <w:spacing w:after="0" w:line="5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In May 2019, we issued and sold an aggregate of 1,016,727 shares of our Series B convertible preferred shares at a purchase price of $9.4972 per share for an aggregate purchase price of approximately $9.6 million.</w:t>
      </w:r>
    </w:p>
    <w:p>
      <w:pPr>
        <w:spacing w:after="0" w:line="144"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Purchasers of our Series B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SERIES B</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7"/>
        </w:trPr>
        <w:tc>
          <w:tcPr>
            <w:tcW w:w="740" w:type="dxa"/>
            <w:vAlign w:val="bottom"/>
            <w:tcBorders>
              <w:bottom w:val="single" w:sz="8" w:color="auto"/>
            </w:tcBorders>
            <w:vMerge w:val="continue"/>
          </w:tcPr>
          <w:p>
            <w:pPr>
              <w:spacing w:after="0"/>
              <w:rPr>
                <w:sz w:val="14"/>
                <w:szCs w:val="14"/>
                <w:color w:val="auto"/>
              </w:rPr>
            </w:pPr>
          </w:p>
        </w:tc>
        <w:tc>
          <w:tcPr>
            <w:tcW w:w="3420" w:type="dxa"/>
            <w:vAlign w:val="bottom"/>
            <w:vMerge w:val="continue"/>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4"/>
                <w:szCs w:val="14"/>
                <w:color w:val="auto"/>
              </w:rPr>
            </w:pPr>
          </w:p>
        </w:tc>
        <w:tc>
          <w:tcPr>
            <w:tcW w:w="1120" w:type="dxa"/>
            <w:vAlign w:val="bottom"/>
          </w:tcPr>
          <w:p>
            <w:pPr>
              <w:jc w:val="right"/>
              <w:ind w:right="44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7"/>
        </w:trPr>
        <w:tc>
          <w:tcPr>
            <w:tcW w:w="4160" w:type="dxa"/>
            <w:vAlign w:val="bottom"/>
            <w:tcBorders>
              <w:bottom w:val="single" w:sz="8" w:color="CCEEFF"/>
            </w:tcBorders>
            <w:gridSpan w:val="2"/>
            <w:shd w:val="clear" w:color="auto" w:fill="CCEEFF"/>
          </w:tcPr>
          <w:p>
            <w:pPr>
              <w:spacing w:after="0" w:line="7" w:lineRule="exact"/>
              <w:rPr>
                <w:sz w:val="20"/>
                <w:szCs w:val="20"/>
                <w:color w:val="auto"/>
              </w:rPr>
            </w:pPr>
            <w:r>
              <w:rPr>
                <w:rFonts w:ascii="Arial" w:cs="Arial" w:eastAsia="Arial" w:hAnsi="Arial"/>
                <w:sz w:val="1"/>
                <w:szCs w:val="1"/>
                <w:color w:val="auto"/>
              </w:rPr>
              <w:t>Entities affiliated with venBio Global Strategic Fund, LP</w:t>
            </w:r>
          </w:p>
        </w:tc>
        <w:tc>
          <w:tcPr>
            <w:tcW w:w="3200" w:type="dxa"/>
            <w:vAlign w:val="bottom"/>
            <w:tcBorders>
              <w:bottom w:val="single" w:sz="8" w:color="CCEEFF"/>
            </w:tcBorders>
            <w:vMerge w:val="restart"/>
            <w:shd w:val="clear" w:color="auto" w:fill="CCEEFF"/>
          </w:tcPr>
          <w:p>
            <w:pPr>
              <w:jc w:val="right"/>
              <w:ind w:right="2947"/>
              <w:spacing w:after="0" w:line="171" w:lineRule="exact"/>
              <w:rPr>
                <w:sz w:val="20"/>
                <w:szCs w:val="20"/>
                <w:color w:val="auto"/>
              </w:rPr>
            </w:pPr>
            <w:r>
              <w:rPr>
                <w:rFonts w:ascii="Arial" w:cs="Arial" w:eastAsia="Arial" w:hAnsi="Arial"/>
                <w:sz w:val="15"/>
                <w:szCs w:val="15"/>
                <w:color w:val="auto"/>
                <w:w w:val="87"/>
              </w:rPr>
              <w:t>(1)</w:t>
            </w:r>
          </w:p>
        </w:tc>
        <w:tc>
          <w:tcPr>
            <w:tcW w:w="1540" w:type="dxa"/>
            <w:vAlign w:val="bottom"/>
            <w:tcBorders>
              <w:bottom w:val="single" w:sz="8" w:color="auto"/>
            </w:tcBorders>
            <w:shd w:val="clear" w:color="auto" w:fill="000000"/>
          </w:tcPr>
          <w:p>
            <w:pPr>
              <w:jc w:val="right"/>
              <w:spacing w:after="0" w:line="7" w:lineRule="exact"/>
              <w:rPr>
                <w:sz w:val="20"/>
                <w:szCs w:val="20"/>
                <w:color w:val="auto"/>
              </w:rPr>
            </w:pPr>
            <w:r>
              <w:rPr>
                <w:rFonts w:ascii="Arial" w:cs="Arial" w:eastAsia="Arial" w:hAnsi="Arial"/>
                <w:sz w:val="1"/>
                <w:szCs w:val="1"/>
                <w:color w:val="auto"/>
              </w:rPr>
              <w:t>490,411</w:t>
            </w:r>
          </w:p>
        </w:tc>
        <w:tc>
          <w:tcPr>
            <w:tcW w:w="74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7" w:lineRule="exact"/>
              <w:rPr>
                <w:sz w:val="20"/>
                <w:szCs w:val="20"/>
                <w:color w:val="auto"/>
              </w:rPr>
            </w:pPr>
            <w:r>
              <w:rPr>
                <w:rFonts w:ascii="Arial" w:cs="Arial" w:eastAsia="Arial" w:hAnsi="Arial"/>
                <w:sz w:val="1"/>
                <w:szCs w:val="1"/>
                <w:color w:val="auto"/>
              </w:rPr>
              <w:t>$</w:t>
            </w:r>
          </w:p>
        </w:tc>
        <w:tc>
          <w:tcPr>
            <w:tcW w:w="1120" w:type="dxa"/>
            <w:vAlign w:val="bottom"/>
            <w:tcBorders>
              <w:bottom w:val="single" w:sz="8" w:color="auto"/>
              <w:right w:val="single" w:sz="8" w:color="CCEEFF"/>
            </w:tcBorders>
            <w:shd w:val="clear" w:color="auto" w:fill="000000"/>
          </w:tcPr>
          <w:p>
            <w:pPr>
              <w:jc w:val="right"/>
              <w:ind w:right="6"/>
              <w:spacing w:after="0" w:line="7" w:lineRule="exact"/>
              <w:rPr>
                <w:sz w:val="20"/>
                <w:szCs w:val="20"/>
                <w:color w:val="auto"/>
              </w:rPr>
            </w:pPr>
            <w:r>
              <w:rPr>
                <w:rFonts w:ascii="Arial" w:cs="Arial" w:eastAsia="Arial" w:hAnsi="Arial"/>
                <w:sz w:val="1"/>
                <w:szCs w:val="1"/>
                <w:color w:val="auto"/>
              </w:rPr>
              <w:t>4,657,496</w:t>
            </w:r>
          </w:p>
        </w:tc>
        <w:tc>
          <w:tcPr>
            <w:tcW w:w="0" w:type="dxa"/>
            <w:vAlign w:val="bottom"/>
          </w:tcPr>
          <w:p>
            <w:pPr>
              <w:spacing w:after="0" w:line="20" w:lineRule="exact"/>
              <w:rPr>
                <w:sz w:val="1"/>
                <w:szCs w:val="1"/>
                <w:color w:val="auto"/>
              </w:rPr>
            </w:pPr>
          </w:p>
        </w:tc>
      </w:tr>
      <w:tr>
        <w:trPr>
          <w:trHeight w:val="149"/>
        </w:trPr>
        <w:tc>
          <w:tcPr>
            <w:tcW w:w="740" w:type="dxa"/>
            <w:vAlign w:val="bottom"/>
            <w:tcBorders>
              <w:bottom w:val="single" w:sz="8" w:color="CCEEFF"/>
            </w:tcBorders>
            <w:shd w:val="clear" w:color="auto" w:fill="CCEEFF"/>
          </w:tcPr>
          <w:p>
            <w:pPr>
              <w:spacing w:after="0"/>
              <w:rPr>
                <w:sz w:val="12"/>
                <w:szCs w:val="12"/>
                <w:color w:val="auto"/>
              </w:rPr>
            </w:pPr>
          </w:p>
        </w:tc>
        <w:tc>
          <w:tcPr>
            <w:tcW w:w="3420" w:type="dxa"/>
            <w:vAlign w:val="bottom"/>
            <w:tcBorders>
              <w:bottom w:val="single" w:sz="8" w:color="CCEEFF"/>
            </w:tcBorders>
            <w:shd w:val="clear" w:color="auto" w:fill="CCEEFF"/>
          </w:tcPr>
          <w:p>
            <w:pPr>
              <w:spacing w:after="0"/>
              <w:rPr>
                <w:sz w:val="12"/>
                <w:szCs w:val="12"/>
                <w:color w:val="auto"/>
              </w:rPr>
            </w:pPr>
          </w:p>
        </w:tc>
        <w:tc>
          <w:tcPr>
            <w:tcW w:w="3200" w:type="dxa"/>
            <w:vAlign w:val="bottom"/>
            <w:tcBorders>
              <w:bottom w:val="single" w:sz="8" w:color="CCEEFF"/>
            </w:tcBorders>
            <w:vMerge w:val="continue"/>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60" w:type="dxa"/>
            <w:vAlign w:val="bottom"/>
            <w:gridSpan w:val="2"/>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3200" w:type="dxa"/>
            <w:vAlign w:val="bottom"/>
          </w:tcPr>
          <w:p>
            <w:pPr>
              <w:spacing w:after="0"/>
              <w:rPr>
                <w:sz w:val="17"/>
                <w:szCs w:val="17"/>
                <w:color w:val="auto"/>
              </w:rPr>
            </w:pPr>
          </w:p>
        </w:tc>
        <w:tc>
          <w:tcPr>
            <w:tcW w:w="2280" w:type="dxa"/>
            <w:vAlign w:val="bottom"/>
            <w:gridSpan w:val="2"/>
          </w:tcPr>
          <w:p>
            <w:pPr>
              <w:jc w:val="right"/>
              <w:ind w:right="740"/>
              <w:spacing w:after="0"/>
              <w:rPr>
                <w:sz w:val="20"/>
                <w:szCs w:val="20"/>
                <w:color w:val="auto"/>
              </w:rPr>
            </w:pPr>
            <w:r>
              <w:rPr>
                <w:rFonts w:ascii="Arial" w:cs="Arial" w:eastAsia="Arial" w:hAnsi="Arial"/>
                <w:sz w:val="17"/>
                <w:szCs w:val="17"/>
                <w:color w:val="auto"/>
              </w:rPr>
              <w:t>230,084</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6"/>
              <w:spacing w:after="0"/>
              <w:rPr>
                <w:sz w:val="20"/>
                <w:szCs w:val="20"/>
                <w:color w:val="auto"/>
              </w:rPr>
            </w:pPr>
            <w:r>
              <w:rPr>
                <w:rFonts w:ascii="Arial" w:cs="Arial" w:eastAsia="Arial" w:hAnsi="Arial"/>
                <w:sz w:val="17"/>
                <w:szCs w:val="17"/>
                <w:color w:val="auto"/>
              </w:rPr>
              <w:t>2,185,155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540" w:right="20" w:hanging="276"/>
        <w:spacing w:after="0" w:line="247"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25" w:lineRule="exact"/>
        <w:rPr>
          <w:rFonts w:ascii="Arial" w:cs="Arial" w:eastAsia="Arial" w:hAnsi="Arial"/>
          <w:sz w:val="14"/>
          <w:szCs w:val="14"/>
          <w:color w:val="auto"/>
        </w:rPr>
      </w:pPr>
    </w:p>
    <w:p>
      <w:pPr>
        <w:ind w:left="540" w:right="20" w:hanging="276"/>
        <w:spacing w:after="0" w:line="245"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Promissory Notes Transaction</w:t>
      </w:r>
    </w:p>
    <w:p>
      <w:pPr>
        <w:spacing w:after="0" w:line="54" w:lineRule="exact"/>
        <w:rPr>
          <w:sz w:val="20"/>
          <w:szCs w:val="20"/>
          <w:color w:val="auto"/>
        </w:rPr>
      </w:pPr>
    </w:p>
    <w:p>
      <w:pPr>
        <w:jc w:val="both"/>
        <w:ind w:left="120" w:right="120"/>
        <w:spacing w:after="0" w:line="236" w:lineRule="auto"/>
        <w:rPr>
          <w:sz w:val="20"/>
          <w:szCs w:val="20"/>
          <w:color w:val="auto"/>
        </w:rPr>
      </w:pPr>
      <w:r>
        <w:rPr>
          <w:rFonts w:ascii="Arial" w:cs="Arial" w:eastAsia="Arial" w:hAnsi="Arial"/>
          <w:sz w:val="17"/>
          <w:szCs w:val="17"/>
          <w:color w:val="auto"/>
        </w:rPr>
        <w:t>In March 2017, we entered into a convertible promissory note agreement with certain of our directors and venture capital funds that beneficially owned more than 5% of our outstanding share capital and/or are represented on our board of directors, pursuant to which we issued convertible promissory notes in an aggregate principal amount of approximately $25.0 million. The convertible promissory notes bore interest at a rate of 2% per annum, had a maturity date of December 31, 2018 and were convertible into our Series A convertible preferred shares at a</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conversion price of $6.58 per share. In September 2017, all of the convertible promissory notes were converted into our Series A convertible preferred shares.</w:t>
      </w:r>
    </w:p>
    <w:p>
      <w:pPr>
        <w:spacing w:after="0" w:line="14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Purchasers of our Series A convertible preferred shares include venture capital funds that beneficially own more than 5% of our outstanding share capital and/or are represented on its board of directors and are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5980" w:type="dxa"/>
            <w:vAlign w:val="bottom"/>
          </w:tcPr>
          <w:p>
            <w:pPr>
              <w:jc w:val="center"/>
              <w:ind w:left="4188"/>
              <w:spacing w:after="0"/>
              <w:rPr>
                <w:sz w:val="20"/>
                <w:szCs w:val="20"/>
                <w:color w:val="auto"/>
              </w:rPr>
            </w:pPr>
            <w:r>
              <w:rPr>
                <w:rFonts w:ascii="Arial" w:cs="Arial" w:eastAsia="Arial" w:hAnsi="Arial"/>
                <w:sz w:val="14"/>
                <w:szCs w:val="14"/>
                <w:b w:val="1"/>
                <w:bCs w:val="1"/>
                <w:color w:val="auto"/>
              </w:rPr>
              <w:t>AGGREGATE PRINCIPAL</w:t>
            </w:r>
          </w:p>
        </w:tc>
        <w:tc>
          <w:tcPr>
            <w:tcW w:w="0" w:type="dxa"/>
            <w:vAlign w:val="bottom"/>
          </w:tcPr>
          <w:p>
            <w:pPr>
              <w:spacing w:after="0"/>
              <w:rPr>
                <w:sz w:val="1"/>
                <w:szCs w:val="1"/>
                <w:color w:val="auto"/>
              </w:rPr>
            </w:pPr>
          </w:p>
        </w:tc>
      </w:tr>
      <w:tr>
        <w:trPr>
          <w:trHeight w:val="162"/>
        </w:trPr>
        <w:tc>
          <w:tcPr>
            <w:tcW w:w="4980" w:type="dxa"/>
            <w:vAlign w:val="bottom"/>
            <w:vMerge w:val="continue"/>
          </w:tcPr>
          <w:p>
            <w:pPr>
              <w:spacing w:after="0"/>
              <w:rPr>
                <w:sz w:val="14"/>
                <w:szCs w:val="14"/>
                <w:color w:val="auto"/>
              </w:rPr>
            </w:pPr>
          </w:p>
        </w:tc>
        <w:tc>
          <w:tcPr>
            <w:tcW w:w="5980" w:type="dxa"/>
            <w:vAlign w:val="bottom"/>
          </w:tcPr>
          <w:p>
            <w:pPr>
              <w:jc w:val="center"/>
              <w:ind w:left="41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4"/>
        </w:trPr>
        <w:tc>
          <w:tcPr>
            <w:tcW w:w="9220" w:type="dxa"/>
            <w:vAlign w:val="bottom"/>
            <w:tcBorders>
              <w:bottom w:val="single" w:sz="8" w:color="CCEEFF"/>
            </w:tcBorders>
            <w:gridSpan w:val="2"/>
            <w:shd w:val="clear" w:color="auto" w:fill="000000"/>
          </w:tcPr>
          <w:p>
            <w:pPr>
              <w:spacing w:after="0"/>
              <w:rPr>
                <w:sz w:val="20"/>
                <w:szCs w:val="20"/>
                <w:color w:val="auto"/>
              </w:rPr>
            </w:pPr>
            <w:r>
              <w:rPr>
                <w:rFonts w:ascii="Arial" w:cs="Arial" w:eastAsia="Arial" w:hAnsi="Arial"/>
                <w:sz w:val="1"/>
                <w:szCs w:val="1"/>
                <w:color w:val="auto"/>
              </w:rPr>
              <w:t>venBio Global Strategic Fund, II LP</w:t>
            </w:r>
          </w:p>
        </w:tc>
        <w:tc>
          <w:tcPr>
            <w:tcW w:w="500" w:type="dxa"/>
            <w:vAlign w:val="bottom"/>
            <w:tcBorders>
              <w:bottom w:val="single" w:sz="8" w:color="auto"/>
            </w:tcBorders>
            <w:shd w:val="clear" w:color="auto" w:fill="000000"/>
          </w:tcPr>
          <w:p>
            <w:pPr>
              <w:jc w:val="right"/>
              <w:ind w:right="379"/>
              <w:spacing w:after="0"/>
              <w:rPr>
                <w:sz w:val="20"/>
                <w:szCs w:val="20"/>
                <w:color w:val="auto"/>
              </w:rPr>
            </w:pPr>
            <w:r>
              <w:rPr>
                <w:rFonts w:ascii="Arial" w:cs="Arial" w:eastAsia="Arial" w:hAnsi="Arial"/>
                <w:sz w:val="1"/>
                <w:szCs w:val="1"/>
                <w:color w:val="auto"/>
              </w:rPr>
              <w:t>$</w:t>
            </w:r>
          </w:p>
        </w:tc>
        <w:tc>
          <w:tcPr>
            <w:tcW w:w="1300" w:type="dxa"/>
            <w:vAlign w:val="bottom"/>
            <w:tcBorders>
              <w:bottom w:val="single" w:sz="8" w:color="auto"/>
              <w:right w:val="single" w:sz="8" w:color="CCEEFF"/>
            </w:tcBorders>
            <w:shd w:val="clear" w:color="auto" w:fill="000000"/>
          </w:tcPr>
          <w:p>
            <w:pPr>
              <w:jc w:val="right"/>
              <w:ind w:right="39"/>
              <w:spacing w:after="0"/>
              <w:rPr>
                <w:sz w:val="20"/>
                <w:szCs w:val="20"/>
                <w:color w:val="auto"/>
              </w:rPr>
            </w:pPr>
            <w:r>
              <w:rPr>
                <w:rFonts w:ascii="Arial" w:cs="Arial" w:eastAsia="Arial" w:hAnsi="Arial"/>
                <w:sz w:val="1"/>
                <w:szCs w:val="1"/>
                <w:color w:val="auto"/>
              </w:rPr>
              <w:t>15,652,073</w:t>
            </w:r>
          </w:p>
        </w:tc>
      </w:tr>
      <w:tr>
        <w:trPr>
          <w:trHeight w:val="156"/>
        </w:trPr>
        <w:tc>
          <w:tcPr>
            <w:tcW w:w="9220" w:type="dxa"/>
            <w:vAlign w:val="bottom"/>
            <w:tcBorders>
              <w:bottom w:val="single" w:sz="8" w:color="CCEEFF"/>
            </w:tcBorders>
            <w:gridSpan w:val="2"/>
            <w:shd w:val="clear" w:color="auto" w:fill="CCEEFF"/>
          </w:tcPr>
          <w:p>
            <w:pPr>
              <w:ind w:left="2660"/>
              <w:spacing w:after="0" w:line="154" w:lineRule="exact"/>
              <w:rPr>
                <w:sz w:val="20"/>
                <w:szCs w:val="20"/>
                <w:color w:val="auto"/>
              </w:rPr>
            </w:pPr>
            <w:r>
              <w:rPr>
                <w:rFonts w:ascii="Arial" w:cs="Arial" w:eastAsia="Arial" w:hAnsi="Arial"/>
                <w:sz w:val="15"/>
                <w:szCs w:val="15"/>
                <w:color w:val="auto"/>
              </w:rPr>
              <w:t>(1)</w:t>
            </w:r>
          </w:p>
        </w:tc>
        <w:tc>
          <w:tcPr>
            <w:tcW w:w="5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right w:val="single" w:sz="8" w:color="CCEEFF"/>
            </w:tcBorders>
            <w:shd w:val="clear" w:color="auto" w:fill="CCEEFF"/>
          </w:tcPr>
          <w:p>
            <w:pPr>
              <w:spacing w:after="0"/>
              <w:rPr>
                <w:sz w:val="13"/>
                <w:szCs w:val="13"/>
                <w:color w:val="auto"/>
              </w:rPr>
            </w:pPr>
          </w:p>
        </w:tc>
      </w:tr>
      <w:tr>
        <w:trPr>
          <w:trHeight w:val="189"/>
        </w:trPr>
        <w:tc>
          <w:tcPr>
            <w:tcW w:w="922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500" w:type="dxa"/>
            <w:vAlign w:val="bottom"/>
          </w:tcPr>
          <w:p>
            <w:pPr>
              <w:jc w:val="right"/>
              <w:ind w:right="379"/>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tcPr>
          <w:p>
            <w:pPr>
              <w:jc w:val="right"/>
              <w:ind w:right="39"/>
              <w:spacing w:after="0" w:line="189" w:lineRule="exact"/>
              <w:rPr>
                <w:sz w:val="20"/>
                <w:szCs w:val="20"/>
                <w:color w:val="auto"/>
              </w:rPr>
            </w:pPr>
            <w:r>
              <w:rPr>
                <w:rFonts w:ascii="Arial" w:cs="Arial" w:eastAsia="Arial" w:hAnsi="Arial"/>
                <w:sz w:val="17"/>
                <w:szCs w:val="17"/>
                <w:color w:val="auto"/>
              </w:rPr>
              <w:t>6,750,000</w:t>
            </w:r>
          </w:p>
        </w:tc>
      </w:tr>
      <w:tr>
        <w:trPr>
          <w:trHeight w:val="4"/>
        </w:trPr>
        <w:tc>
          <w:tcPr>
            <w:tcW w:w="922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500" w:type="dxa"/>
            <w:vAlign w:val="bottom"/>
            <w:shd w:val="clear" w:color="auto" w:fill="CCEEFF"/>
          </w:tcPr>
          <w:p>
            <w:pPr>
              <w:jc w:val="right"/>
              <w:ind w:right="379"/>
              <w:spacing w:after="0" w:line="4"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4" w:lineRule="exact"/>
              <w:rPr>
                <w:sz w:val="20"/>
                <w:szCs w:val="20"/>
                <w:color w:val="auto"/>
              </w:rPr>
            </w:pPr>
            <w:r>
              <w:rPr>
                <w:rFonts w:ascii="Arial" w:cs="Arial" w:eastAsia="Arial" w:hAnsi="Arial"/>
                <w:sz w:val="1"/>
                <w:szCs w:val="1"/>
                <w:color w:val="auto"/>
              </w:rPr>
              <w:t>222,568</w:t>
            </w:r>
          </w:p>
        </w:tc>
      </w:tr>
      <w:tr>
        <w:trPr>
          <w:trHeight w:val="179"/>
        </w:trPr>
        <w:tc>
          <w:tcPr>
            <w:tcW w:w="9220" w:type="dxa"/>
            <w:vAlign w:val="bottom"/>
            <w:gridSpan w:val="2"/>
            <w:shd w:val="clear" w:color="auto" w:fill="CCEEFF"/>
          </w:tcPr>
          <w:p>
            <w:pPr>
              <w:ind w:left="1780"/>
              <w:spacing w:after="0"/>
              <w:rPr>
                <w:sz w:val="20"/>
                <w:szCs w:val="20"/>
                <w:color w:val="auto"/>
              </w:rPr>
            </w:pPr>
            <w:r>
              <w:rPr>
                <w:rFonts w:ascii="Arial" w:cs="Arial" w:eastAsia="Arial" w:hAnsi="Arial"/>
                <w:sz w:val="15"/>
                <w:szCs w:val="15"/>
                <w:color w:val="auto"/>
              </w:rPr>
              <w:t>(1)</w:t>
            </w:r>
          </w:p>
        </w:tc>
        <w:tc>
          <w:tcPr>
            <w:tcW w:w="500" w:type="dxa"/>
            <w:vAlign w:val="bottom"/>
            <w:shd w:val="clear" w:color="auto" w:fill="CCEEFF"/>
          </w:tcPr>
          <w:p>
            <w:pPr>
              <w:spacing w:after="0"/>
              <w:rPr>
                <w:sz w:val="15"/>
                <w:szCs w:val="15"/>
                <w:color w:val="auto"/>
              </w:rPr>
            </w:pPr>
          </w:p>
        </w:tc>
        <w:tc>
          <w:tcPr>
            <w:tcW w:w="1300" w:type="dxa"/>
            <w:vAlign w:val="bottom"/>
            <w:tcBorders>
              <w:right w:val="single" w:sz="8" w:color="CCEEFF"/>
            </w:tcBorders>
            <w:shd w:val="clear" w:color="auto" w:fill="CCEEFF"/>
          </w:tcPr>
          <w:p>
            <w:pPr>
              <w:spacing w:after="0"/>
              <w:rPr>
                <w:sz w:val="15"/>
                <w:szCs w:val="15"/>
                <w:color w:val="auto"/>
              </w:rPr>
            </w:pPr>
          </w:p>
        </w:tc>
      </w:tr>
      <w:tr>
        <w:trPr>
          <w:trHeight w:val="10"/>
        </w:trPr>
        <w:tc>
          <w:tcPr>
            <w:tcW w:w="9220" w:type="dxa"/>
            <w:vAlign w:val="bottom"/>
            <w:gridSpan w:val="2"/>
          </w:tcPr>
          <w:p>
            <w:pPr>
              <w:spacing w:after="0" w:line="10" w:lineRule="exact"/>
              <w:rPr>
                <w:sz w:val="20"/>
                <w:szCs w:val="20"/>
                <w:color w:val="auto"/>
              </w:rPr>
            </w:pPr>
            <w:r>
              <w:rPr>
                <w:rFonts w:ascii="Arial" w:cs="Arial" w:eastAsia="Arial" w:hAnsi="Arial"/>
                <w:sz w:val="1"/>
                <w:szCs w:val="1"/>
                <w:color w:val="auto"/>
              </w:rPr>
              <w:t>Robert Adelman, M.D.</w:t>
            </w:r>
          </w:p>
        </w:tc>
        <w:tc>
          <w:tcPr>
            <w:tcW w:w="500" w:type="dxa"/>
            <w:vAlign w:val="bottom"/>
          </w:tcPr>
          <w:p>
            <w:pPr>
              <w:jc w:val="right"/>
              <w:ind w:right="379"/>
              <w:spacing w:after="0" w:line="10" w:lineRule="exact"/>
              <w:rPr>
                <w:sz w:val="20"/>
                <w:szCs w:val="20"/>
                <w:color w:val="auto"/>
              </w:rPr>
            </w:pPr>
            <w:r>
              <w:rPr>
                <w:rFonts w:ascii="Arial" w:cs="Arial" w:eastAsia="Arial" w:hAnsi="Arial"/>
                <w:sz w:val="1"/>
                <w:szCs w:val="1"/>
                <w:color w:val="auto"/>
              </w:rPr>
              <w:t>$</w:t>
            </w:r>
          </w:p>
        </w:tc>
        <w:tc>
          <w:tcPr>
            <w:tcW w:w="1300" w:type="dxa"/>
            <w:vAlign w:val="bottom"/>
          </w:tcPr>
          <w:p>
            <w:pPr>
              <w:jc w:val="right"/>
              <w:ind w:right="39"/>
              <w:spacing w:after="0" w:line="10" w:lineRule="exact"/>
              <w:rPr>
                <w:sz w:val="20"/>
                <w:szCs w:val="20"/>
                <w:color w:val="auto"/>
              </w:rPr>
            </w:pPr>
            <w:r>
              <w:rPr>
                <w:rFonts w:ascii="Arial" w:cs="Arial" w:eastAsia="Arial" w:hAnsi="Arial"/>
                <w:sz w:val="1"/>
                <w:szCs w:val="1"/>
                <w:color w:val="auto"/>
              </w:rPr>
              <w:t>222,568</w:t>
            </w:r>
          </w:p>
        </w:tc>
      </w:tr>
      <w:tr>
        <w:trPr>
          <w:trHeight w:val="179"/>
        </w:trPr>
        <w:tc>
          <w:tcPr>
            <w:tcW w:w="9220" w:type="dxa"/>
            <w:vAlign w:val="bottom"/>
            <w:gridSpan w:val="2"/>
          </w:tcPr>
          <w:p>
            <w:pPr>
              <w:ind w:left="1680"/>
              <w:spacing w:after="0"/>
              <w:rPr>
                <w:sz w:val="20"/>
                <w:szCs w:val="20"/>
                <w:color w:val="auto"/>
              </w:rPr>
            </w:pPr>
            <w:r>
              <w:rPr>
                <w:rFonts w:ascii="Arial" w:cs="Arial" w:eastAsia="Arial" w:hAnsi="Arial"/>
                <w:sz w:val="15"/>
                <w:szCs w:val="15"/>
                <w:color w:val="auto"/>
              </w:rPr>
              <w:t>(1)</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0"/>
        </w:trPr>
        <w:tc>
          <w:tcPr>
            <w:tcW w:w="922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Jason Lettmann</w:t>
            </w:r>
          </w:p>
        </w:tc>
        <w:tc>
          <w:tcPr>
            <w:tcW w:w="500" w:type="dxa"/>
            <w:vAlign w:val="bottom"/>
            <w:shd w:val="clear" w:color="auto" w:fill="CCEEFF"/>
          </w:tcPr>
          <w:p>
            <w:pPr>
              <w:jc w:val="right"/>
              <w:ind w:right="379"/>
              <w:spacing w:after="0" w:line="10"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10" w:lineRule="exact"/>
              <w:rPr>
                <w:sz w:val="20"/>
                <w:szCs w:val="20"/>
                <w:color w:val="auto"/>
              </w:rPr>
            </w:pPr>
            <w:r>
              <w:rPr>
                <w:rFonts w:ascii="Arial" w:cs="Arial" w:eastAsia="Arial" w:hAnsi="Arial"/>
                <w:sz w:val="1"/>
                <w:szCs w:val="1"/>
                <w:color w:val="auto"/>
              </w:rPr>
              <w:t>222,568</w:t>
            </w:r>
          </w:p>
        </w:tc>
      </w:tr>
      <w:tr>
        <w:trPr>
          <w:trHeight w:val="185"/>
        </w:trPr>
        <w:tc>
          <w:tcPr>
            <w:tcW w:w="922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rPr>
              <w:t>(3)</w:t>
            </w:r>
          </w:p>
        </w:tc>
        <w:tc>
          <w:tcPr>
            <w:tcW w:w="500" w:type="dxa"/>
            <w:vAlign w:val="bottom"/>
            <w:shd w:val="clear" w:color="auto" w:fill="CCEEFF"/>
          </w:tcPr>
          <w:p>
            <w:pPr>
              <w:spacing w:after="0"/>
              <w:rPr>
                <w:sz w:val="16"/>
                <w:szCs w:val="16"/>
                <w:color w:val="auto"/>
              </w:rPr>
            </w:pPr>
          </w:p>
        </w:tc>
        <w:tc>
          <w:tcPr>
            <w:tcW w:w="1300" w:type="dxa"/>
            <w:vAlign w:val="bottom"/>
            <w:tcBorders>
              <w:right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jc w:val="both"/>
        <w:ind w:left="540" w:right="160" w:hanging="276"/>
        <w:spacing w:after="0" w:line="249"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25" w:lineRule="exact"/>
        <w:rPr>
          <w:rFonts w:ascii="Arial" w:cs="Arial" w:eastAsia="Arial" w:hAnsi="Arial"/>
          <w:sz w:val="14"/>
          <w:szCs w:val="14"/>
          <w:color w:val="auto"/>
        </w:rPr>
      </w:pPr>
    </w:p>
    <w:p>
      <w:pPr>
        <w:ind w:left="540" w:right="20" w:hanging="276"/>
        <w:spacing w:after="0" w:line="245"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28" w:lineRule="exact"/>
        <w:rPr>
          <w:rFonts w:ascii="Arial" w:cs="Arial" w:eastAsia="Arial" w:hAnsi="Arial"/>
          <w:sz w:val="14"/>
          <w:szCs w:val="14"/>
          <w:color w:val="auto"/>
        </w:rPr>
      </w:pPr>
    </w:p>
    <w:p>
      <w:pPr>
        <w:ind w:left="540" w:hanging="276"/>
        <w:spacing w:after="0"/>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8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are party to an investors’ rights agreement, as amended, with certain holders of our capital stock, including venBio, Lightstone Ventures, Vivo Capital and Logos Capital.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venBio Consulting Agreement</w:t>
      </w:r>
    </w:p>
    <w:p>
      <w:pPr>
        <w:spacing w:after="0" w:line="120"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In January 2017, Dr. Jaume Pons, our Chief Executive Officer and the Chief Executive Officer of ALX Oncology Limited, entered into a consulting agreement with venBio, one of our stockholders and an affiliate of one of our directors, Dr. Corey Goodman, to provide assistance with deal generation, evaluate potential investments and serve on boards of venBio’s portfolio companies. In accordance with this agreement as compensation for services provided, venBio paid Dr. Pons approximately $125,000 per year in 2017, 2018 and 2019. The consulting agreement remains in effect until terminated by either party with or without prior notice.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Tallac Therapeutics Agreements</w:t>
      </w:r>
    </w:p>
    <w:p>
      <w:pPr>
        <w:spacing w:after="0" w:line="80"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In May 2018, Dr. Jaume Pons, our Chief Executive Officer, entered into a consulting agreement with Tallac Therapeutics. Dr. Pons was engaged to provide management services. In accordance with this agreement as compensation for his services, Tallac Therapeutics issued Dr. Pons shares of its common stock. The consulting agreement will terminate automatically upon the later of completion of all projects under the consulting agreement or two years. In addition, Tallac Therapeutics may terminate the agreement at any time without prior notice, and Dr. Pons may terminate the agreement upon 30 days’ prior written notice if no services remain outstanding under the agreement.</w:t>
      </w:r>
    </w:p>
    <w:p>
      <w:pPr>
        <w:spacing w:after="0" w:line="150" w:lineRule="exact"/>
        <w:rPr>
          <w:sz w:val="20"/>
          <w:szCs w:val="20"/>
          <w:color w:val="auto"/>
        </w:rPr>
      </w:pPr>
    </w:p>
    <w:p>
      <w:pPr>
        <w:ind w:left="120" w:right="360"/>
        <w:spacing w:after="0" w:line="238" w:lineRule="auto"/>
        <w:rPr>
          <w:sz w:val="20"/>
          <w:szCs w:val="20"/>
          <w:color w:val="auto"/>
        </w:rPr>
      </w:pPr>
      <w:r>
        <w:rPr>
          <w:rFonts w:ascii="Arial" w:cs="Arial" w:eastAsia="Arial" w:hAnsi="Arial"/>
          <w:sz w:val="17"/>
          <w:szCs w:val="17"/>
          <w:color w:val="auto"/>
        </w:rPr>
        <w:t>Dr. Pons served as the Chief Executive Officer of Tallac Therapeutics until April 2020, and Dr. Hong Wan, our former Chief Scientific Officer, currently serves as the Chief Executive Officer of Tallac Therapeutics. Dr. Pons also currently serves as a member of the board of directors of Tallac Therapeutics.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In addition, two of our current investors, venBio and Lightstone Ventures, who were also investors of ALX Oncology Limited prior to April 1, 2020, are also investors in Tallac Therapeutics.</w:t>
      </w:r>
    </w:p>
    <w:p>
      <w:pPr>
        <w:spacing w:after="0" w:line="144"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June 2018, we entered into the Tollnine Agreement to provide research and development services to Tallac Therapeutics. Pursuant to the terms of the Tollnine Agreement, which was amended in May 2019 and was terminated effective as of June 30, 2020, ALX Oncology Inc. (f/k/a Alexo Therapeutics Inc.), our indirectly wholly-owned subsidiary, provided certain research and development services to Tallac Therapeutics for a service fee based on the costs incurred by the Company plus a mark-up. For the years ended December 31, 2018 and December 31, 2019, and for the nine months ended September 30, 2019 and September 30, 2020, we recognized related-party revenues of $2.1 million and $4.8 million, and $3.6 million and $1.2 million, respectively. As of December 31, 2018, December 31, 2019 and September 30, 2020, we had outstanding related-party receivables from Tallac Therapeutics of $0.9 million, $0.5 million and $0.5 million, respectively.</w:t>
      </w:r>
    </w:p>
    <w:p>
      <w:pPr>
        <w:spacing w:after="0" w:line="151"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As of July 1, 2020, we terminated the Tollnine Agreement and entered into a series of transactions with Tallac Therapeutics and Dr. Wan as described below.</w:t>
      </w:r>
    </w:p>
    <w:p>
      <w:pPr>
        <w:spacing w:after="0" w:line="165" w:lineRule="exact"/>
        <w:rPr>
          <w:sz w:val="20"/>
          <w:szCs w:val="20"/>
          <w:color w:val="auto"/>
        </w:rPr>
      </w:pPr>
    </w:p>
    <w:p>
      <w:pPr>
        <w:ind w:left="980" w:right="20" w:hanging="432"/>
        <w:spacing w:after="0" w:line="244" w:lineRule="auto"/>
        <w:tabs>
          <w:tab w:leader="none" w:pos="980" w:val="left"/>
        </w:tabs>
        <w:numPr>
          <w:ilvl w:val="0"/>
          <w:numId w:val="9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Entry into the Tallac Services Agreement: </w:t>
      </w:r>
      <w:r>
        <w:rPr>
          <w:rFonts w:ascii="Arial" w:cs="Arial" w:eastAsia="Arial" w:hAnsi="Arial"/>
          <w:sz w:val="17"/>
          <w:szCs w:val="17"/>
          <w:color w:val="auto"/>
        </w:rPr>
        <w:t>We entered into the Tallac Services Agreement, with Tallac Therapeutics effective as of</w:t>
      </w:r>
      <w:r>
        <w:rPr>
          <w:rFonts w:ascii="Arial" w:cs="Arial" w:eastAsia="Arial" w:hAnsi="Arial"/>
          <w:sz w:val="17"/>
          <w:szCs w:val="17"/>
          <w:b w:val="1"/>
          <w:bCs w:val="1"/>
          <w:color w:val="auto"/>
        </w:rPr>
        <w:t xml:space="preserve"> </w:t>
      </w:r>
      <w:r>
        <w:rPr>
          <w:rFonts w:ascii="Arial" w:cs="Arial" w:eastAsia="Arial" w:hAnsi="Arial"/>
          <w:sz w:val="17"/>
          <w:szCs w:val="17"/>
          <w:color w:val="auto"/>
        </w:rPr>
        <w:t>July 1, 2020. The Tallac Services Agreement provides that Tallac Therapeutics will provide certain preclinical research services to us for a service fee based on the costs incurred by Tallac Therapeutics plus a mark-up equal to 10.0% of such costs. The Tallac Services Agreement has an initial term of four years and is renewed automatically for additional one year terms thereafter.</w:t>
      </w:r>
    </w:p>
    <w:p>
      <w:pPr>
        <w:spacing w:after="0" w:line="1" w:lineRule="exact"/>
        <w:rPr>
          <w:rFonts w:ascii="MS PGothic" w:cs="MS PGothic" w:eastAsia="MS PGothic" w:hAnsi="MS PGothic"/>
          <w:sz w:val="13"/>
          <w:szCs w:val="13"/>
          <w:color w:val="auto"/>
        </w:rPr>
      </w:pPr>
    </w:p>
    <w:p>
      <w:pPr>
        <w:ind w:left="980" w:hanging="432"/>
        <w:spacing w:after="0" w:line="237" w:lineRule="auto"/>
        <w:tabs>
          <w:tab w:leader="none" w:pos="980" w:val="left"/>
        </w:tabs>
        <w:numPr>
          <w:ilvl w:val="0"/>
          <w:numId w:val="9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Resignation of Dr. Wan and entry into Consulting Agreement: </w:t>
      </w:r>
      <w:r>
        <w:rPr>
          <w:rFonts w:ascii="Arial" w:cs="Arial" w:eastAsia="Arial" w:hAnsi="Arial"/>
          <w:sz w:val="17"/>
          <w:szCs w:val="17"/>
          <w:color w:val="auto"/>
        </w:rPr>
        <w:t>Dr. Wan resigned from her position as our Chief Scientific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ceased to be our employee effective as of June 30, 2020. In connection with her resignation, we entered into a Consulting Agreement with Dr. Wan effective as of July 1, 2020. Under the Consulting Agreement, Dr. Wan will serve as our Chief Science Consultant and, among other things, spend approximately 20% of her time performing activities typically performed by a consulting scientific adviser in the biotechnology industry. In exchange for such services, the options to purchase shares of our common stock that were previously granted to Dr. Wan will continue to vest and be exercisable subject to Dr. Wan remaining a service provider under the Consulting Agreement or the Tallac Services Agreement. The Consulting Agreement has an initial term of four years and is renewed automatically for additional one year terms thereafter.</w:t>
      </w:r>
    </w:p>
    <w:p>
      <w:pPr>
        <w:spacing w:after="0" w:line="8" w:lineRule="exact"/>
        <w:rPr>
          <w:rFonts w:ascii="MS PGothic" w:cs="MS PGothic" w:eastAsia="MS PGothic" w:hAnsi="MS PGothic"/>
          <w:sz w:val="13"/>
          <w:szCs w:val="13"/>
          <w:color w:val="auto"/>
        </w:rPr>
      </w:pPr>
    </w:p>
    <w:p>
      <w:pPr>
        <w:ind w:left="980" w:right="300" w:hanging="432"/>
        <w:spacing w:after="0" w:line="241" w:lineRule="auto"/>
        <w:tabs>
          <w:tab w:leader="none" w:pos="980" w:val="left"/>
        </w:tabs>
        <w:numPr>
          <w:ilvl w:val="0"/>
          <w:numId w:val="9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Transfer of employees to Tallac Therapeutics: </w:t>
      </w:r>
      <w:r>
        <w:rPr>
          <w:rFonts w:ascii="Arial" w:cs="Arial" w:eastAsia="Arial" w:hAnsi="Arial"/>
          <w:sz w:val="17"/>
          <w:szCs w:val="17"/>
          <w:color w:val="auto"/>
        </w:rPr>
        <w:t>In addition to Dr. Wan, eight of our employees, or Transferred Employees, also</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their employment with us effective as of June 30, 2020 and became employees of Tallac Therapeutics effective as of July 1, 2020. The options to purchase shares of our common stock that were previously granted to the Transferred Employees will continue to vest and be exercisable subject to the Transferred Employees remaining service providers under the Tallac Services Agreement.</w:t>
      </w:r>
    </w:p>
    <w:p>
      <w:pPr>
        <w:spacing w:after="0" w:line="4" w:lineRule="exact"/>
        <w:rPr>
          <w:rFonts w:ascii="MS PGothic" w:cs="MS PGothic" w:eastAsia="MS PGothic" w:hAnsi="MS PGothic"/>
          <w:sz w:val="13"/>
          <w:szCs w:val="13"/>
          <w:color w:val="auto"/>
        </w:rPr>
      </w:pPr>
    </w:p>
    <w:p>
      <w:pPr>
        <w:ind w:left="980" w:right="200" w:hanging="432"/>
        <w:spacing w:after="0" w:line="249" w:lineRule="auto"/>
        <w:tabs>
          <w:tab w:leader="none" w:pos="980" w:val="left"/>
        </w:tabs>
        <w:numPr>
          <w:ilvl w:val="0"/>
          <w:numId w:val="9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Entry into Asset Transfer Agreement: </w:t>
      </w:r>
      <w:r>
        <w:rPr>
          <w:rFonts w:ascii="Arial" w:cs="Arial" w:eastAsia="Arial" w:hAnsi="Arial"/>
          <w:sz w:val="17"/>
          <w:szCs w:val="17"/>
          <w:color w:val="auto"/>
        </w:rPr>
        <w:t>ALX Oncology Inc. entered into an Asset Transfer Agreement with Tallac 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in July 2020, pursuant to which Tallac Therapeutics purchased certain lab equipment and other assets from ALX Oncology Inc. for minimal cash consideration representing the aggregate book value of such assets.</w:t>
      </w:r>
    </w:p>
    <w:p>
      <w:pPr>
        <w:spacing w:after="0" w:line="141"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In addition to the transactions described above, we also assigned to Tallac Therapeutics our lease with respect to our premises located at 866 Malcolm Road, Burlingame, California, and received a sublease for such premises from Tallac Therapeutics.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pacing w:after="0" w:line="9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In July 2020, we issued and sold 9,775,000 shares of common stock at a public offering price of $19.00 per share for gross proceeds of $185,725,000. At our request, an affiliate of Jefferies LLC, one of the underwriters in our initial public offering, sold 100,000 of the shares of common stock offered in our initial public offering to certain of our officers, directors, employees and other persons who do business with us. The shares purchased by our executive officers and members of their households are subject to the 180-day lock-up entered into in connection with our initial public offering and will be subject to the 90-day lock-up described elsewhere in this prospectus in connection with this offering.</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amended and restated certificate of incorporation contains provisions limiting the liability of the members of our board of directors, and our amended and restated bylaws provide that we will indemnify each of our officers and the members of our board of directors to the fullest extent permitted under Delaware law. Our amended and restated certificate of incorporation and amended and restated bylaws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 See the section titled “Executive Compensation—Limitation on Liability and Indemnification of Directors and Officers.”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Related-Party Transaction Policy</w:t>
      </w:r>
    </w:p>
    <w:p>
      <w:pPr>
        <w:spacing w:after="0" w:line="80"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Our audit committee has the primary responsibility for reviewing and approving or disapproving “related-party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related-party transaction.</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board of directors has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STOCKHOLDERS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beneficial ownership of our common stock as of November 1, 2020 by:</w:t>
      </w:r>
    </w:p>
    <w:p>
      <w:pPr>
        <w:spacing w:after="0" w:line="196" w:lineRule="exact"/>
        <w:rPr>
          <w:sz w:val="20"/>
          <w:szCs w:val="20"/>
          <w:color w:val="auto"/>
        </w:rPr>
      </w:pPr>
    </w:p>
    <w:p>
      <w:pPr>
        <w:ind w:left="980" w:hanging="432"/>
        <w:spacing w:after="0"/>
        <w:tabs>
          <w:tab w:leader="none" w:pos="98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each of the named executive officers;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each of our directors;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all of our executive officers and directors as a group.</w:t>
      </w:r>
    </w:p>
    <w:p>
      <w:pPr>
        <w:spacing w:after="0" w:line="156"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have based our calculation of the percentage of beneficial ownership prior to this offering on 37,107,522 shares of our common stock outstanding as of November 1, 2020, which includes 191 shares of common stock that are subject to a right of repurchase. We have based our calculation of the percentage of beneficial ownership after this offering on 39,487,522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November 1,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5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following table does not reflect any potential purchases by our executive officers, directors, their affiliated entities or holders of more than 5% of our common stock in this offering. If any shares are purchased by these persons or entities, the number and percentage of shares of our common stock beneficially owned by them after this offering will differ from the amounts set forth in the following table.</w:t>
      </w:r>
    </w:p>
    <w:p>
      <w:pPr>
        <w:spacing w:after="0" w:line="147"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Unless otherwise indicated, the address of each beneficial owner listed in the table below is c/o ALX Oncology Holdings Inc., 866 Malcolm Road, Suite 100, Burlingame, California 94010.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060"/>
          </w:cols>
          <w:pgMar w:left="320" w:top="459"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NUMBER OF SHARES</w:t>
            </w:r>
          </w:p>
        </w:tc>
        <w:tc>
          <w:tcPr>
            <w:tcW w:w="25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7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BENEFICIALLY OWNED</w:t>
            </w:r>
          </w:p>
        </w:tc>
        <w:tc>
          <w:tcPr>
            <w:tcW w:w="25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8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tcBorders>
              <w:top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BEFORE THE</w:t>
            </w: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AFTER THE</w:t>
            </w:r>
          </w:p>
        </w:tc>
        <w:tc>
          <w:tcPr>
            <w:tcW w:w="440" w:type="dxa"/>
            <w:vAlign w:val="bottom"/>
          </w:tcPr>
          <w:p>
            <w:pPr>
              <w:spacing w:after="0"/>
              <w:rPr>
                <w:sz w:val="12"/>
                <w:szCs w:val="12"/>
                <w:color w:val="auto"/>
              </w:rPr>
            </w:pPr>
          </w:p>
        </w:tc>
        <w:tc>
          <w:tcPr>
            <w:tcW w:w="1500" w:type="dxa"/>
            <w:vAlign w:val="bottom"/>
            <w:tcBorders>
              <w:top w:val="single" w:sz="8" w:color="auto"/>
            </w:tcBorders>
            <w:gridSpan w:val="2"/>
          </w:tcPr>
          <w:p>
            <w:pPr>
              <w:jc w:val="right"/>
              <w:ind w:right="560"/>
              <w:spacing w:after="0" w:line="143" w:lineRule="exact"/>
              <w:rPr>
                <w:sz w:val="20"/>
                <w:szCs w:val="20"/>
                <w:color w:val="auto"/>
              </w:rPr>
            </w:pPr>
            <w:r>
              <w:rPr>
                <w:rFonts w:ascii="Arial" w:cs="Arial" w:eastAsia="Arial" w:hAnsi="Arial"/>
                <w:sz w:val="14"/>
                <w:szCs w:val="14"/>
                <w:b w:val="1"/>
                <w:bCs w:val="1"/>
                <w:color w:val="auto"/>
              </w:rPr>
              <w:t>BEFORE THE</w:t>
            </w: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9"/>
              </w:rPr>
              <w:t>AFTER THE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OFFERING</w:t>
            </w: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OFFERING</w:t>
            </w:r>
          </w:p>
        </w:tc>
        <w:tc>
          <w:tcPr>
            <w:tcW w:w="15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OFFERING</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63"/>
        </w:trPr>
        <w:tc>
          <w:tcPr>
            <w:tcW w:w="44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5% or Greater Stockholders:</w:t>
            </w:r>
          </w:p>
        </w:tc>
        <w:tc>
          <w:tcPr>
            <w:tcW w:w="13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venBio Partners</w:t>
            </w:r>
            <w:r>
              <w:rPr>
                <w:rFonts w:ascii="Arial" w:cs="Arial" w:eastAsia="Arial" w:hAnsi="Arial"/>
                <w:sz w:val="14"/>
                <w:szCs w:val="14"/>
                <w:color w:val="auto"/>
              </w:rPr>
              <w:t>(1)</w:t>
            </w:r>
          </w:p>
        </w:tc>
        <w:tc>
          <w:tcPr>
            <w:tcW w:w="1340" w:type="dxa"/>
            <w:vAlign w:val="bottom"/>
          </w:tcPr>
          <w:p>
            <w:pPr>
              <w:spacing w:after="0"/>
              <w:rPr>
                <w:sz w:val="16"/>
                <w:szCs w:val="16"/>
                <w:color w:val="auto"/>
              </w:rPr>
            </w:pPr>
          </w:p>
        </w:tc>
        <w:tc>
          <w:tcPr>
            <w:tcW w:w="13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9,699,925</w:t>
            </w:r>
          </w:p>
        </w:tc>
        <w:tc>
          <w:tcPr>
            <w:tcW w:w="13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9,699,925</w:t>
            </w:r>
          </w:p>
        </w:tc>
        <w:tc>
          <w:tcPr>
            <w:tcW w:w="150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26.1%</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Entities affiliated with Lightstone Ventures</w:t>
            </w:r>
            <w:r>
              <w:rPr>
                <w:rFonts w:ascii="Arial" w:cs="Arial" w:eastAsia="Arial" w:hAnsi="Arial"/>
                <w:sz w:val="14"/>
                <w:szCs w:val="14"/>
                <w:color w:val="auto"/>
              </w:rPr>
              <w:t>(2)</w:t>
            </w:r>
          </w:p>
        </w:tc>
        <w:tc>
          <w:tcPr>
            <w:tcW w:w="1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4,720,990</w:t>
            </w:r>
          </w:p>
        </w:tc>
        <w:tc>
          <w:tcPr>
            <w:tcW w:w="13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4,720,990</w:t>
            </w:r>
          </w:p>
        </w:tc>
        <w:tc>
          <w:tcPr>
            <w:tcW w:w="150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12.7</w:t>
            </w:r>
          </w:p>
        </w:tc>
        <w:tc>
          <w:tcPr>
            <w:tcW w:w="10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Vivo Capital Fund IX, L.P.</w:t>
            </w:r>
            <w:r>
              <w:rPr>
                <w:rFonts w:ascii="Arial" w:cs="Arial" w:eastAsia="Arial" w:hAnsi="Arial"/>
                <w:sz w:val="14"/>
                <w:szCs w:val="14"/>
                <w:color w:val="auto"/>
              </w:rPr>
              <w:t>(3)</w:t>
            </w:r>
          </w:p>
        </w:tc>
        <w:tc>
          <w:tcPr>
            <w:tcW w:w="1340" w:type="dxa"/>
            <w:vAlign w:val="bottom"/>
          </w:tcPr>
          <w:p>
            <w:pPr>
              <w:spacing w:after="0"/>
              <w:rPr>
                <w:sz w:val="16"/>
                <w:szCs w:val="16"/>
                <w:color w:val="auto"/>
              </w:rPr>
            </w:pPr>
          </w:p>
        </w:tc>
        <w:tc>
          <w:tcPr>
            <w:tcW w:w="13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4,220,048</w:t>
            </w:r>
          </w:p>
        </w:tc>
        <w:tc>
          <w:tcPr>
            <w:tcW w:w="13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4,220,048</w:t>
            </w:r>
          </w:p>
        </w:tc>
        <w:tc>
          <w:tcPr>
            <w:tcW w:w="150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11.4</w:t>
            </w: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Logos Opportunities Fund I, L.P.</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3,136,981</w:t>
            </w:r>
          </w:p>
        </w:tc>
        <w:tc>
          <w:tcPr>
            <w:tcW w:w="134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3,136,981</w:t>
            </w:r>
          </w:p>
        </w:tc>
        <w:tc>
          <w:tcPr>
            <w:tcW w:w="1500" w:type="dxa"/>
            <w:vAlign w:val="bottom"/>
            <w:gridSpan w:val="2"/>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8.5</w:t>
            </w:r>
          </w:p>
        </w:tc>
        <w:tc>
          <w:tcPr>
            <w:tcW w:w="102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7.9</w:t>
            </w: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(4)</w:t>
            </w: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Named Executive Officers:</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Jaume Pons, Ph.D.</w:t>
            </w:r>
            <w:r>
              <w:rPr>
                <w:rFonts w:ascii="Arial" w:cs="Arial" w:eastAsia="Arial" w:hAnsi="Arial"/>
                <w:sz w:val="14"/>
                <w:szCs w:val="14"/>
                <w:color w:val="auto"/>
              </w:rPr>
              <w:t>(5)</w:t>
            </w:r>
          </w:p>
        </w:tc>
        <w:tc>
          <w:tcPr>
            <w:tcW w:w="1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1,501,392</w:t>
            </w:r>
          </w:p>
        </w:tc>
        <w:tc>
          <w:tcPr>
            <w:tcW w:w="13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1,501,392</w:t>
            </w:r>
          </w:p>
        </w:tc>
        <w:tc>
          <w:tcPr>
            <w:tcW w:w="150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3.9</w:t>
            </w:r>
          </w:p>
        </w:tc>
        <w:tc>
          <w:tcPr>
            <w:tcW w:w="10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4"/>
        </w:trPr>
        <w:tc>
          <w:tcPr>
            <w:tcW w:w="4440" w:type="dxa"/>
            <w:vAlign w:val="bottom"/>
            <w:gridSpan w:val="2"/>
          </w:tcPr>
          <w:p>
            <w:pPr>
              <w:spacing w:after="0" w:line="4" w:lineRule="exact"/>
              <w:rPr>
                <w:sz w:val="20"/>
                <w:szCs w:val="20"/>
                <w:color w:val="auto"/>
              </w:rPr>
            </w:pPr>
            <w:r>
              <w:rPr>
                <w:rFonts w:ascii="Arial" w:cs="Arial" w:eastAsia="Arial" w:hAnsi="Arial"/>
                <w:sz w:val="1"/>
                <w:szCs w:val="1"/>
                <w:color w:val="auto"/>
              </w:rPr>
              <w:t>Sophia Randolph, M.D., Ph.D.</w:t>
            </w:r>
          </w:p>
        </w:tc>
        <w:tc>
          <w:tcPr>
            <w:tcW w:w="1340" w:type="dxa"/>
            <w:vAlign w:val="bottom"/>
          </w:tcPr>
          <w:p>
            <w:pPr>
              <w:spacing w:after="0" w:line="20" w:lineRule="exact"/>
              <w:rPr>
                <w:sz w:val="1"/>
                <w:szCs w:val="1"/>
                <w:color w:val="auto"/>
              </w:rPr>
            </w:pPr>
          </w:p>
        </w:tc>
        <w:tc>
          <w:tcPr>
            <w:tcW w:w="1380" w:type="dxa"/>
            <w:vAlign w:val="bottom"/>
            <w:gridSpan w:val="2"/>
          </w:tcPr>
          <w:p>
            <w:pPr>
              <w:jc w:val="right"/>
              <w:ind w:right="440"/>
              <w:spacing w:after="0" w:line="4" w:lineRule="exact"/>
              <w:rPr>
                <w:sz w:val="20"/>
                <w:szCs w:val="20"/>
                <w:color w:val="auto"/>
              </w:rPr>
            </w:pPr>
            <w:r>
              <w:rPr>
                <w:rFonts w:ascii="Arial" w:cs="Arial" w:eastAsia="Arial" w:hAnsi="Arial"/>
                <w:sz w:val="1"/>
                <w:szCs w:val="1"/>
                <w:color w:val="auto"/>
              </w:rPr>
              <w:t>450,616</w:t>
            </w:r>
          </w:p>
        </w:tc>
        <w:tc>
          <w:tcPr>
            <w:tcW w:w="1340" w:type="dxa"/>
            <w:vAlign w:val="bottom"/>
            <w:gridSpan w:val="2"/>
          </w:tcPr>
          <w:p>
            <w:pPr>
              <w:jc w:val="right"/>
              <w:ind w:right="440"/>
              <w:spacing w:after="0" w:line="4" w:lineRule="exact"/>
              <w:rPr>
                <w:sz w:val="20"/>
                <w:szCs w:val="20"/>
                <w:color w:val="auto"/>
              </w:rPr>
            </w:pPr>
            <w:r>
              <w:rPr>
                <w:rFonts w:ascii="Arial" w:cs="Arial" w:eastAsia="Arial" w:hAnsi="Arial"/>
                <w:sz w:val="1"/>
                <w:szCs w:val="1"/>
                <w:color w:val="auto"/>
              </w:rPr>
              <w:t>450,616</w:t>
            </w:r>
          </w:p>
        </w:tc>
        <w:tc>
          <w:tcPr>
            <w:tcW w:w="1500" w:type="dxa"/>
            <w:vAlign w:val="bottom"/>
            <w:gridSpan w:val="2"/>
          </w:tcPr>
          <w:p>
            <w:pPr>
              <w:jc w:val="right"/>
              <w:ind w:right="560"/>
              <w:spacing w:after="0" w:line="4" w:lineRule="exact"/>
              <w:rPr>
                <w:sz w:val="20"/>
                <w:szCs w:val="20"/>
                <w:color w:val="auto"/>
              </w:rPr>
            </w:pPr>
            <w:r>
              <w:rPr>
                <w:rFonts w:ascii="Arial" w:cs="Arial" w:eastAsia="Arial" w:hAnsi="Arial"/>
                <w:sz w:val="1"/>
                <w:szCs w:val="1"/>
                <w:color w:val="auto"/>
              </w:rPr>
              <w:t>1.2</w:t>
            </w:r>
          </w:p>
        </w:tc>
        <w:tc>
          <w:tcPr>
            <w:tcW w:w="1020" w:type="dxa"/>
            <w:vAlign w:val="bottom"/>
            <w:gridSpan w:val="2"/>
          </w:tcPr>
          <w:p>
            <w:pPr>
              <w:jc w:val="right"/>
              <w:ind w:right="220"/>
              <w:spacing w:after="0" w:line="4" w:lineRule="exact"/>
              <w:rPr>
                <w:sz w:val="20"/>
                <w:szCs w:val="20"/>
                <w:color w:val="auto"/>
              </w:rPr>
            </w:pPr>
            <w:r>
              <w:rPr>
                <w:rFonts w:ascii="Arial" w:cs="Arial" w:eastAsia="Arial" w:hAnsi="Arial"/>
                <w:sz w:val="1"/>
                <w:szCs w:val="1"/>
                <w:color w:val="auto"/>
              </w:rPr>
              <w:t>1.1</w:t>
            </w:r>
          </w:p>
        </w:tc>
        <w:tc>
          <w:tcPr>
            <w:tcW w:w="0" w:type="dxa"/>
            <w:vAlign w:val="bottom"/>
          </w:tcPr>
          <w:p>
            <w:pPr>
              <w:spacing w:after="0" w:line="20" w:lineRule="exact"/>
              <w:rPr>
                <w:sz w:val="1"/>
                <w:szCs w:val="1"/>
                <w:color w:val="auto"/>
              </w:rPr>
            </w:pPr>
          </w:p>
        </w:tc>
      </w:tr>
      <w:tr>
        <w:trPr>
          <w:trHeight w:val="179"/>
        </w:trPr>
        <w:tc>
          <w:tcPr>
            <w:tcW w:w="4440" w:type="dxa"/>
            <w:vAlign w:val="bottom"/>
            <w:gridSpan w:val="2"/>
          </w:tcPr>
          <w:p>
            <w:pPr>
              <w:ind w:left="2280"/>
              <w:spacing w:after="0"/>
              <w:rPr>
                <w:sz w:val="20"/>
                <w:szCs w:val="20"/>
                <w:color w:val="auto"/>
              </w:rPr>
            </w:pPr>
            <w:r>
              <w:rPr>
                <w:rFonts w:ascii="Arial" w:cs="Arial" w:eastAsia="Arial" w:hAnsi="Arial"/>
                <w:sz w:val="15"/>
                <w:szCs w:val="15"/>
                <w:color w:val="auto"/>
              </w:rPr>
              <w:t>(6)</w:t>
            </w: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Hong Wan, Ph.D.</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10" w:lineRule="exact"/>
              <w:rPr>
                <w:sz w:val="20"/>
                <w:szCs w:val="20"/>
                <w:color w:val="auto"/>
              </w:rPr>
            </w:pPr>
            <w:r>
              <w:rPr>
                <w:rFonts w:ascii="Arial" w:cs="Arial" w:eastAsia="Arial" w:hAnsi="Arial"/>
                <w:sz w:val="1"/>
                <w:szCs w:val="1"/>
                <w:color w:val="auto"/>
              </w:rPr>
              <w:t>402,140</w:t>
            </w:r>
          </w:p>
        </w:tc>
        <w:tc>
          <w:tcPr>
            <w:tcW w:w="1340" w:type="dxa"/>
            <w:vAlign w:val="bottom"/>
            <w:gridSpan w:val="2"/>
            <w:shd w:val="clear" w:color="auto" w:fill="CCEEFF"/>
          </w:tcPr>
          <w:p>
            <w:pPr>
              <w:jc w:val="right"/>
              <w:ind w:right="440"/>
              <w:spacing w:after="0" w:line="10" w:lineRule="exact"/>
              <w:rPr>
                <w:sz w:val="20"/>
                <w:szCs w:val="20"/>
                <w:color w:val="auto"/>
              </w:rPr>
            </w:pPr>
            <w:r>
              <w:rPr>
                <w:rFonts w:ascii="Arial" w:cs="Arial" w:eastAsia="Arial" w:hAnsi="Arial"/>
                <w:sz w:val="1"/>
                <w:szCs w:val="1"/>
                <w:color w:val="auto"/>
              </w:rPr>
              <w:t>402,140</w:t>
            </w:r>
          </w:p>
        </w:tc>
        <w:tc>
          <w:tcPr>
            <w:tcW w:w="1500" w:type="dxa"/>
            <w:vAlign w:val="bottom"/>
            <w:gridSpan w:val="2"/>
            <w:shd w:val="clear" w:color="auto" w:fill="CCEEFF"/>
          </w:tcPr>
          <w:p>
            <w:pPr>
              <w:jc w:val="right"/>
              <w:ind w:right="560"/>
              <w:spacing w:after="0" w:line="10" w:lineRule="exact"/>
              <w:rPr>
                <w:sz w:val="20"/>
                <w:szCs w:val="20"/>
                <w:color w:val="auto"/>
              </w:rPr>
            </w:pPr>
            <w:r>
              <w:rPr>
                <w:rFonts w:ascii="Arial" w:cs="Arial" w:eastAsia="Arial" w:hAnsi="Arial"/>
                <w:sz w:val="1"/>
                <w:szCs w:val="1"/>
                <w:color w:val="auto"/>
              </w:rPr>
              <w:t>1.1</w:t>
            </w:r>
          </w:p>
        </w:tc>
        <w:tc>
          <w:tcPr>
            <w:tcW w:w="1020" w:type="dxa"/>
            <w:vAlign w:val="bottom"/>
            <w:gridSpan w:val="2"/>
            <w:shd w:val="clear" w:color="auto" w:fill="CCEEFF"/>
          </w:tcPr>
          <w:p>
            <w:pPr>
              <w:jc w:val="right"/>
              <w:ind w:right="220"/>
              <w:spacing w:after="0" w:line="10" w:lineRule="exact"/>
              <w:rPr>
                <w:sz w:val="20"/>
                <w:szCs w:val="20"/>
                <w:color w:val="auto"/>
              </w:rPr>
            </w:pPr>
            <w:r>
              <w:rPr>
                <w:rFonts w:ascii="Arial" w:cs="Arial" w:eastAsia="Arial" w:hAnsi="Arial"/>
                <w:sz w:val="1"/>
                <w:szCs w:val="1"/>
                <w:color w:val="auto"/>
              </w:rPr>
              <w:t>1.0</w:t>
            </w: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320"/>
              <w:spacing w:after="0"/>
              <w:rPr>
                <w:sz w:val="20"/>
                <w:szCs w:val="20"/>
                <w:color w:val="auto"/>
              </w:rPr>
            </w:pPr>
            <w:r>
              <w:rPr>
                <w:rFonts w:ascii="Arial" w:cs="Arial" w:eastAsia="Arial" w:hAnsi="Arial"/>
                <w:sz w:val="15"/>
                <w:szCs w:val="15"/>
                <w:color w:val="auto"/>
              </w:rPr>
              <w:t>(7)</w:t>
            </w:r>
          </w:p>
        </w:tc>
        <w:tc>
          <w:tcPr>
            <w:tcW w:w="2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Non-Employee Directors:</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9,870,629</w:t>
            </w:r>
          </w:p>
        </w:tc>
        <w:tc>
          <w:tcPr>
            <w:tcW w:w="134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9,870,629</w:t>
            </w:r>
          </w:p>
        </w:tc>
        <w:tc>
          <w:tcPr>
            <w:tcW w:w="1500" w:type="dxa"/>
            <w:vAlign w:val="bottom"/>
            <w:gridSpan w:val="2"/>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26.6</w:t>
            </w:r>
          </w:p>
        </w:tc>
        <w:tc>
          <w:tcPr>
            <w:tcW w:w="102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25.0</w:t>
            </w:r>
          </w:p>
        </w:tc>
        <w:tc>
          <w:tcPr>
            <w:tcW w:w="0" w:type="dxa"/>
            <w:vAlign w:val="bottom"/>
          </w:tcPr>
          <w:p>
            <w:pPr>
              <w:spacing w:after="0" w:line="20" w:lineRule="exact"/>
              <w:rPr>
                <w:sz w:val="1"/>
                <w:szCs w:val="1"/>
                <w:color w:val="auto"/>
              </w:rPr>
            </w:pPr>
          </w:p>
        </w:tc>
      </w:tr>
      <w:tr>
        <w:trPr>
          <w:trHeight w:val="179"/>
        </w:trPr>
        <w:tc>
          <w:tcPr>
            <w:tcW w:w="2160" w:type="dxa"/>
            <w:vAlign w:val="bottom"/>
            <w:shd w:val="clear" w:color="auto" w:fill="CCEEFF"/>
          </w:tcPr>
          <w:p>
            <w:pPr>
              <w:ind w:left="1780"/>
              <w:spacing w:after="0"/>
              <w:rPr>
                <w:sz w:val="20"/>
                <w:szCs w:val="20"/>
                <w:color w:val="auto"/>
              </w:rPr>
            </w:pPr>
            <w:r>
              <w:rPr>
                <w:rFonts w:ascii="Arial" w:cs="Arial" w:eastAsia="Arial" w:hAnsi="Arial"/>
                <w:sz w:val="15"/>
                <w:szCs w:val="15"/>
                <w:color w:val="auto"/>
              </w:rPr>
              <w:t>(8)</w:t>
            </w:r>
          </w:p>
        </w:tc>
        <w:tc>
          <w:tcPr>
            <w:tcW w:w="2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tcPr>
          <w:p>
            <w:pPr>
              <w:spacing w:after="0" w:line="10" w:lineRule="exact"/>
              <w:rPr>
                <w:sz w:val="20"/>
                <w:szCs w:val="20"/>
                <w:color w:val="auto"/>
              </w:rPr>
            </w:pPr>
            <w:r>
              <w:rPr>
                <w:rFonts w:ascii="Arial" w:cs="Arial" w:eastAsia="Arial" w:hAnsi="Arial"/>
                <w:sz w:val="1"/>
                <w:szCs w:val="1"/>
                <w:color w:val="auto"/>
              </w:rPr>
              <w:t>Rekha Hemrajani</w:t>
            </w:r>
          </w:p>
        </w:tc>
        <w:tc>
          <w:tcPr>
            <w:tcW w:w="1340" w:type="dxa"/>
            <w:vAlign w:val="bottom"/>
          </w:tcPr>
          <w:p>
            <w:pPr>
              <w:spacing w:after="0" w:line="20" w:lineRule="exact"/>
              <w:rPr>
                <w:sz w:val="1"/>
                <w:szCs w:val="1"/>
                <w:color w:val="auto"/>
              </w:rPr>
            </w:pPr>
          </w:p>
        </w:tc>
        <w:tc>
          <w:tcPr>
            <w:tcW w:w="1380" w:type="dxa"/>
            <w:vAlign w:val="bottom"/>
            <w:gridSpan w:val="2"/>
          </w:tcPr>
          <w:p>
            <w:pPr>
              <w:jc w:val="right"/>
              <w:ind w:right="440"/>
              <w:spacing w:after="0" w:line="10" w:lineRule="exact"/>
              <w:rPr>
                <w:sz w:val="20"/>
                <w:szCs w:val="20"/>
                <w:color w:val="auto"/>
              </w:rPr>
            </w:pPr>
            <w:r>
              <w:rPr>
                <w:rFonts w:ascii="Arial" w:cs="Arial" w:eastAsia="Arial" w:hAnsi="Arial"/>
                <w:sz w:val="1"/>
                <w:szCs w:val="1"/>
                <w:color w:val="auto"/>
              </w:rPr>
              <w:t>3,000</w:t>
            </w:r>
          </w:p>
        </w:tc>
        <w:tc>
          <w:tcPr>
            <w:tcW w:w="1340" w:type="dxa"/>
            <w:vAlign w:val="bottom"/>
            <w:gridSpan w:val="2"/>
          </w:tcPr>
          <w:p>
            <w:pPr>
              <w:jc w:val="right"/>
              <w:ind w:right="440"/>
              <w:spacing w:after="0" w:line="10" w:lineRule="exact"/>
              <w:rPr>
                <w:sz w:val="20"/>
                <w:szCs w:val="20"/>
                <w:color w:val="auto"/>
              </w:rPr>
            </w:pPr>
            <w:r>
              <w:rPr>
                <w:rFonts w:ascii="Arial" w:cs="Arial" w:eastAsia="Arial" w:hAnsi="Arial"/>
                <w:sz w:val="1"/>
                <w:szCs w:val="1"/>
                <w:color w:val="auto"/>
              </w:rPr>
              <w:t>3,000</w:t>
            </w:r>
          </w:p>
        </w:tc>
        <w:tc>
          <w:tcPr>
            <w:tcW w:w="1500" w:type="dxa"/>
            <w:vAlign w:val="bottom"/>
            <w:gridSpan w:val="2"/>
          </w:tcPr>
          <w:p>
            <w:pPr>
              <w:jc w:val="right"/>
              <w:ind w:right="560"/>
              <w:spacing w:after="0" w:line="10" w:lineRule="exact"/>
              <w:rPr>
                <w:sz w:val="20"/>
                <w:szCs w:val="20"/>
                <w:color w:val="auto"/>
              </w:rPr>
            </w:pPr>
            <w:r>
              <w:rPr>
                <w:rFonts w:ascii="Arial" w:cs="Arial" w:eastAsia="Arial" w:hAnsi="Arial"/>
                <w:sz w:val="1"/>
                <w:szCs w:val="1"/>
                <w:color w:val="auto"/>
              </w:rPr>
              <w:t>*</w:t>
            </w:r>
          </w:p>
        </w:tc>
        <w:tc>
          <w:tcPr>
            <w:tcW w:w="1020" w:type="dxa"/>
            <w:vAlign w:val="bottom"/>
            <w:gridSpan w:val="2"/>
          </w:tcPr>
          <w:p>
            <w:pPr>
              <w:jc w:val="right"/>
              <w:ind w:right="22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2160" w:type="dxa"/>
            <w:vAlign w:val="bottom"/>
          </w:tcPr>
          <w:p>
            <w:pPr>
              <w:ind w:left="1320"/>
              <w:spacing w:after="0"/>
              <w:rPr>
                <w:sz w:val="20"/>
                <w:szCs w:val="20"/>
                <w:color w:val="auto"/>
              </w:rPr>
            </w:pPr>
            <w:r>
              <w:rPr>
                <w:rFonts w:ascii="Arial" w:cs="Arial" w:eastAsia="Arial" w:hAnsi="Arial"/>
                <w:sz w:val="15"/>
                <w:szCs w:val="15"/>
                <w:color w:val="auto"/>
              </w:rPr>
              <w:t>(9)</w:t>
            </w: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Jason Lettmann</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10" w:lineRule="exact"/>
              <w:rPr>
                <w:sz w:val="20"/>
                <w:szCs w:val="20"/>
                <w:color w:val="auto"/>
              </w:rPr>
            </w:pPr>
            <w:r>
              <w:rPr>
                <w:rFonts w:ascii="Arial" w:cs="Arial" w:eastAsia="Arial" w:hAnsi="Arial"/>
                <w:sz w:val="1"/>
                <w:szCs w:val="1"/>
                <w:color w:val="auto"/>
              </w:rPr>
              <w:t>4,831,544</w:t>
            </w:r>
          </w:p>
        </w:tc>
        <w:tc>
          <w:tcPr>
            <w:tcW w:w="1340" w:type="dxa"/>
            <w:vAlign w:val="bottom"/>
            <w:gridSpan w:val="2"/>
            <w:shd w:val="clear" w:color="auto" w:fill="CCEEFF"/>
          </w:tcPr>
          <w:p>
            <w:pPr>
              <w:jc w:val="right"/>
              <w:ind w:right="440"/>
              <w:spacing w:after="0" w:line="10" w:lineRule="exact"/>
              <w:rPr>
                <w:sz w:val="20"/>
                <w:szCs w:val="20"/>
                <w:color w:val="auto"/>
              </w:rPr>
            </w:pPr>
            <w:r>
              <w:rPr>
                <w:rFonts w:ascii="Arial" w:cs="Arial" w:eastAsia="Arial" w:hAnsi="Arial"/>
                <w:sz w:val="1"/>
                <w:szCs w:val="1"/>
                <w:color w:val="auto"/>
              </w:rPr>
              <w:t>4,831,544</w:t>
            </w:r>
          </w:p>
        </w:tc>
        <w:tc>
          <w:tcPr>
            <w:tcW w:w="1500" w:type="dxa"/>
            <w:vAlign w:val="bottom"/>
            <w:gridSpan w:val="2"/>
            <w:shd w:val="clear" w:color="auto" w:fill="CCEEFF"/>
          </w:tcPr>
          <w:p>
            <w:pPr>
              <w:jc w:val="right"/>
              <w:ind w:right="560"/>
              <w:spacing w:after="0" w:line="10" w:lineRule="exact"/>
              <w:rPr>
                <w:sz w:val="20"/>
                <w:szCs w:val="20"/>
                <w:color w:val="auto"/>
              </w:rPr>
            </w:pPr>
            <w:r>
              <w:rPr>
                <w:rFonts w:ascii="Arial" w:cs="Arial" w:eastAsia="Arial" w:hAnsi="Arial"/>
                <w:sz w:val="1"/>
                <w:szCs w:val="1"/>
                <w:color w:val="auto"/>
              </w:rPr>
              <w:t>13.0</w:t>
            </w:r>
          </w:p>
        </w:tc>
        <w:tc>
          <w:tcPr>
            <w:tcW w:w="1020" w:type="dxa"/>
            <w:vAlign w:val="bottom"/>
            <w:gridSpan w:val="2"/>
            <w:shd w:val="clear" w:color="auto" w:fill="CCEEFF"/>
          </w:tcPr>
          <w:p>
            <w:pPr>
              <w:jc w:val="right"/>
              <w:ind w:right="220"/>
              <w:spacing w:after="0" w:line="10" w:lineRule="exact"/>
              <w:rPr>
                <w:sz w:val="20"/>
                <w:szCs w:val="20"/>
                <w:color w:val="auto"/>
              </w:rPr>
            </w:pPr>
            <w:r>
              <w:rPr>
                <w:rFonts w:ascii="Arial" w:cs="Arial" w:eastAsia="Arial" w:hAnsi="Arial"/>
                <w:sz w:val="1"/>
                <w:szCs w:val="1"/>
                <w:color w:val="auto"/>
              </w:rPr>
              <w:t>12.2</w:t>
            </w:r>
          </w:p>
        </w:tc>
        <w:tc>
          <w:tcPr>
            <w:tcW w:w="0" w:type="dxa"/>
            <w:vAlign w:val="bottom"/>
          </w:tcPr>
          <w:p>
            <w:pPr>
              <w:spacing w:after="0" w:line="20" w:lineRule="exact"/>
              <w:rPr>
                <w:sz w:val="1"/>
                <w:szCs w:val="1"/>
                <w:color w:val="auto"/>
              </w:rPr>
            </w:pPr>
          </w:p>
        </w:tc>
      </w:tr>
      <w:tr>
        <w:trPr>
          <w:trHeight w:val="179"/>
        </w:trPr>
        <w:tc>
          <w:tcPr>
            <w:tcW w:w="2160" w:type="dxa"/>
            <w:vAlign w:val="bottom"/>
            <w:shd w:val="clear" w:color="auto" w:fill="CCEEFF"/>
          </w:tcPr>
          <w:p>
            <w:pPr>
              <w:ind w:left="1220"/>
              <w:spacing w:after="0"/>
              <w:rPr>
                <w:sz w:val="20"/>
                <w:szCs w:val="20"/>
                <w:color w:val="auto"/>
              </w:rPr>
            </w:pPr>
            <w:r>
              <w:rPr>
                <w:rFonts w:ascii="Arial" w:cs="Arial" w:eastAsia="Arial" w:hAnsi="Arial"/>
                <w:sz w:val="15"/>
                <w:szCs w:val="15"/>
                <w:color w:val="auto"/>
              </w:rPr>
              <w:t>(10)</w:t>
            </w:r>
          </w:p>
        </w:tc>
        <w:tc>
          <w:tcPr>
            <w:tcW w:w="2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tcPr>
          <w:p>
            <w:pPr>
              <w:spacing w:after="0" w:line="10" w:lineRule="exact"/>
              <w:rPr>
                <w:sz w:val="20"/>
                <w:szCs w:val="20"/>
                <w:color w:val="auto"/>
              </w:rPr>
            </w:pPr>
            <w:r>
              <w:rPr>
                <w:rFonts w:ascii="Arial" w:cs="Arial" w:eastAsia="Arial" w:hAnsi="Arial"/>
                <w:sz w:val="1"/>
                <w:szCs w:val="1"/>
                <w:color w:val="auto"/>
              </w:rPr>
              <w:t>Jack Nielsen</w:t>
            </w:r>
          </w:p>
        </w:tc>
        <w:tc>
          <w:tcPr>
            <w:tcW w:w="1340" w:type="dxa"/>
            <w:vAlign w:val="bottom"/>
          </w:tcPr>
          <w:p>
            <w:pPr>
              <w:spacing w:after="0" w:line="20" w:lineRule="exact"/>
              <w:rPr>
                <w:sz w:val="1"/>
                <w:szCs w:val="1"/>
                <w:color w:val="auto"/>
              </w:rPr>
            </w:pPr>
          </w:p>
        </w:tc>
        <w:tc>
          <w:tcPr>
            <w:tcW w:w="1380" w:type="dxa"/>
            <w:vAlign w:val="bottom"/>
            <w:gridSpan w:val="2"/>
          </w:tcPr>
          <w:p>
            <w:pPr>
              <w:jc w:val="right"/>
              <w:ind w:right="440"/>
              <w:spacing w:after="0" w:line="10" w:lineRule="exact"/>
              <w:rPr>
                <w:sz w:val="20"/>
                <w:szCs w:val="20"/>
                <w:color w:val="auto"/>
              </w:rPr>
            </w:pPr>
            <w:r>
              <w:rPr>
                <w:rFonts w:ascii="Arial" w:cs="Arial" w:eastAsia="Arial" w:hAnsi="Arial"/>
                <w:sz w:val="1"/>
                <w:szCs w:val="1"/>
                <w:color w:val="auto"/>
              </w:rPr>
              <w:t>3,334</w:t>
            </w:r>
          </w:p>
        </w:tc>
        <w:tc>
          <w:tcPr>
            <w:tcW w:w="1340" w:type="dxa"/>
            <w:vAlign w:val="bottom"/>
            <w:gridSpan w:val="2"/>
          </w:tcPr>
          <w:p>
            <w:pPr>
              <w:jc w:val="right"/>
              <w:ind w:right="440"/>
              <w:spacing w:after="0" w:line="10" w:lineRule="exact"/>
              <w:rPr>
                <w:sz w:val="20"/>
                <w:szCs w:val="20"/>
                <w:color w:val="auto"/>
              </w:rPr>
            </w:pPr>
            <w:r>
              <w:rPr>
                <w:rFonts w:ascii="Arial" w:cs="Arial" w:eastAsia="Arial" w:hAnsi="Arial"/>
                <w:sz w:val="1"/>
                <w:szCs w:val="1"/>
                <w:color w:val="auto"/>
              </w:rPr>
              <w:t>3,334</w:t>
            </w:r>
          </w:p>
        </w:tc>
        <w:tc>
          <w:tcPr>
            <w:tcW w:w="1500" w:type="dxa"/>
            <w:vAlign w:val="bottom"/>
            <w:gridSpan w:val="2"/>
          </w:tcPr>
          <w:p>
            <w:pPr>
              <w:jc w:val="right"/>
              <w:ind w:right="560"/>
              <w:spacing w:after="0" w:line="10" w:lineRule="exact"/>
              <w:rPr>
                <w:sz w:val="20"/>
                <w:szCs w:val="20"/>
                <w:color w:val="auto"/>
              </w:rPr>
            </w:pPr>
            <w:r>
              <w:rPr>
                <w:rFonts w:ascii="Arial" w:cs="Arial" w:eastAsia="Arial" w:hAnsi="Arial"/>
                <w:sz w:val="1"/>
                <w:szCs w:val="1"/>
                <w:color w:val="auto"/>
              </w:rPr>
              <w:t>*</w:t>
            </w:r>
          </w:p>
        </w:tc>
        <w:tc>
          <w:tcPr>
            <w:tcW w:w="1020" w:type="dxa"/>
            <w:vAlign w:val="bottom"/>
            <w:gridSpan w:val="2"/>
          </w:tcPr>
          <w:p>
            <w:pPr>
              <w:jc w:val="right"/>
              <w:ind w:right="22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2160" w:type="dxa"/>
            <w:vAlign w:val="bottom"/>
          </w:tcPr>
          <w:p>
            <w:pPr>
              <w:ind w:left="960"/>
              <w:spacing w:after="0"/>
              <w:rPr>
                <w:sz w:val="20"/>
                <w:szCs w:val="20"/>
                <w:color w:val="auto"/>
              </w:rPr>
            </w:pPr>
            <w:r>
              <w:rPr>
                <w:rFonts w:ascii="Arial" w:cs="Arial" w:eastAsia="Arial" w:hAnsi="Arial"/>
                <w:sz w:val="15"/>
                <w:szCs w:val="15"/>
                <w:color w:val="auto"/>
              </w:rPr>
              <w:t>(11)</w:t>
            </w: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Graham Walmsley, M.D., Ph.D.</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10" w:lineRule="exact"/>
              <w:rPr>
                <w:sz w:val="20"/>
                <w:szCs w:val="20"/>
                <w:color w:val="auto"/>
              </w:rPr>
            </w:pPr>
            <w:r>
              <w:rPr>
                <w:rFonts w:ascii="Arial" w:cs="Arial" w:eastAsia="Arial" w:hAnsi="Arial"/>
                <w:sz w:val="1"/>
                <w:szCs w:val="1"/>
                <w:color w:val="auto"/>
              </w:rPr>
              <w:t>3,140,315</w:t>
            </w:r>
          </w:p>
        </w:tc>
        <w:tc>
          <w:tcPr>
            <w:tcW w:w="1340" w:type="dxa"/>
            <w:vAlign w:val="bottom"/>
            <w:gridSpan w:val="2"/>
            <w:shd w:val="clear" w:color="auto" w:fill="CCEEFF"/>
          </w:tcPr>
          <w:p>
            <w:pPr>
              <w:jc w:val="right"/>
              <w:ind w:right="440"/>
              <w:spacing w:after="0" w:line="10" w:lineRule="exact"/>
              <w:rPr>
                <w:sz w:val="20"/>
                <w:szCs w:val="20"/>
                <w:color w:val="auto"/>
              </w:rPr>
            </w:pPr>
            <w:r>
              <w:rPr>
                <w:rFonts w:ascii="Arial" w:cs="Arial" w:eastAsia="Arial" w:hAnsi="Arial"/>
                <w:sz w:val="1"/>
                <w:szCs w:val="1"/>
                <w:color w:val="auto"/>
              </w:rPr>
              <w:t>3,140,315</w:t>
            </w:r>
          </w:p>
        </w:tc>
        <w:tc>
          <w:tcPr>
            <w:tcW w:w="1500" w:type="dxa"/>
            <w:vAlign w:val="bottom"/>
            <w:gridSpan w:val="2"/>
            <w:shd w:val="clear" w:color="auto" w:fill="CCEEFF"/>
          </w:tcPr>
          <w:p>
            <w:pPr>
              <w:jc w:val="right"/>
              <w:ind w:right="560"/>
              <w:spacing w:after="0" w:line="10" w:lineRule="exact"/>
              <w:rPr>
                <w:sz w:val="20"/>
                <w:szCs w:val="20"/>
                <w:color w:val="auto"/>
              </w:rPr>
            </w:pPr>
            <w:r>
              <w:rPr>
                <w:rFonts w:ascii="Arial" w:cs="Arial" w:eastAsia="Arial" w:hAnsi="Arial"/>
                <w:sz w:val="1"/>
                <w:szCs w:val="1"/>
                <w:color w:val="auto"/>
              </w:rPr>
              <w:t>8.5</w:t>
            </w:r>
          </w:p>
        </w:tc>
        <w:tc>
          <w:tcPr>
            <w:tcW w:w="1020" w:type="dxa"/>
            <w:vAlign w:val="bottom"/>
            <w:gridSpan w:val="2"/>
            <w:shd w:val="clear" w:color="auto" w:fill="CCEEFF"/>
          </w:tcPr>
          <w:p>
            <w:pPr>
              <w:jc w:val="right"/>
              <w:ind w:right="220"/>
              <w:spacing w:after="0" w:line="10" w:lineRule="exact"/>
              <w:rPr>
                <w:sz w:val="20"/>
                <w:szCs w:val="20"/>
                <w:color w:val="auto"/>
              </w:rPr>
            </w:pPr>
            <w:r>
              <w:rPr>
                <w:rFonts w:ascii="Arial" w:cs="Arial" w:eastAsia="Arial" w:hAnsi="Arial"/>
                <w:sz w:val="1"/>
                <w:szCs w:val="1"/>
                <w:color w:val="auto"/>
              </w:rPr>
              <w:t>8.0</w:t>
            </w: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(12)</w:t>
            </w: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5"/>
                <w:szCs w:val="15"/>
                <w:color w:val="auto"/>
              </w:rPr>
              <w:t>All executive officers and directors as a group (10 persons)</w:t>
            </w:r>
          </w:p>
        </w:tc>
        <w:tc>
          <w:tcPr>
            <w:tcW w:w="1340" w:type="dxa"/>
            <w:vAlign w:val="bottom"/>
            <w:vMerge w:val="restart"/>
          </w:tcPr>
          <w:p>
            <w:pPr>
              <w:jc w:val="right"/>
              <w:ind w:right="1007"/>
              <w:spacing w:after="0"/>
              <w:rPr>
                <w:sz w:val="20"/>
                <w:szCs w:val="20"/>
                <w:color w:val="auto"/>
              </w:rPr>
            </w:pPr>
            <w:r>
              <w:rPr>
                <w:rFonts w:ascii="Arial" w:cs="Arial" w:eastAsia="Arial" w:hAnsi="Arial"/>
                <w:sz w:val="15"/>
                <w:szCs w:val="15"/>
                <w:color w:val="auto"/>
                <w:w w:val="89"/>
              </w:rPr>
              <w:t>(13)</w:t>
            </w:r>
          </w:p>
        </w:tc>
        <w:tc>
          <w:tcPr>
            <w:tcW w:w="1380" w:type="dxa"/>
            <w:vAlign w:val="bottom"/>
            <w:gridSpan w:val="2"/>
          </w:tcPr>
          <w:p>
            <w:pPr>
              <w:jc w:val="right"/>
              <w:ind w:right="440"/>
              <w:spacing w:after="0" w:line="135" w:lineRule="exact"/>
              <w:rPr>
                <w:sz w:val="20"/>
                <w:szCs w:val="20"/>
                <w:color w:val="auto"/>
              </w:rPr>
            </w:pPr>
            <w:r>
              <w:rPr>
                <w:rFonts w:ascii="Arial" w:cs="Arial" w:eastAsia="Arial" w:hAnsi="Arial"/>
                <w:sz w:val="15"/>
                <w:szCs w:val="15"/>
                <w:color w:val="auto"/>
              </w:rPr>
              <w:t>20,626,719</w:t>
            </w:r>
          </w:p>
        </w:tc>
        <w:tc>
          <w:tcPr>
            <w:tcW w:w="1340" w:type="dxa"/>
            <w:vAlign w:val="bottom"/>
            <w:gridSpan w:val="2"/>
          </w:tcPr>
          <w:p>
            <w:pPr>
              <w:jc w:val="right"/>
              <w:ind w:right="440"/>
              <w:spacing w:after="0" w:line="135" w:lineRule="exact"/>
              <w:rPr>
                <w:sz w:val="20"/>
                <w:szCs w:val="20"/>
                <w:color w:val="auto"/>
              </w:rPr>
            </w:pPr>
            <w:r>
              <w:rPr>
                <w:rFonts w:ascii="Arial" w:cs="Arial" w:eastAsia="Arial" w:hAnsi="Arial"/>
                <w:sz w:val="15"/>
                <w:szCs w:val="15"/>
                <w:color w:val="auto"/>
              </w:rPr>
              <w:t>20,626,719</w:t>
            </w:r>
          </w:p>
        </w:tc>
        <w:tc>
          <w:tcPr>
            <w:tcW w:w="1500" w:type="dxa"/>
            <w:vAlign w:val="bottom"/>
            <w:gridSpan w:val="2"/>
          </w:tcPr>
          <w:p>
            <w:pPr>
              <w:jc w:val="right"/>
              <w:ind w:right="560"/>
              <w:spacing w:after="0" w:line="135" w:lineRule="exact"/>
              <w:rPr>
                <w:sz w:val="20"/>
                <w:szCs w:val="20"/>
                <w:color w:val="auto"/>
              </w:rPr>
            </w:pPr>
            <w:r>
              <w:rPr>
                <w:rFonts w:ascii="Arial" w:cs="Arial" w:eastAsia="Arial" w:hAnsi="Arial"/>
                <w:sz w:val="15"/>
                <w:szCs w:val="15"/>
                <w:color w:val="auto"/>
              </w:rPr>
              <w:t>52.9</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5"/>
                <w:szCs w:val="15"/>
                <w:color w:val="auto"/>
              </w:rPr>
              <w:t>49.9</w:t>
            </w:r>
          </w:p>
        </w:tc>
        <w:tc>
          <w:tcPr>
            <w:tcW w:w="0" w:type="dxa"/>
            <w:vAlign w:val="bottom"/>
          </w:tcPr>
          <w:p>
            <w:pPr>
              <w:spacing w:after="0"/>
              <w:rPr>
                <w:sz w:val="1"/>
                <w:szCs w:val="1"/>
                <w:color w:val="auto"/>
              </w:rPr>
            </w:pPr>
          </w:p>
        </w:tc>
      </w:tr>
      <w:tr>
        <w:trPr>
          <w:trHeight w:val="42"/>
        </w:trPr>
        <w:tc>
          <w:tcPr>
            <w:tcW w:w="21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Represents beneficial ownership of less than one percent (1%) of the outstanding shares of our common stock.</w:t>
      </w:r>
    </w:p>
    <w:p>
      <w:pPr>
        <w:spacing w:after="0" w:line="42" w:lineRule="exact"/>
        <w:rPr>
          <w:sz w:val="20"/>
          <w:szCs w:val="20"/>
          <w:color w:val="auto"/>
        </w:rPr>
      </w:pPr>
    </w:p>
    <w:p>
      <w:pPr>
        <w:ind w:left="540" w:right="20" w:hanging="276"/>
        <w:spacing w:after="0" w:line="244"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(i) 5,268,325 shares held of record by venBio Global Strategic Fund II, L.P. (GSF II LP); (ii) 3,969,789 shares held of record by venBio Global Strategic Fund, L.P. (GSF LP); and (iii) 461,811 shares held of record by venBio SPV, LLC. venBio Global Strategic GP II, L.P. (GS GP II LP) is the general partner of GSF II LP and venBio Global Strategic GP II, Ltd. (GS GP II Ltd) is the general partner of GS GP II LP. venBio Global Strategic GP, L.P. (GS GP LP) is the general partner of GSF LP and venBio Global Strategic GP, Ltd. (GS GP Ltd) is the general partner of GS GP LP. As the Directors of venBio Global GS GP II Ltd and GS GP Ltd and the Managing Directors of venBio SPV, LLC (SPV LLC), Robert Adelman and Corey Goodman, one of our directors, share voting and dispositive power with respect to the shares held of record by GSF II LP, GSF LP and SPV LLC. An additional 96,406 shares are held of record by Dr. Adelman. The address for these entities is c/o venBio Partners, LLC, 1700 Owens Street, Suite 595, San Francisco, California 94158.</w:t>
      </w:r>
    </w:p>
    <w:p>
      <w:pPr>
        <w:spacing w:after="0" w:line="28" w:lineRule="exact"/>
        <w:rPr>
          <w:rFonts w:ascii="Arial" w:cs="Arial" w:eastAsia="Arial" w:hAnsi="Arial"/>
          <w:sz w:val="14"/>
          <w:szCs w:val="14"/>
          <w:color w:val="auto"/>
        </w:rPr>
      </w:pPr>
    </w:p>
    <w:p>
      <w:pPr>
        <w:ind w:left="540" w:right="80" w:hanging="276"/>
        <w:spacing w:after="0" w:line="244"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(i) 2,268,087 shares held of record by Lightstone Ventures, LP (LV LP); (ii) 2,023,469 shares held of record by Lightstone Ventures II, LP (LV II LP); (iii) 309,222 shares held of record by Lightstone Ventures (A), LP (LV(A) LP); and (iv) 120,212 shares held of record by Lightstone Ventures II (A), LP (LV II(A) LP). LSV Associates, LLC (LSV Associates) is the General Partner of LV LP and LV(A) LP. As the individual general partners of LSV Associates, Michael A. Carusi, Jean M. George and Henry A. Plain Jr. share voting and dispositive power with respect to the shares held of record by LV LP and LV(A) LP. LSV Associates II, LLC (LSV Associates II) is the General Partner of LV II LP and LV II(A) LP. As the individual general partners of LSV Associates II, Michael A. Carusi, Jean M. George, Henry A. Plain Jr. and Jason W. Lettmann share voting and dispositive power with respect to the shares held of record by LV II LP and LV II(A) LP. The address for these entities is c/o LSV Capital Management, LLC, 2884 Sand Hill Road, Suite 121, Menlo Park, California 94025.</w:t>
      </w:r>
    </w:p>
    <w:p>
      <w:pPr>
        <w:spacing w:after="0" w:line="28" w:lineRule="exact"/>
        <w:rPr>
          <w:rFonts w:ascii="Arial" w:cs="Arial" w:eastAsia="Arial" w:hAnsi="Arial"/>
          <w:sz w:val="14"/>
          <w:szCs w:val="14"/>
          <w:color w:val="auto"/>
        </w:rPr>
      </w:pPr>
    </w:p>
    <w:p>
      <w:pPr>
        <w:ind w:left="540" w:right="40" w:hanging="276"/>
        <w:spacing w:after="0" w:line="244"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(i) 4,034,522 shares held of record by Vivo Capital Fund IX, L.P. (VIVO IX LP) and (ii) 185,526 shares held of record by Vivo Opportunity Fund, L.P. (VOF). Vivo Capital IX, LLC (VIVO IX LLC) is the General Partner of VIVO IX LP. As the managing members of VIVO IX LLC, Frank Kung, Edgar Engleman, Shan Fu, Jack Nielsen and Michael Chang share voting and dispositive power with respect to the shares held of record by VIVO IX LP, but each disclaims beneficial ownership of such shares except to the extent of his individual pecuniary interest therein. Vivo Opportunity, LLC is the general partner of VOF. As the managing members of Vivo Opportunity, LLC, Gaurav Aggarwal, Shan Fu, Frank King and Michael Chang share voting and dispositive power with respect to the shares held of record by VOF but each disclaims beneficial ownership of such shares except to the extent of his individual pecuniary interest therein. The address for these entities is c/o Vivo Capital, 192 Lytton Avenue, Palo Alto, California 94301.</w:t>
      </w:r>
    </w:p>
    <w:p>
      <w:pPr>
        <w:spacing w:after="0" w:line="28" w:lineRule="exact"/>
        <w:rPr>
          <w:rFonts w:ascii="Arial" w:cs="Arial" w:eastAsia="Arial" w:hAnsi="Arial"/>
          <w:sz w:val="14"/>
          <w:szCs w:val="14"/>
          <w:color w:val="auto"/>
        </w:rPr>
      </w:pPr>
    </w:p>
    <w:p>
      <w:pPr>
        <w:ind w:left="540" w:right="180" w:hanging="276"/>
        <w:spacing w:after="0" w:line="245"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(i) 2,161,981 shares held of record by Logos Opportunities Fund I, L.P. (LOS I LP) and (ii) 975,000 shares held of record by Logos Global Master Fund, L.P. (LGMF LP). Logos Opportunities GP, LLC (Logos Opportunities GP) is the general partner of LOS I LP, and Logos GP LLC (Logos GP) is the general partner of LGMF LP. Arsani William and Graham Walmsley are the managing members of Logos Opportunities GP and Logos GP and share voting and dispositive power with respect to the shares held of record by LOS I LP and LGMF LP. The address for these entities is c/o Logos Global Management, LP, 1 Letterman Drive, Building D, Suite D3-700, San Francisco, California 94129.</w:t>
      </w:r>
    </w:p>
    <w:p>
      <w:pPr>
        <w:spacing w:after="0" w:line="28" w:lineRule="exact"/>
        <w:rPr>
          <w:rFonts w:ascii="Arial" w:cs="Arial" w:eastAsia="Arial" w:hAnsi="Arial"/>
          <w:sz w:val="14"/>
          <w:szCs w:val="14"/>
          <w:color w:val="auto"/>
        </w:rPr>
      </w:pPr>
    </w:p>
    <w:p>
      <w:pPr>
        <w:ind w:left="540" w:right="20" w:hanging="276"/>
        <w:spacing w:after="0" w:line="258"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(i) 541,346 shares held of record by Dr. Pons and (ii) 960,046 shares issuable upon option exercise within 60 days of November 1, 2020, of which 447,240 are fully vested.</w:t>
      </w:r>
    </w:p>
    <w:p>
      <w:pPr>
        <w:spacing w:after="0" w:line="18" w:lineRule="exact"/>
        <w:rPr>
          <w:rFonts w:ascii="Arial" w:cs="Arial" w:eastAsia="Arial" w:hAnsi="Arial"/>
          <w:sz w:val="14"/>
          <w:szCs w:val="14"/>
          <w:color w:val="auto"/>
        </w:rPr>
      </w:pPr>
    </w:p>
    <w:p>
      <w:pPr>
        <w:ind w:left="540" w:right="300" w:hanging="276"/>
        <w:spacing w:after="0" w:line="258"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(i) 208,524 shares held of record by Dr. Randolph and (ii) 242,092 shares issuable upon option exercise within 60 days of November 1, 2020, of which 121,028 are fully vested.</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right="140" w:hanging="276"/>
        <w:spacing w:after="0" w:line="249"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(i) 22,610 shares held of record by the Kwauk and Wan Family Trust for which Dr. Wan serves as trustee; (ii) 131,687 shares held of record by Dr. Wan and (iii) 247,843 shares issuable upon option exercise within 60 days of November 1, 2020, of which 110,686 are fully vested. Dr. Wan, our former Chief Scientific Officer, resigned effective June 30, 2020.</w:t>
      </w:r>
    </w:p>
    <w:p>
      <w:pPr>
        <w:spacing w:after="0" w:line="25" w:lineRule="exact"/>
        <w:rPr>
          <w:rFonts w:ascii="Arial" w:cs="Arial" w:eastAsia="Arial" w:hAnsi="Arial"/>
          <w:sz w:val="14"/>
          <w:szCs w:val="14"/>
          <w:color w:val="auto"/>
        </w:rPr>
      </w:pPr>
    </w:p>
    <w:p>
      <w:pPr>
        <w:jc w:val="both"/>
        <w:ind w:left="540" w:right="60" w:hanging="276"/>
        <w:spacing w:after="0" w:line="249"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(i) the shares disclosed in footnote (1) above which are held of record by entities affiliated with venBio Partners; (ii) 113,287 shares held of record by the Goodman Barinaga Trust for which Dr. Goodman serves as trustee; (iii) 54,083 shares held of record by the Emaldi Corporation for which Dr. Goodman serves as a director and (iv) 3,334 shares issuable upon option exercise within 60 days of November 1, 2020, of which 3,334 are fully vested.</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3,000 shares held of record by Rekha Hemrajani.</w:t>
      </w:r>
    </w:p>
    <w:p>
      <w:pPr>
        <w:spacing w:after="0" w:line="41" w:lineRule="exact"/>
        <w:rPr>
          <w:rFonts w:ascii="Arial" w:cs="Arial" w:eastAsia="Arial" w:hAnsi="Arial"/>
          <w:sz w:val="14"/>
          <w:szCs w:val="14"/>
          <w:color w:val="auto"/>
        </w:rPr>
      </w:pPr>
    </w:p>
    <w:p>
      <w:pPr>
        <w:ind w:left="540" w:right="60" w:hanging="356"/>
        <w:spacing w:after="0" w:line="258"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(i) the shares disclosed in footnote (2) above which are held of record by entities affiliated with Lightstone Ventures; (ii) 107,220 shares held of record by Mr. Lettmann and (iii) 3,334 shares issuable upon option exercise within 60 days of November 1, 2020, of which 3,334 are fully vested.</w:t>
      </w:r>
    </w:p>
    <w:p>
      <w:pPr>
        <w:spacing w:after="0" w:line="18" w:lineRule="exact"/>
        <w:rPr>
          <w:rFonts w:ascii="Arial" w:cs="Arial" w:eastAsia="Arial" w:hAnsi="Arial"/>
          <w:sz w:val="14"/>
          <w:szCs w:val="14"/>
          <w:color w:val="auto"/>
        </w:rPr>
      </w:pPr>
    </w:p>
    <w:p>
      <w:pPr>
        <w:ind w:left="540" w:hanging="356"/>
        <w:spacing w:after="0"/>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3,334 shares issuable upon option exercise within 60 days of November 1, 2020, of which 3,334 are fully vested.</w:t>
      </w:r>
    </w:p>
    <w:p>
      <w:pPr>
        <w:spacing w:after="0" w:line="41" w:lineRule="exact"/>
        <w:rPr>
          <w:rFonts w:ascii="Arial" w:cs="Arial" w:eastAsia="Arial" w:hAnsi="Arial"/>
          <w:sz w:val="14"/>
          <w:szCs w:val="14"/>
          <w:color w:val="auto"/>
        </w:rPr>
      </w:pPr>
    </w:p>
    <w:p>
      <w:pPr>
        <w:ind w:left="540" w:right="260" w:hanging="356"/>
        <w:spacing w:after="0" w:line="258"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(i) the shares disclosed in footnote (4) above which are held of record by LOS I LP and LGMF LP and (ii) 3,334 shares issuable upon option exercise within 60 days of November 1, 2020, of which 3,334 are fully vested.</w:t>
      </w:r>
    </w:p>
    <w:p>
      <w:pPr>
        <w:spacing w:after="0" w:line="18" w:lineRule="exact"/>
        <w:rPr>
          <w:rFonts w:ascii="Arial" w:cs="Arial" w:eastAsia="Arial" w:hAnsi="Arial"/>
          <w:sz w:val="14"/>
          <w:szCs w:val="14"/>
          <w:color w:val="auto"/>
        </w:rPr>
      </w:pPr>
    </w:p>
    <w:p>
      <w:pPr>
        <w:ind w:left="540" w:hanging="356"/>
        <w:spacing w:after="0" w:line="249"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(i) 18,745,653 shares beneficially owned by our executive officers and directors and (ii) 1,881,066 shares issuable upon option exercise within 60 days of November 1, 2020, of which 705,823 are fully vested. Includes shares beneficially owned or issuable upon option exercise within 60 days of November 1, 2020 by Dr. Wan, our former Chief Scientific Officer, who resigned effective June 30, 2020.</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020"/>
          </w:cols>
          <w:pgMar w:left="320" w:top="459" w:right="5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3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following descriptions of our capital stock and certain provisions of our amended and restated certificate of incorporation and amended and restated bylaws are summaries and are qualified by reference to our amended and restated certificate of incorporation and amended and restated bylaws. Copies of these documents were filed with the SEC as exhibits to our registration statement, of which this prospectus forms a part.</w:t>
      </w:r>
    </w:p>
    <w:p>
      <w:pPr>
        <w:spacing w:after="0" w:line="147" w:lineRule="exact"/>
        <w:rPr>
          <w:sz w:val="20"/>
          <w:szCs w:val="20"/>
          <w:color w:val="auto"/>
        </w:rPr>
      </w:pPr>
    </w:p>
    <w:p>
      <w:pPr>
        <w:ind w:left="120" w:right="720"/>
        <w:spacing w:after="0" w:line="243" w:lineRule="auto"/>
        <w:rPr>
          <w:sz w:val="20"/>
          <w:szCs w:val="20"/>
          <w:color w:val="auto"/>
        </w:rPr>
      </w:pPr>
      <w:r>
        <w:rPr>
          <w:rFonts w:ascii="Arial" w:cs="Arial" w:eastAsia="Arial" w:hAnsi="Arial"/>
          <w:sz w:val="17"/>
          <w:szCs w:val="17"/>
          <w:color w:val="auto"/>
        </w:rPr>
        <w:t>Our authorized capital stock consists of 1,000,000,000 shares of common stock, par value $0.001 per share, and 100,000,000 shares of convertible preferred stock, par value $0.001 per share.</w:t>
      </w:r>
    </w:p>
    <w:p>
      <w:pPr>
        <w:spacing w:after="0" w:line="144"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Upon the completion of this offering and the issuance of 2,380,000 shares of common stock in this offering, there will be 39,487,522 shares of common stock outstanding upon the closing of this offering. As of September 30, 2020, we had 71 stockholders of record. As of September 30, 2020, there were 4,751,589 shares of common stock subject to outstanding options.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Voting Rights</w:t>
      </w:r>
    </w:p>
    <w:p>
      <w:pPr>
        <w:spacing w:after="0" w:line="122"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Dividends</w:t>
      </w:r>
    </w:p>
    <w:p>
      <w:pPr>
        <w:spacing w:after="0" w:line="54"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Liquidation</w:t>
      </w:r>
    </w:p>
    <w:p>
      <w:pPr>
        <w:spacing w:after="0" w:line="54"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54"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54"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8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Our board of directors has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preferred stock are outstanding, and we have no present plan to issue any shares of preferred stock.</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93"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As of September 30, 2020, we had outstanding options to purchase an aggregate of 4,751,589 shares of our common stock, with a weighted-average exercise price of $8.09 per share, under our 2020 Plan and our Amended and Restated 2020 Plan.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are party to an amended and restated investors’ rights agreement that provides that certain holders of our common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Generally, in an underwritten offering, the managing underwriter, if any, has the right, subject to specified conditions, to limit the number of shares such holders may include.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54"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The holders of an aggregate of 24,429,399 shares of our common stock are entitled to certain demand registration rights. At any time beginning 180 days after the effective date of our initial public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S-3 Registration Rights</w:t>
      </w:r>
    </w:p>
    <w:p>
      <w:pPr>
        <w:spacing w:after="0" w:line="5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holders of an aggregate of 24,429,399 shares of our common stock are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54" w:lineRule="exact"/>
        <w:rPr>
          <w:sz w:val="20"/>
          <w:szCs w:val="20"/>
          <w:color w:val="auto"/>
        </w:rPr>
      </w:pPr>
    </w:p>
    <w:p>
      <w:pPr>
        <w:ind w:left="120" w:right="320"/>
        <w:spacing w:after="0" w:line="234" w:lineRule="auto"/>
        <w:rPr>
          <w:sz w:val="20"/>
          <w:szCs w:val="20"/>
          <w:color w:val="auto"/>
        </w:rPr>
      </w:pPr>
      <w:r>
        <w:rPr>
          <w:rFonts w:ascii="Arial" w:cs="Arial" w:eastAsia="Arial" w:hAnsi="Arial"/>
          <w:sz w:val="17"/>
          <w:szCs w:val="17"/>
          <w:color w:val="auto"/>
        </w:rPr>
        <w:t>In connection with this offering, the holders of an aggregate of 24,429,399 shares of our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54"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54"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will pay the registration expenses, other than underwriting discounts and commissions, of the shares registered by the demand, Form S-3 and piggyback registrations described above.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54"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demand, Form S-3 and piggyback registration described above will expire upon the earliest of (1) the fifth anniversary after the closing of our initial public offering, (2) a deemed liquidation event (as defined in our amended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and restated certificate of incorporation, in effect prior to the completion of our initial public offering) and (3) such time after the completion of our initial public offering that such stockholder can sell all of its shares entitled to registration rights under Rule 144 of the Securities Act.</w:t>
      </w:r>
    </w:p>
    <w:p>
      <w:pPr>
        <w:spacing w:after="0" w:line="181"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35"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Preferred Stock</w:t>
      </w:r>
    </w:p>
    <w:p>
      <w:pPr>
        <w:spacing w:after="0" w:line="54"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Classified Board</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amended and restated certificate of incorporation provides that our board of directors is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date of the 2021 annual meeting, the term of the initial Class II directors shall terminate on the date of the 2022 annual meeting, and the term of the initial Class III directors shall terminate on the date of the 2023 annual meeting. At each annual meeting of stockholders beginning in 2021, successors to the class of directors whose term expires at that annual meeting will be elected for a three-year term.</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54"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Director Vacancies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amended and restated certificate of incorporation authorizes only our board of directors to fill vacant directorships.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54" w:lineRule="exact"/>
        <w:rPr>
          <w:sz w:val="20"/>
          <w:szCs w:val="20"/>
          <w:color w:val="auto"/>
        </w:rPr>
      </w:pPr>
    </w:p>
    <w:p>
      <w:pPr>
        <w:ind w:left="120" w:right="640"/>
        <w:spacing w:after="0" w:line="243" w:lineRule="auto"/>
        <w:rPr>
          <w:sz w:val="20"/>
          <w:szCs w:val="20"/>
          <w:color w:val="auto"/>
        </w:rPr>
      </w:pPr>
      <w:r>
        <w:rPr>
          <w:rFonts w:ascii="Arial" w:cs="Arial" w:eastAsia="Arial" w:hAnsi="Arial"/>
          <w:sz w:val="17"/>
          <w:szCs w:val="17"/>
          <w:color w:val="auto"/>
        </w:rPr>
        <w:t>Our amended and restated certificate of incorporation provides that stockholders do not have the right to cumulate votes in the election of directors.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Special Meetings of Stockholders</w:t>
      </w:r>
    </w:p>
    <w:p>
      <w:pPr>
        <w:spacing w:after="0" w:line="54" w:lineRule="exact"/>
        <w:rPr>
          <w:sz w:val="20"/>
          <w:szCs w:val="20"/>
          <w:color w:val="auto"/>
        </w:rPr>
      </w:pPr>
    </w:p>
    <w:p>
      <w:pPr>
        <w:ind w:left="120" w:right="380"/>
        <w:spacing w:after="0" w:line="238"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Advance Notice Procedures for Director Nominations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Action by Written Consent</w:t>
      </w:r>
    </w:p>
    <w:p>
      <w:pPr>
        <w:spacing w:after="0" w:line="54"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Amending our Certificate of Incorporation and Bylaws</w:t>
      </w:r>
    </w:p>
    <w:p>
      <w:pPr>
        <w:spacing w:after="0" w:line="54"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Authorized but Unissued Shares</w:t>
      </w:r>
    </w:p>
    <w:p>
      <w:pPr>
        <w:spacing w:after="0" w:line="5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authorized but unissued shares of common stock and preferred stock are available for future issuances without stockholder approval, except as required by the listing standards of Nasdaq, and may be utilized for a variety of corporate purposes, including future offerings to raise additional capital, acquisitions and employee benefit plans. The existence of authorized but unissued and unreserved common stock and preferred stock may render more difficult or discourage an attempt to obtain control of the company by means of a proxy contest, tender offer, merger or otherwise.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Exclusive Jurisdiction</w:t>
      </w:r>
    </w:p>
    <w:p>
      <w:pPr>
        <w:spacing w:after="0" w:line="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For additional information, please also see the section titled “Risk Factors—Our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Combinations with Interested Stockholders</w:t>
      </w:r>
    </w:p>
    <w:p>
      <w:pPr>
        <w:spacing w:after="0" w:line="54" w:lineRule="exact"/>
        <w:rPr>
          <w:sz w:val="20"/>
          <w:szCs w:val="20"/>
          <w:color w:val="auto"/>
        </w:rPr>
      </w:pPr>
    </w:p>
    <w:p>
      <w:pPr>
        <w:ind w:left="120" w:right="120"/>
        <w:spacing w:after="0" w:line="233" w:lineRule="auto"/>
        <w:rPr>
          <w:sz w:val="20"/>
          <w:szCs w:val="20"/>
          <w:color w:val="auto"/>
        </w:rPr>
      </w:pPr>
      <w:r>
        <w:rPr>
          <w:rFonts w:ascii="Arial" w:cs="Arial" w:eastAsia="Arial" w:hAnsi="Arial"/>
          <w:sz w:val="17"/>
          <w:szCs w:val="17"/>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0"/>
        <w:spacing w:after="0" w:line="243" w:lineRule="auto"/>
        <w:rPr>
          <w:sz w:val="20"/>
          <w:szCs w:val="20"/>
          <w:color w:val="auto"/>
        </w:rPr>
      </w:pPr>
      <w:r>
        <w:rPr>
          <w:rFonts w:ascii="Arial" w:cs="Arial" w:eastAsia="Arial" w:hAnsi="Arial"/>
          <w:sz w:val="17"/>
          <w:szCs w:val="17"/>
          <w:color w:val="auto"/>
        </w:rPr>
        <w:t>written consent) by the affirmative vote of at least 66 2/3% of the outstanding voting stock of such corporation not owned by the interested stockholder.</w:t>
      </w:r>
    </w:p>
    <w:p>
      <w:pPr>
        <w:spacing w:after="0" w:line="14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Listing</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is listed on the Nasdaq Global Select Market under the symbol “ALXO.”</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Transfer Agent and Registrar</w:t>
      </w:r>
    </w:p>
    <w:p>
      <w:pPr>
        <w:spacing w:after="0" w:line="41"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transfer agent and registrar for our common stock is Computershare Trust Company, N.A. The transfer agent and registrar’s address is 250 Royal Street, Canton, Massachusetts 02021.</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336"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Sales of substantial amounts of common stock in the public market, including shares issued upon exercise of outstanding options, or the perception that such sales may occur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47"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Upon completion of this offering, based on our shares outstanding as of September 30, 2020, 39,487,522 shares of our common stock will be outstanding, or 39,844,522 shares of common stock if the underwriters exercise their option to purchase additional shares in full. All of the shares of common stock that were sold in our initial public offering are, and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49"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As a result of the lock-up agreements described below and the provisions of Rules 144 or 701 and no exercise of the underwriters’ option to purchase additional shares, the shares of our common stock will be available for sale in the public market following the completion of this offering as follows:</w:t>
      </w:r>
    </w:p>
    <w:p>
      <w:pPr>
        <w:spacing w:after="0" w:line="188" w:lineRule="exact"/>
        <w:rPr>
          <w:sz w:val="20"/>
          <w:szCs w:val="20"/>
          <w:color w:val="auto"/>
        </w:rPr>
      </w:pPr>
    </w:p>
    <w:p>
      <w:pPr>
        <w:ind w:left="980" w:right="180" w:hanging="432"/>
        <w:spacing w:after="0" w:line="243" w:lineRule="auto"/>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8,946,000 shares will be eligible for sale on the date of this prospectus subject in some cases to the volume and other restrictions of Rule 144;</w:t>
      </w:r>
    </w:p>
    <w:p>
      <w:pPr>
        <w:spacing w:after="0" w:line="22" w:lineRule="exact"/>
        <w:rPr>
          <w:rFonts w:ascii="MS PGothic" w:cs="MS PGothic" w:eastAsia="MS PGothic" w:hAnsi="MS PGothic"/>
          <w:sz w:val="13"/>
          <w:szCs w:val="13"/>
          <w:color w:val="auto"/>
        </w:rPr>
      </w:pPr>
    </w:p>
    <w:p>
      <w:pPr>
        <w:ind w:left="980" w:right="220" w:hanging="432"/>
        <w:spacing w:after="0" w:line="238" w:lineRule="auto"/>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7,575,821 shares will be eligible for sale upon expiration of the lock-up agreements and market stand-off provisions beginning more than 180 days after the date of the prospectus related to our initial public offering subject in some cases to the volume and other restrictions of Rule 144; and</w:t>
      </w:r>
    </w:p>
    <w:p>
      <w:pPr>
        <w:spacing w:after="0" w:line="25"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22,965,701 shares will be eligible for sale upon expiration of the lock-up agreements described below, beginning more than 90 days after the date of this prospectus subject in some cases to the volume and other restrictions of Rule 144.</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connection with our initial public offering, our officers, directors and the holders of substantially all of our securities entered into market stand-off agreements with us and entered into lock-up agreements with the underwriters, subject to certain exceptions, not to dispose of or hedge any of their common stock or securities convertible into or exchangeable for shares of common stock during the period from the date of the prospectus related to our initial public offering continuing through the date 180 days after the date of the prospectus related to our initial public offering, except with the prior consent of Jefferies LLC, Credit Suisse Securities (USA) LLC and Piper Sandler &amp; Co.</w:t>
      </w:r>
    </w:p>
    <w:p>
      <w:pPr>
        <w:spacing w:after="0" w:line="15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In addition, our executive officers, directors and certain of our other stockholders that are affiliated with certain of our directors have entered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90 days after the date of this prospectus, except with the prior consent of Jefferies LLC, Credit Suisse Securities (USA) LLC and Piper Sandler &amp; Co.</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See the section titled “Underwriting” for additional information.</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8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4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within any three month period beginning 90 days after the date of this prospectus a number of shares that does not exceed the greater of the following:</w:t>
      </w:r>
    </w:p>
    <w:p>
      <w:pPr>
        <w:spacing w:after="0" w:line="190" w:lineRule="exact"/>
        <w:rPr>
          <w:sz w:val="20"/>
          <w:szCs w:val="20"/>
          <w:color w:val="auto"/>
        </w:rPr>
      </w:pPr>
    </w:p>
    <w:p>
      <w:pPr>
        <w:ind w:left="980" w:right="60" w:hanging="432"/>
        <w:spacing w:after="0" w:line="238" w:lineRule="auto"/>
        <w:tabs>
          <w:tab w:leader="none" w:pos="980" w:val="left"/>
        </w:tabs>
        <w:numPr>
          <w:ilvl w:val="0"/>
          <w:numId w:val="98"/>
        </w:numPr>
        <w:rPr>
          <w:rFonts w:ascii="MS PGothic" w:cs="MS PGothic" w:eastAsia="MS PGothic" w:hAnsi="MS PGothic"/>
          <w:sz w:val="13"/>
          <w:szCs w:val="13"/>
          <w:color w:val="auto"/>
        </w:rPr>
      </w:pPr>
      <w:r>
        <w:rPr>
          <w:rFonts w:ascii="Arial" w:cs="Arial" w:eastAsia="Arial" w:hAnsi="Arial"/>
          <w:sz w:val="17"/>
          <w:szCs w:val="17"/>
          <w:color w:val="auto"/>
        </w:rPr>
        <w:t>1% of the number of shares of our capital stock then outstanding, which will equal 394,875 shares immediately after the completion of this offering, assuming no exercise by the underwriters of their option to purchase additional shares (calculated as of September 30, 2020); or</w:t>
      </w:r>
    </w:p>
    <w:p>
      <w:pPr>
        <w:spacing w:after="0" w:line="25"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98"/>
        </w:numPr>
        <w:rPr>
          <w:rFonts w:ascii="MS PGothic" w:cs="MS PGothic" w:eastAsia="MS PGothic" w:hAnsi="MS PGothic"/>
          <w:sz w:val="13"/>
          <w:szCs w:val="13"/>
          <w:color w:val="auto"/>
        </w:rPr>
      </w:pPr>
      <w:r>
        <w:rPr>
          <w:rFonts w:ascii="Arial" w:cs="Arial" w:eastAsia="Arial" w:hAnsi="Arial"/>
          <w:sz w:val="17"/>
          <w:szCs w:val="17"/>
          <w:color w:val="auto"/>
        </w:rPr>
        <w:t>the average weekly trading volume of our common stock during the four calendar weeks preceding the filing of a notice on Form 144 with respect to such sale.</w:t>
      </w:r>
    </w:p>
    <w:p>
      <w:pPr>
        <w:spacing w:after="0" w:line="14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holders of up to 24,429,399 shares of our common stock are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Plans</w:t>
      </w:r>
    </w:p>
    <w:p>
      <w:pPr>
        <w:spacing w:after="0" w:line="80"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filed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are eligible for sale in the public market without 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AND TAX CONSIDERATIONS FOR NON-U.S. HOLDERS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OUR COMMON STOCK</w:t>
      </w:r>
    </w:p>
    <w:p>
      <w:pPr>
        <w:spacing w:after="0" w:line="314"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The following is a summary of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9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190" w:lineRule="exact"/>
        <w:rPr>
          <w:sz w:val="20"/>
          <w:szCs w:val="20"/>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banks, insurance companies, regulated investment companies, real estate investment trusts or other financial institutions;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persons subject to the alternative minimum tax;</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tax-exempt organizations;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pension plans and tax-qualified retirement plans;</w:t>
      </w:r>
    </w:p>
    <w:p>
      <w:pPr>
        <w:spacing w:after="0" w:line="34"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22"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entities or arrangements classified as partnerships for U.S. federal income tax purposes or other pass through entities such as subchapter S corporations (or investors in such entities or arrangements);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brokers or dealers in securities or currencies;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certain former citizens or long-term residents of the United States;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persons who hold our common stock as a position in a hedging transaction, “straddle,” “conversion transaction,” or other risk reduction transaction;</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persons who hold or receive our common stock pursuant to the exercise of any option or otherwise as compensation;</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persons who do not hold our common stock as a capital asset within the meaning of Section 1221 of the Code (generally, property held for investment) or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persons deemed to sell our common stock under the constructive sale provisions of the Code.</w:t>
      </w:r>
    </w:p>
    <w:p>
      <w:pPr>
        <w:spacing w:after="0" w:line="15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In addition, if a partnership (or other entity or arrangement classified as a partnership for U.S. federal income tax purposes) holds our common stock, the tax treatment of a partner in the partnership generally will depend on the status of the partner and upon the activities of the partnership. A partner in a partnership that will hold our common stock should consult his, her or its own tax advisor regarding the tax considerations of the purchase, ownership and disposition of our common stock through a partnership.</w:t>
      </w:r>
    </w:p>
    <w:p>
      <w:pPr>
        <w:spacing w:after="0" w:line="129"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considerations of the purchase, ownership and disposition of our common stock arising under the U.S. federal gift or estate tax rules or under the laws of any state, local, non-U.S. or other taxing jurisdiction or under any applicable tax treaty.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 Defined</w:t>
      </w:r>
    </w:p>
    <w:p>
      <w:pPr>
        <w:spacing w:after="0" w:line="93"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that, for U.S. federal income tax purposes, is neither a partnership nor:</w:t>
      </w:r>
    </w:p>
    <w:p>
      <w:pPr>
        <w:spacing w:after="0" w:line="185" w:lineRule="exact"/>
        <w:rPr>
          <w:sz w:val="20"/>
          <w:szCs w:val="20"/>
          <w:color w:val="auto"/>
        </w:rPr>
      </w:pPr>
    </w:p>
    <w:p>
      <w:pPr>
        <w:ind w:left="980" w:hanging="432"/>
        <w:spacing w:after="0"/>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an estate whose income is subject to U.S. federal income tax regardless of its source; or</w:t>
      </w:r>
    </w:p>
    <w:p>
      <w:pPr>
        <w:spacing w:after="0" w:line="34"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8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common stock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 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the application of any applicable tax treaties that may provide for different rules.</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93"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Subject to the discussions below regarding backup withholding and FATCA withholding, you generally will not be required to pay U.S. federal income tax on any gain realized upon the sale or other disposition of our common stock unless:</w:t>
      </w:r>
    </w:p>
    <w:p>
      <w:pPr>
        <w:spacing w:after="0" w:line="185" w:lineRule="exact"/>
        <w:rPr>
          <w:sz w:val="20"/>
          <w:szCs w:val="20"/>
          <w:color w:val="auto"/>
        </w:rPr>
      </w:pPr>
    </w:p>
    <w:p>
      <w:pPr>
        <w:ind w:left="980" w:right="40" w:hanging="432"/>
        <w:spacing w:after="0" w:line="243"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22"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or</w:t>
      </w:r>
    </w:p>
    <w:p>
      <w:pPr>
        <w:spacing w:after="0" w:line="22" w:lineRule="exact"/>
        <w:rPr>
          <w:rFonts w:ascii="MS PGothic" w:cs="MS PGothic" w:eastAsia="MS PGothic" w:hAnsi="MS PGothic"/>
          <w:sz w:val="13"/>
          <w:szCs w:val="13"/>
          <w:color w:val="auto"/>
        </w:rPr>
      </w:pPr>
    </w:p>
    <w:p>
      <w:pPr>
        <w:jc w:val="both"/>
        <w:ind w:left="980" w:right="140" w:hanging="432"/>
        <w:spacing w:after="0" w:line="238"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our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common stock.</w:t>
      </w:r>
    </w:p>
    <w:p>
      <w:pPr>
        <w:spacing w:after="0" w:line="147"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0"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47"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50"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 under the Foreign Account Tax Compliance Act</w:t>
      </w:r>
    </w:p>
    <w:p>
      <w:pPr>
        <w:spacing w:after="0" w:line="80"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Sections 1471 through 1474 of the Code and the Treasury Regulations and other official IRS guidance issued thereunder, or collectively FATCA, generally impose a U.S. federal withholding tax of 30% on dividends on, and the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withholding obligations under FATCA generally apply to dividends on our common stock and to the payment of gross proceeds of a sale or other disposition of our common stock. However, the U.S. Treasury Department has issued proposed regulations that, if finalized in their present form, would eliminate FATCA withholding on gross proceeds of the sale or other disposition of our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common stock.</w:t>
      </w:r>
    </w:p>
    <w:p>
      <w:pPr>
        <w:spacing w:after="0" w:line="128"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common stock, including the consequences of any proposed change in applicable laws.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336"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Subject to the terms and conditions set forth in the underwriting agreement, dated December 9, 2020, between us and Jefferies LLC, Credit Suisse Securities (USA) LLC, Piper Sandler &amp; Co. and Cantor Fitzgerald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8820" w:type="dxa"/>
            <w:vAlign w:val="bottom"/>
            <w:vMerge w:val="restart"/>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6"/>
        </w:trPr>
        <w:tc>
          <w:tcPr>
            <w:tcW w:w="99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Jefferies LLC</w:t>
            </w:r>
          </w:p>
        </w:tc>
        <w:tc>
          <w:tcPr>
            <w:tcW w:w="10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773,500</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900" w:type="dxa"/>
            <w:vAlign w:val="bottom"/>
            <w:gridSpan w:val="2"/>
          </w:tcPr>
          <w:p>
            <w:pPr>
              <w:spacing w:after="0" w:line="189" w:lineRule="exact"/>
              <w:rPr>
                <w:sz w:val="20"/>
                <w:szCs w:val="20"/>
                <w:color w:val="auto"/>
              </w:rPr>
            </w:pPr>
            <w:r>
              <w:rPr>
                <w:rFonts w:ascii="Arial" w:cs="Arial" w:eastAsia="Arial" w:hAnsi="Arial"/>
                <w:sz w:val="17"/>
                <w:szCs w:val="17"/>
                <w:color w:val="auto"/>
              </w:rPr>
              <w:t>Credit Suisse Securities (USA) LLC</w:t>
            </w: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476,000</w:t>
            </w: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Piper Sandler &amp; Co.</w:t>
            </w:r>
          </w:p>
        </w:tc>
        <w:tc>
          <w:tcPr>
            <w:tcW w:w="11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476,000</w:t>
            </w:r>
          </w:p>
        </w:tc>
        <w:tc>
          <w:tcPr>
            <w:tcW w:w="0" w:type="dxa"/>
            <w:vAlign w:val="bottom"/>
          </w:tcPr>
          <w:p>
            <w:pPr>
              <w:spacing w:after="0"/>
              <w:rPr>
                <w:sz w:val="1"/>
                <w:szCs w:val="1"/>
                <w:color w:val="auto"/>
              </w:rPr>
            </w:pPr>
          </w:p>
        </w:tc>
      </w:tr>
      <w:tr>
        <w:trPr>
          <w:trHeight w:val="189"/>
        </w:trPr>
        <w:tc>
          <w:tcPr>
            <w:tcW w:w="9900" w:type="dxa"/>
            <w:vAlign w:val="bottom"/>
            <w:gridSpan w:val="2"/>
          </w:tcPr>
          <w:p>
            <w:pPr>
              <w:spacing w:after="0" w:line="189" w:lineRule="exact"/>
              <w:rPr>
                <w:sz w:val="20"/>
                <w:szCs w:val="20"/>
                <w:color w:val="auto"/>
              </w:rPr>
            </w:pPr>
            <w:r>
              <w:rPr>
                <w:rFonts w:ascii="Arial" w:cs="Arial" w:eastAsia="Arial" w:hAnsi="Arial"/>
                <w:sz w:val="17"/>
                <w:szCs w:val="17"/>
                <w:color w:val="auto"/>
              </w:rPr>
              <w:t>Cantor Fitzgerald &amp; Co.</w:t>
            </w: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309,400</w:t>
            </w: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UBS Securities LLC</w:t>
            </w:r>
          </w:p>
        </w:tc>
        <w:tc>
          <w:tcPr>
            <w:tcW w:w="11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178,500</w:t>
            </w:r>
          </w:p>
        </w:tc>
        <w:tc>
          <w:tcPr>
            <w:tcW w:w="0" w:type="dxa"/>
            <w:vAlign w:val="bottom"/>
          </w:tcPr>
          <w:p>
            <w:pPr>
              <w:spacing w:after="0"/>
              <w:rPr>
                <w:sz w:val="1"/>
                <w:szCs w:val="1"/>
                <w:color w:val="auto"/>
              </w:rPr>
            </w:pPr>
          </w:p>
        </w:tc>
      </w:tr>
      <w:tr>
        <w:trPr>
          <w:trHeight w:val="189"/>
        </w:trPr>
        <w:tc>
          <w:tcPr>
            <w:tcW w:w="9900" w:type="dxa"/>
            <w:vAlign w:val="bottom"/>
            <w:gridSpan w:val="2"/>
          </w:tcPr>
          <w:p>
            <w:pPr>
              <w:spacing w:after="0" w:line="189" w:lineRule="exact"/>
              <w:rPr>
                <w:sz w:val="20"/>
                <w:szCs w:val="20"/>
                <w:color w:val="auto"/>
              </w:rPr>
            </w:pPr>
            <w:r>
              <w:rPr>
                <w:rFonts w:ascii="Arial" w:cs="Arial" w:eastAsia="Arial" w:hAnsi="Arial"/>
                <w:sz w:val="17"/>
                <w:szCs w:val="17"/>
                <w:color w:val="auto"/>
              </w:rPr>
              <w:t>LifeSci Capital LLC</w:t>
            </w: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166,600</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90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Total</w:t>
            </w:r>
          </w:p>
        </w:tc>
        <w:tc>
          <w:tcPr>
            <w:tcW w:w="11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2,380,000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Borders>
              <w:bottom w:val="single" w:sz="8" w:color="auto"/>
            </w:tcBorders>
          </w:tcPr>
          <w:p>
            <w:pPr>
              <w:spacing w:after="0"/>
              <w:rPr>
                <w:sz w:val="18"/>
                <w:szCs w:val="18"/>
                <w:color w:val="auto"/>
              </w:rPr>
            </w:pPr>
          </w:p>
        </w:tc>
        <w:tc>
          <w:tcPr>
            <w:tcW w:w="8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50"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 and Expenses</w:t>
      </w:r>
    </w:p>
    <w:p>
      <w:pPr>
        <w:spacing w:after="0" w:line="80"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public offering price set forth on the cover page of this prospectus and to certain dealers, which may include the underwriters, at that price less a concession not in excess of $2.736 per share of common stock. After the offering, the public offering price, concession and reallowance to dealers may be reduced by the representatives. No such reduction will change the amount of proceeds to be received by us as set forth on the cover page of this prospectus.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5"/>
                <w:szCs w:val="15"/>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rPr>
              <w:t>TOTAL</w:t>
            </w: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WITHOUT</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62"/>
              <w:spacing w:after="0" w:line="143" w:lineRule="exact"/>
              <w:rPr>
                <w:sz w:val="20"/>
                <w:szCs w:val="20"/>
                <w:color w:val="auto"/>
              </w:rPr>
            </w:pPr>
            <w:r>
              <w:rPr>
                <w:rFonts w:ascii="Arial" w:cs="Arial" w:eastAsia="Arial" w:hAnsi="Arial"/>
                <w:sz w:val="14"/>
                <w:szCs w:val="14"/>
                <w:b w:val="1"/>
                <w:bCs w:val="1"/>
                <w:color w:val="auto"/>
              </w:rPr>
              <w:t>WITH</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WITHOUT</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44"/>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2"/>
        </w:trPr>
        <w:tc>
          <w:tcPr>
            <w:tcW w:w="624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 TO</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624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PURCHASE</w:t>
            </w: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PURCHASE</w:t>
            </w: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PURCHASE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PURCHASE</w:t>
            </w:r>
          </w:p>
        </w:tc>
      </w:tr>
      <w:tr>
        <w:trPr>
          <w:trHeight w:val="153"/>
        </w:trPr>
        <w:tc>
          <w:tcPr>
            <w:tcW w:w="6240" w:type="dxa"/>
            <w:vAlign w:val="bottom"/>
          </w:tcPr>
          <w:p>
            <w:pPr>
              <w:spacing w:after="0"/>
              <w:rPr>
                <w:sz w:val="13"/>
                <w:szCs w:val="13"/>
                <w:color w:val="auto"/>
              </w:rPr>
            </w:pPr>
          </w:p>
        </w:tc>
        <w:tc>
          <w:tcPr>
            <w:tcW w:w="116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rPr>
              <w:t>ADDITIONAL</w:t>
            </w:r>
          </w:p>
        </w:tc>
        <w:tc>
          <w:tcPr>
            <w:tcW w:w="116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rPr>
              <w:t>ADDITIONAL</w:t>
            </w:r>
          </w:p>
        </w:tc>
        <w:tc>
          <w:tcPr>
            <w:tcW w:w="12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112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rPr>
              <w:t>ADDITIONAL</w:t>
            </w:r>
          </w:p>
        </w:tc>
      </w:tr>
      <w:tr>
        <w:trPr>
          <w:trHeight w:val="157"/>
        </w:trPr>
        <w:tc>
          <w:tcPr>
            <w:tcW w:w="6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SHARES</w:t>
            </w:r>
          </w:p>
        </w:tc>
        <w:tc>
          <w:tcPr>
            <w:tcW w:w="140" w:type="dxa"/>
            <w:vAlign w:val="bottom"/>
          </w:tcPr>
          <w:p>
            <w:pPr>
              <w:spacing w:after="0"/>
              <w:rPr>
                <w:sz w:val="13"/>
                <w:szCs w:val="13"/>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SHARES</w:t>
            </w:r>
          </w:p>
        </w:tc>
        <w:tc>
          <w:tcPr>
            <w:tcW w:w="10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SHARES</w:t>
            </w:r>
          </w:p>
        </w:tc>
      </w:tr>
      <w:tr>
        <w:trPr>
          <w:trHeight w:val="183"/>
        </w:trPr>
        <w:tc>
          <w:tcPr>
            <w:tcW w:w="6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76.00</w:t>
            </w: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76.00</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180,880,000</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208,012,000</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624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4.56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4.56</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10,852,800</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12,480,720</w:t>
            </w:r>
          </w:p>
        </w:tc>
      </w:tr>
      <w:tr>
        <w:trPr>
          <w:trHeight w:val="189"/>
        </w:trPr>
        <w:tc>
          <w:tcPr>
            <w:tcW w:w="6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71.44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71.44</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9"/>
              </w:rPr>
              <w:t>170,027,200</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9"/>
              </w:rPr>
              <w:t>195,531,280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The expenses payable by us in connection with this offering, other than the underwriting discounts and commissions referred to above, will be approximately $600,000. We have also agreed to reimburse the underwriters for up to $20,000 for their Financial Industry Regulatory Authority, Inc., or FINRA, counsel fee. In accordance with FINRA Rule 5110, this reimbursed fee is deemed underwriting compensation for this offering.</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is listed on The Nasdaq Global Select Market under the trading symbol “ALXO.”</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93"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 part, up to an aggregate of 357,000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80"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connection with our initial public offering, our officers, directors and the holders of substantially all of our securities entered into lock-up agreements with the underwriters, subject to certain exceptions, not to dispose of or hedge any of their common stock or securities convertible into or exchangeable for shares of common stock during the period from the date of the prospectus related to our initial public offering continuing through the date 180 days after the date of the prospectus related to our initial public offering, except with the prior consent of Jefferies LLC, Credit Suisse Securities (USA) LLC and Piper Sandler &amp; Co.</w:t>
      </w:r>
    </w:p>
    <w:p>
      <w:pPr>
        <w:spacing w:after="0" w:line="204"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In addition, we, our officers, directors and certain stockholders affiliated with our directors have agreed, subject to specified exceptions, not to directly or indirectly:</w:t>
      </w:r>
    </w:p>
    <w:p>
      <w:pPr>
        <w:spacing w:after="0" w:line="185" w:lineRule="exact"/>
        <w:rPr>
          <w:sz w:val="20"/>
          <w:szCs w:val="20"/>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sell, offer to sell, contract to sell or lend any of our securities,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effect any short sale, or establish or increase any “put equivalent position” (as defined in Rule 16a-1(h) under the Exchange Act) or liquidate or decrease any “call equivalent position” (as defined in Rule 16a-1(b) under the Exchange Act) of any of our securities,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pledge, hypothecate or grant any security interest in any of our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in any other way transfer or dispose of our securities,</w:t>
      </w:r>
    </w:p>
    <w:p>
      <w:pPr>
        <w:spacing w:after="0" w:line="34"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enter into any swap, hedge or similar arrangement or agreement that transfers, in whole or in part, the economic risk of ownership of any of our securities, regardless of whether any such transaction is to be settled in securities, in cash or otherwise,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announce the offering of any of our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submit or file any registration statement under the Securities Act in respect of any of our securities, or</w:t>
      </w:r>
    </w:p>
    <w:p>
      <w:pPr>
        <w:spacing w:after="0" w:line="34"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publicly announce an intention to do any of the foregoing for a period of 90 days after the date of this prospectus without the prior written consent of Jefferies LLC, Credit Suisse Securities (USA) LLC and Piper Sandler &amp; Co.</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90th day after the date of this prospectus.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Jefferies LLC, Credit Suisse Securities (USA) LLC and Piper Sandler &amp; Co. may, in their sole discretion and at any time or from time to time before the termination of the 90-day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w:t>
      </w:r>
    </w:p>
    <w:p>
      <w:pPr>
        <w:spacing w:after="0" w:line="93"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0" w:lineRule="exact"/>
        <w:rPr>
          <w:sz w:val="20"/>
          <w:szCs w:val="20"/>
          <w:color w:val="auto"/>
        </w:rPr>
      </w:pPr>
    </w:p>
    <w:p>
      <w:pPr>
        <w:ind w:left="120" w:right="28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49"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47"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8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Activities and Relationships</w:t>
      </w:r>
    </w:p>
    <w:p>
      <w:pPr>
        <w:spacing w:after="0" w:line="93"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 For example, certain of the underwriters also served as underwriters in our initial public offering in July 2020.</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European Economic Area and the United Kingdom</w:t>
      </w:r>
    </w:p>
    <w:p>
      <w:pPr>
        <w:spacing w:after="0" w:line="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90" w:lineRule="exact"/>
        <w:rPr>
          <w:sz w:val="20"/>
          <w:szCs w:val="20"/>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to any legal entity which is a qualified investor as defined under the Prospectus Regulation;</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underwriters; or</w:t>
      </w:r>
    </w:p>
    <w:p>
      <w:pPr>
        <w:spacing w:after="0" w:line="22" w:lineRule="exact"/>
        <w:rPr>
          <w:rFonts w:ascii="MS PGothic" w:cs="MS PGothic" w:eastAsia="MS PGothic" w:hAnsi="MS PGothic"/>
          <w:sz w:val="13"/>
          <w:szCs w:val="13"/>
          <w:color w:val="auto"/>
        </w:rPr>
      </w:pPr>
    </w:p>
    <w:p>
      <w:pPr>
        <w:ind w:left="980" w:right="60" w:hanging="432"/>
        <w:spacing w:after="0" w:line="233" w:lineRule="auto"/>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in any other circumstances falling within Article 1(4) of the Prospectus Regulation, 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United Kingdom</w:t>
      </w:r>
    </w:p>
    <w:p>
      <w:pPr>
        <w:spacing w:after="0" w:line="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51" w:lineRule="exact"/>
        <w:rPr>
          <w:sz w:val="20"/>
          <w:szCs w:val="20"/>
          <w:color w:val="auto"/>
        </w:rPr>
      </w:pPr>
    </w:p>
    <w:p>
      <w:pPr>
        <w:jc w:val="both"/>
        <w:ind w:left="120" w:right="340"/>
        <w:spacing w:after="0" w:line="238"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Canada</w:t>
      </w:r>
    </w:p>
    <w:p>
      <w:pPr>
        <w:spacing w:after="0" w:line="29" w:lineRule="exact"/>
        <w:rPr>
          <w:sz w:val="20"/>
          <w:szCs w:val="20"/>
          <w:color w:val="auto"/>
        </w:rPr>
      </w:pPr>
    </w:p>
    <w:p>
      <w:pPr>
        <w:ind w:left="400" w:hanging="284"/>
        <w:spacing w:after="0"/>
        <w:tabs>
          <w:tab w:leader="none" w:pos="40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Resale Restrictions</w:t>
      </w:r>
    </w:p>
    <w:p>
      <w:pPr>
        <w:spacing w:after="0" w:line="4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distribution of shares of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 our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common stock.</w:t>
      </w:r>
    </w:p>
    <w:p>
      <w:pPr>
        <w:spacing w:after="0" w:line="35" w:lineRule="exact"/>
        <w:rPr>
          <w:sz w:val="20"/>
          <w:szCs w:val="20"/>
          <w:color w:val="auto"/>
        </w:rPr>
      </w:pPr>
    </w:p>
    <w:p>
      <w:pPr>
        <w:ind w:left="400" w:hanging="284"/>
        <w:spacing w:after="0"/>
        <w:tabs>
          <w:tab w:leader="none" w:pos="40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Representations of Canadian Purchasers</w:t>
      </w:r>
    </w:p>
    <w:p>
      <w:pPr>
        <w:spacing w:after="0" w:line="52"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By purchasing shares of our common stock in Canada and accepting delivery of a purchase confirmation, a purchaser is representing to us and the dealer from whom the purchase confirmation is received that:</w:t>
      </w:r>
    </w:p>
    <w:p>
      <w:pPr>
        <w:spacing w:after="0" w:line="185" w:lineRule="exact"/>
        <w:rPr>
          <w:sz w:val="20"/>
          <w:szCs w:val="20"/>
          <w:color w:val="auto"/>
        </w:rPr>
      </w:pPr>
    </w:p>
    <w:p>
      <w:pPr>
        <w:ind w:left="980" w:right="60" w:hanging="432"/>
        <w:spacing w:after="0" w:line="238" w:lineRule="auto"/>
        <w:tabs>
          <w:tab w:leader="none" w:pos="980" w:val="left"/>
        </w:tabs>
        <w:numPr>
          <w:ilvl w:val="1"/>
          <w:numId w:val="106"/>
        </w:numPr>
        <w:rPr>
          <w:rFonts w:ascii="MS PGothic" w:cs="MS PGothic" w:eastAsia="MS PGothic" w:hAnsi="MS PGothic"/>
          <w:sz w:val="13"/>
          <w:szCs w:val="13"/>
          <w:color w:val="auto"/>
        </w:rPr>
      </w:pPr>
      <w:r>
        <w:rPr>
          <w:rFonts w:ascii="Arial" w:cs="Arial" w:eastAsia="Arial" w:hAnsi="Arial"/>
          <w:sz w:val="17"/>
          <w:szCs w:val="17"/>
          <w:color w:val="auto"/>
        </w:rPr>
        <w:t>the purchaser is entitled under applicable provincial securities laws to purchase the shares of our common stock without the benefit of a prospectus qualified under those securities laws as it is an “accredited investor” as defined under National Instrument 45-106 – Prospectus Exemptions,</w:t>
      </w:r>
    </w:p>
    <w:p>
      <w:pPr>
        <w:spacing w:after="0" w:line="25"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1"/>
          <w:numId w:val="106"/>
        </w:numPr>
        <w:rPr>
          <w:rFonts w:ascii="MS PGothic" w:cs="MS PGothic" w:eastAsia="MS PGothic" w:hAnsi="MS PGothic"/>
          <w:sz w:val="13"/>
          <w:szCs w:val="13"/>
          <w:color w:val="auto"/>
        </w:rPr>
      </w:pPr>
      <w:r>
        <w:rPr>
          <w:rFonts w:ascii="Arial" w:cs="Arial" w:eastAsia="Arial" w:hAnsi="Arial"/>
          <w:sz w:val="17"/>
          <w:szCs w:val="17"/>
          <w:color w:val="auto"/>
        </w:rPr>
        <w:t>the purchaser is a “permitted client” as defined in National Instrument 31-103—Registration Requirements, Exemptions and Ongoing Registrant Obligations,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1"/>
          <w:numId w:val="106"/>
        </w:numPr>
        <w:rPr>
          <w:rFonts w:ascii="MS PGothic" w:cs="MS PGothic" w:eastAsia="MS PGothic" w:hAnsi="MS PGothic"/>
          <w:sz w:val="13"/>
          <w:szCs w:val="13"/>
          <w:color w:val="auto"/>
        </w:rPr>
      </w:pPr>
      <w:r>
        <w:rPr>
          <w:rFonts w:ascii="Arial" w:cs="Arial" w:eastAsia="Arial" w:hAnsi="Arial"/>
          <w:sz w:val="17"/>
          <w:szCs w:val="17"/>
          <w:color w:val="auto"/>
        </w:rPr>
        <w:t>where required by law, the purchaser is purchasing as principal and not as agent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1"/>
          <w:numId w:val="106"/>
        </w:numPr>
        <w:rPr>
          <w:rFonts w:ascii="MS PGothic" w:cs="MS PGothic" w:eastAsia="MS PGothic" w:hAnsi="MS PGothic"/>
          <w:sz w:val="13"/>
          <w:szCs w:val="13"/>
          <w:color w:val="auto"/>
        </w:rPr>
      </w:pPr>
      <w:r>
        <w:rPr>
          <w:rFonts w:ascii="Arial" w:cs="Arial" w:eastAsia="Arial" w:hAnsi="Arial"/>
          <w:sz w:val="17"/>
          <w:szCs w:val="17"/>
          <w:color w:val="auto"/>
        </w:rPr>
        <w:t>the purchaser has reviewed the text above under Resale Restrictions.</w:t>
      </w:r>
    </w:p>
    <w:p>
      <w:pPr>
        <w:spacing w:after="0" w:line="43" w:lineRule="exact"/>
        <w:rPr>
          <w:rFonts w:ascii="MS PGothic" w:cs="MS PGothic" w:eastAsia="MS PGothic" w:hAnsi="MS PGothic"/>
          <w:sz w:val="13"/>
          <w:szCs w:val="13"/>
          <w:color w:val="auto"/>
        </w:rPr>
      </w:pPr>
    </w:p>
    <w:p>
      <w:pPr>
        <w:ind w:left="400" w:hanging="284"/>
        <w:spacing w:after="0"/>
        <w:tabs>
          <w:tab w:leader="none" w:pos="4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Conflicts of Interest</w:t>
      </w:r>
    </w:p>
    <w:p>
      <w:pPr>
        <w:spacing w:after="0" w:line="52"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Canadian purchasers are hereby notified that the representatives are relying on the exemption set out in section 3A.3 or 3A.4, if applicable, of National Instrument 33-105 – Underwriting Conflicts from having to provide certain conflict of interest disclosure in this document.</w:t>
      </w:r>
    </w:p>
    <w:p>
      <w:pPr>
        <w:spacing w:after="0" w:line="32" w:lineRule="exact"/>
        <w:rPr>
          <w:sz w:val="20"/>
          <w:szCs w:val="20"/>
          <w:color w:val="auto"/>
        </w:rPr>
      </w:pPr>
    </w:p>
    <w:p>
      <w:pPr>
        <w:ind w:left="400" w:hanging="284"/>
        <w:spacing w:after="0"/>
        <w:tabs>
          <w:tab w:leader="none" w:pos="40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Statutory Rights of Action</w:t>
      </w:r>
    </w:p>
    <w:p>
      <w:pPr>
        <w:spacing w:after="0" w:line="52"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37" w:lineRule="exact"/>
        <w:rPr>
          <w:sz w:val="20"/>
          <w:szCs w:val="20"/>
          <w:color w:val="auto"/>
        </w:rPr>
      </w:pPr>
    </w:p>
    <w:p>
      <w:pPr>
        <w:ind w:left="400" w:hanging="284"/>
        <w:spacing w:after="0"/>
        <w:tabs>
          <w:tab w:leader="none" w:pos="40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Enforcement of Legal Rights</w:t>
      </w:r>
    </w:p>
    <w:p>
      <w:pPr>
        <w:spacing w:after="0" w:line="52"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48" w:lineRule="exact"/>
        <w:rPr>
          <w:sz w:val="20"/>
          <w:szCs w:val="20"/>
          <w:color w:val="auto"/>
        </w:rPr>
      </w:pPr>
    </w:p>
    <w:p>
      <w:pPr>
        <w:ind w:left="380" w:hanging="264"/>
        <w:spacing w:after="0"/>
        <w:tabs>
          <w:tab w:leader="none" w:pos="38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Taxation and Eligibility for Investment</w:t>
      </w:r>
    </w:p>
    <w:p>
      <w:pPr>
        <w:spacing w:after="0" w:line="39" w:lineRule="exact"/>
        <w:rPr>
          <w:sz w:val="20"/>
          <w:szCs w:val="20"/>
          <w:color w:val="auto"/>
        </w:rPr>
      </w:pPr>
    </w:p>
    <w:p>
      <w:pPr>
        <w:jc w:val="both"/>
        <w:ind w:left="120" w:right="360"/>
        <w:spacing w:after="0" w:line="238" w:lineRule="auto"/>
        <w:rPr>
          <w:sz w:val="20"/>
          <w:szCs w:val="20"/>
          <w:color w:val="auto"/>
        </w:rPr>
      </w:pPr>
      <w:r>
        <w:rPr>
          <w:rFonts w:ascii="Arial" w:cs="Arial" w:eastAsia="Arial" w:hAnsi="Arial"/>
          <w:sz w:val="17"/>
          <w:szCs w:val="17"/>
          <w:color w:val="auto"/>
        </w:rPr>
        <w:t>Canadian purchasers of shares of common stock should consult their own legal and tax advisors with respect to the tax consequences of an investment in the shares of our common stock in their particular circumstances and about the eligibility of the shares of our common stock for investment by the purchaser under relevant Canadian legislation.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Australia</w:t>
      </w:r>
    </w:p>
    <w:p>
      <w:pPr>
        <w:spacing w:after="0" w:line="41"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confirm and warrant that you are either:</w:t>
      </w:r>
    </w:p>
    <w:p>
      <w:pPr>
        <w:spacing w:after="0" w:line="196" w:lineRule="exact"/>
        <w:rPr>
          <w:sz w:val="20"/>
          <w:szCs w:val="20"/>
          <w:color w:val="auto"/>
        </w:rPr>
      </w:pPr>
    </w:p>
    <w:p>
      <w:pPr>
        <w:ind w:left="980" w:hanging="432"/>
        <w:spacing w:after="0"/>
        <w:tabs>
          <w:tab w:leader="none" w:pos="980" w:val="left"/>
        </w:tabs>
        <w:numPr>
          <w:ilvl w:val="0"/>
          <w:numId w:val="110"/>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708(8)(a) or (b) of the Corporations Act;</w:t>
      </w:r>
    </w:p>
    <w:p>
      <w:pPr>
        <w:spacing w:after="0" w:line="34" w:lineRule="exact"/>
        <w:rPr>
          <w:rFonts w:ascii="MS PGothic" w:cs="MS PGothic" w:eastAsia="MS PGothic" w:hAnsi="MS PGothic"/>
          <w:sz w:val="13"/>
          <w:szCs w:val="13"/>
          <w:color w:val="auto"/>
        </w:rPr>
      </w:pPr>
    </w:p>
    <w:p>
      <w:pPr>
        <w:ind w:left="980" w:right="40" w:hanging="432"/>
        <w:spacing w:after="0" w:line="238" w:lineRule="auto"/>
        <w:tabs>
          <w:tab w:leader="none" w:pos="980" w:val="left"/>
        </w:tabs>
        <w:numPr>
          <w:ilvl w:val="0"/>
          <w:numId w:val="110"/>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0"/>
        </w:numPr>
        <w:rPr>
          <w:rFonts w:ascii="MS PGothic" w:cs="MS PGothic" w:eastAsia="MS PGothic" w:hAnsi="MS PGothic"/>
          <w:sz w:val="13"/>
          <w:szCs w:val="13"/>
          <w:color w:val="auto"/>
        </w:rPr>
      </w:pPr>
      <w:r>
        <w:rPr>
          <w:rFonts w:ascii="Arial" w:cs="Arial" w:eastAsia="Arial" w:hAnsi="Arial"/>
          <w:sz w:val="17"/>
          <w:szCs w:val="17"/>
          <w:color w:val="auto"/>
        </w:rPr>
        <w:t>a person associated with the Company under Section 708(12) of the Corporations Act;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0"/>
        </w:numPr>
        <w:rPr>
          <w:rFonts w:ascii="MS PGothic" w:cs="MS PGothic" w:eastAsia="MS PGothic" w:hAnsi="MS PGothic"/>
          <w:sz w:val="13"/>
          <w:szCs w:val="13"/>
          <w:color w:val="auto"/>
        </w:rPr>
      </w:pPr>
      <w:r>
        <w:rPr>
          <w:rFonts w:ascii="Arial" w:cs="Arial" w:eastAsia="Arial" w:hAnsi="Arial"/>
          <w:sz w:val="17"/>
          <w:szCs w:val="17"/>
          <w:color w:val="auto"/>
        </w:rPr>
        <w:t>a “professional investor” within the meaning of section 708(11)(a) or (b) of the Corporations Act.</w:t>
      </w:r>
    </w:p>
    <w:p>
      <w:pPr>
        <w:spacing w:after="0" w:line="156"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44" w:lineRule="exact"/>
        <w:rPr>
          <w:sz w:val="20"/>
          <w:szCs w:val="20"/>
          <w:color w:val="auto"/>
        </w:rPr>
      </w:pPr>
    </w:p>
    <w:p>
      <w:pPr>
        <w:jc w:val="both"/>
        <w:ind w:left="120" w:right="560"/>
        <w:spacing w:after="0" w:line="238"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Hong Kong</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No shares of our common stock have been offered or sold, and no shares of our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the shares of our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our common stock which are or are intended to be disposed of only to persons outside Hong Kong or only to “professional investors” as defined in the SFO and any rules made under that Ordinance.</w:t>
      </w:r>
    </w:p>
    <w:p>
      <w:pPr>
        <w:spacing w:after="0" w:line="1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shares of our common stock may not be offered for subscription to members of the public in Hong Kong. Each person acquiring the shares of our common stock will be required, and is deemed by the acquisition of the shares of our common stock, to confirm that he is aware of the restriction on offers of the shares of our common stock described in this prospectus and the relevant offering documents and that he is not acquiring, and has not been offered any shares of our common stock in circumstances that contravene any such restrictions.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Israel</w:t>
      </w:r>
    </w:p>
    <w:p>
      <w:pPr>
        <w:spacing w:after="0" w:line="41"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distributed only to, and is directed only at, and any offer of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Japan</w:t>
      </w:r>
    </w:p>
    <w:p>
      <w:pPr>
        <w:spacing w:after="0" w:line="41"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Singapore</w:t>
      </w:r>
    </w:p>
    <w:p>
      <w:pPr>
        <w:spacing w:after="0" w:line="41"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w:t>
      </w:r>
    </w:p>
    <w:p>
      <w:pPr>
        <w:ind w:left="120" w:right="60"/>
        <w:spacing w:after="0" w:line="243" w:lineRule="auto"/>
        <w:rPr>
          <w:sz w:val="20"/>
          <w:szCs w:val="20"/>
          <w:color w:val="auto"/>
        </w:rPr>
      </w:pPr>
      <w:r>
        <w:rPr>
          <w:rFonts w:ascii="Arial" w:cs="Arial" w:eastAsia="Arial" w:hAnsi="Arial"/>
          <w:sz w:val="17"/>
          <w:szCs w:val="17"/>
          <w:color w:val="auto"/>
        </w:rPr>
        <w:t>Section 275(1A), and in accordance with the conditions specified in Section 275, of the SFA, or (iii) otherwise pursuant to, and in accordance with the conditions of, any other applicable provision of the SFA.</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Where the shares of our common stock are subscribed or purchased under Section 275 of the SFA by a relevant person which is:</w:t>
      </w:r>
    </w:p>
    <w:p>
      <w:pPr>
        <w:spacing w:after="0" w:line="196" w:lineRule="exact"/>
        <w:rPr>
          <w:sz w:val="20"/>
          <w:szCs w:val="20"/>
          <w:color w:val="auto"/>
        </w:rPr>
      </w:pPr>
    </w:p>
    <w:p>
      <w:pPr>
        <w:ind w:left="980" w:right="400" w:hanging="432"/>
        <w:spacing w:after="0" w:line="243" w:lineRule="auto"/>
        <w:tabs>
          <w:tab w:leader="none" w:pos="9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2" w:lineRule="exact"/>
        <w:rPr>
          <w:rFonts w:ascii="MS PGothic" w:cs="MS PGothic" w:eastAsia="MS PGothic" w:hAnsi="MS PGothic"/>
          <w:sz w:val="13"/>
          <w:szCs w:val="13"/>
          <w:color w:val="auto"/>
        </w:rPr>
      </w:pPr>
    </w:p>
    <w:p>
      <w:pPr>
        <w:ind w:left="980" w:right="60" w:hanging="432"/>
        <w:spacing w:after="0" w:line="236" w:lineRule="auto"/>
        <w:tabs>
          <w:tab w:leader="none" w:pos="9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27"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where no consideration is or will be given for the transfer;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where the transfer is by operation of law;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as specified in Section 276(7) of the SFA; or</w:t>
      </w:r>
    </w:p>
    <w:p>
      <w:pPr>
        <w:spacing w:after="0" w:line="34"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Switzerland</w:t>
      </w:r>
    </w:p>
    <w:p>
      <w:pPr>
        <w:spacing w:after="0" w:line="4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1060"/>
          </w:cols>
          <w:pgMar w:left="320" w:top="459" w:right="5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336"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Wilson Sonsini Goodrich &amp; Rosati, Professional Corporation, Palo Alto, California. Cooley LLP, San Francisco, California, is representing the underwriters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The consolidated financial statements of ALX Oncology Limited as of December 31, 2018 and 2019, and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47"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financial statement of ALX Oncology Holdings Inc. as of April 1, 2020 (inception), has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6"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can read our SEC filings, including the registration statement and its exhibits, over the Internet at the SEC’s website at www.sec.gov.</w:t>
      </w:r>
    </w:p>
    <w:p>
      <w:pPr>
        <w:spacing w:after="0" w:line="15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are subject to the information reporting requirements of the Exchange Act, and we will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080"/>
          </w:cols>
          <w:pgMar w:left="320" w:top="459"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Balance Sheet as of April 1, 2020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540" w:type="dxa"/>
            <w:vAlign w:val="bottom"/>
          </w:tcPr>
          <w:p>
            <w:pPr>
              <w:spacing w:after="0"/>
              <w:rPr>
                <w:rFonts w:ascii="Arial" w:cs="Arial" w:eastAsia="Arial" w:hAnsi="Arial"/>
                <w:sz w:val="17"/>
                <w:szCs w:val="17"/>
                <w:u w:val="single" w:color="auto"/>
                <w:color w:val="0000EE"/>
              </w:rPr>
            </w:pPr>
            <w:hyperlink w:anchor="page178">
              <w:r>
                <w:rPr>
                  <w:rFonts w:ascii="Arial" w:cs="Arial" w:eastAsia="Arial" w:hAnsi="Arial"/>
                  <w:sz w:val="17"/>
                  <w:szCs w:val="17"/>
                  <w:u w:val="single" w:color="auto"/>
                  <w:color w:val="0000EE"/>
                </w:rPr>
                <w:t>Report of Independent Registered Public Accounting Firm</w:t>
              </w:r>
            </w:hyperlink>
          </w:p>
        </w:tc>
        <w:tc>
          <w:tcPr>
            <w:tcW w:w="3480" w:type="dxa"/>
            <w:vAlign w:val="bottom"/>
          </w:tcPr>
          <w:p>
            <w:pPr>
              <w:ind w:left="3160"/>
              <w:spacing w:after="0"/>
              <w:rPr>
                <w:sz w:val="20"/>
                <w:szCs w:val="20"/>
                <w:color w:val="auto"/>
              </w:rPr>
            </w:pPr>
            <w:r>
              <w:rPr>
                <w:rFonts w:ascii="Arial" w:cs="Arial" w:eastAsia="Arial" w:hAnsi="Arial"/>
                <w:sz w:val="17"/>
                <w:szCs w:val="17"/>
                <w:color w:val="auto"/>
              </w:rPr>
              <w:t>F-2</w:t>
            </w:r>
          </w:p>
        </w:tc>
      </w:tr>
      <w:tr>
        <w:trPr>
          <w:trHeight w:val="189"/>
        </w:trPr>
        <w:tc>
          <w:tcPr>
            <w:tcW w:w="7540" w:type="dxa"/>
            <w:vAlign w:val="bottom"/>
          </w:tcPr>
          <w:p>
            <w:pPr>
              <w:spacing w:after="0" w:line="189" w:lineRule="exact"/>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Balance Sheet</w:t>
              </w:r>
            </w:hyperlink>
          </w:p>
        </w:tc>
        <w:tc>
          <w:tcPr>
            <w:tcW w:w="3480" w:type="dxa"/>
            <w:vAlign w:val="bottom"/>
          </w:tcPr>
          <w:p>
            <w:pPr>
              <w:ind w:left="3160"/>
              <w:spacing w:after="0" w:line="189" w:lineRule="exact"/>
              <w:rPr>
                <w:sz w:val="20"/>
                <w:szCs w:val="20"/>
                <w:color w:val="auto"/>
              </w:rPr>
            </w:pPr>
            <w:r>
              <w:rPr>
                <w:rFonts w:ascii="Arial" w:cs="Arial" w:eastAsia="Arial" w:hAnsi="Arial"/>
                <w:sz w:val="17"/>
                <w:szCs w:val="17"/>
                <w:color w:val="auto"/>
              </w:rPr>
              <w:t>F-3</w:t>
            </w:r>
          </w:p>
        </w:tc>
      </w:tr>
      <w:tr>
        <w:trPr>
          <w:trHeight w:val="205"/>
        </w:trPr>
        <w:tc>
          <w:tcPr>
            <w:tcW w:w="7540" w:type="dxa"/>
            <w:vAlign w:val="bottom"/>
          </w:tcPr>
          <w:p>
            <w:pPr>
              <w:spacing w:after="0"/>
              <w:rPr>
                <w:rFonts w:ascii="Arial" w:cs="Arial" w:eastAsia="Arial" w:hAnsi="Arial"/>
                <w:sz w:val="17"/>
                <w:szCs w:val="17"/>
                <w:u w:val="single" w:color="auto"/>
                <w:color w:val="0000EE"/>
              </w:rPr>
            </w:pPr>
            <w:hyperlink w:anchor="page180">
              <w:r>
                <w:rPr>
                  <w:rFonts w:ascii="Arial" w:cs="Arial" w:eastAsia="Arial" w:hAnsi="Arial"/>
                  <w:sz w:val="17"/>
                  <w:szCs w:val="17"/>
                  <w:u w:val="single" w:color="auto"/>
                  <w:color w:val="0000EE"/>
                </w:rPr>
                <w:t>Notes to Balance Sheet</w:t>
              </w:r>
            </w:hyperlink>
          </w:p>
        </w:tc>
        <w:tc>
          <w:tcPr>
            <w:tcW w:w="3480" w:type="dxa"/>
            <w:vAlign w:val="bottom"/>
          </w:tcPr>
          <w:p>
            <w:pPr>
              <w:ind w:left="3160"/>
              <w:spacing w:after="0"/>
              <w:rPr>
                <w:sz w:val="20"/>
                <w:szCs w:val="20"/>
                <w:color w:val="auto"/>
              </w:rPr>
            </w:pPr>
            <w:r>
              <w:rPr>
                <w:rFonts w:ascii="Arial" w:cs="Arial" w:eastAsia="Arial" w:hAnsi="Arial"/>
                <w:sz w:val="17"/>
                <w:szCs w:val="17"/>
                <w:color w:val="auto"/>
              </w:rPr>
              <w:t>F-4</w:t>
            </w:r>
          </w:p>
        </w:tc>
      </w:tr>
      <w:tr>
        <w:trPr>
          <w:trHeight w:val="207"/>
        </w:trPr>
        <w:tc>
          <w:tcPr>
            <w:tcW w:w="754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80" w:type="dxa"/>
            <w:vAlign w:val="bottom"/>
          </w:tcPr>
          <w:p>
            <w:pPr>
              <w:spacing w:after="0"/>
              <w:rPr>
                <w:rFonts w:ascii="Arial" w:cs="Arial" w:eastAsia="Arial" w:hAnsi="Arial"/>
                <w:sz w:val="17"/>
                <w:szCs w:val="17"/>
                <w:u w:val="single" w:color="auto"/>
                <w:color w:val="0000EE"/>
              </w:rPr>
            </w:pPr>
            <w:hyperlink w:anchor="page181">
              <w:r>
                <w:rPr>
                  <w:rFonts w:ascii="Arial" w:cs="Arial" w:eastAsia="Arial" w:hAnsi="Arial"/>
                  <w:sz w:val="17"/>
                  <w:szCs w:val="17"/>
                  <w:u w:val="single" w:color="auto"/>
                  <w:color w:val="0000EE"/>
                </w:rPr>
                <w:t>Report of Independent Registered Public Accounting Firm</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F-5</w:t>
            </w:r>
          </w:p>
        </w:tc>
      </w:tr>
      <w:tr>
        <w:trPr>
          <w:trHeight w:val="189"/>
        </w:trPr>
        <w:tc>
          <w:tcPr>
            <w:tcW w:w="10380" w:type="dxa"/>
            <w:vAlign w:val="bottom"/>
          </w:tcPr>
          <w:p>
            <w:pPr>
              <w:spacing w:after="0" w:line="189" w:lineRule="exact"/>
              <w:rPr>
                <w:sz w:val="20"/>
                <w:szCs w:val="20"/>
                <w:color w:val="auto"/>
              </w:rPr>
            </w:pPr>
            <w:r>
              <w:rPr>
                <w:rFonts w:ascii="Arial" w:cs="Arial" w:eastAsia="Arial" w:hAnsi="Arial"/>
                <w:sz w:val="17"/>
                <w:szCs w:val="17"/>
                <w:color w:val="auto"/>
              </w:rPr>
              <w:t>Consolidated Financial Statements:</w:t>
            </w:r>
          </w:p>
        </w:tc>
        <w:tc>
          <w:tcPr>
            <w:tcW w:w="640" w:type="dxa"/>
            <w:vAlign w:val="bottom"/>
          </w:tcPr>
          <w:p>
            <w:pPr>
              <w:spacing w:after="0"/>
              <w:rPr>
                <w:sz w:val="16"/>
                <w:szCs w:val="16"/>
                <w:color w:val="auto"/>
              </w:rPr>
            </w:pP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2">
              <w:r>
                <w:rPr>
                  <w:rFonts w:ascii="Arial" w:cs="Arial" w:eastAsia="Arial" w:hAnsi="Arial"/>
                  <w:sz w:val="17"/>
                  <w:szCs w:val="17"/>
                  <w:u w:val="single" w:color="auto"/>
                  <w:color w:val="0000EE"/>
                </w:rPr>
                <w:t>Consolidated Balance Sheets as of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F-6</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3">
              <w:r>
                <w:rPr>
                  <w:rFonts w:ascii="Arial" w:cs="Arial" w:eastAsia="Arial" w:hAnsi="Arial"/>
                  <w:sz w:val="17"/>
                  <w:szCs w:val="17"/>
                  <w:u w:val="single" w:color="auto"/>
                  <w:color w:val="0000EE"/>
                </w:rPr>
                <w:t>Consolidated Statements of Operations and Comprehensive Loss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F-7</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4">
              <w:r>
                <w:rPr>
                  <w:rFonts w:ascii="Arial" w:cs="Arial" w:eastAsia="Arial" w:hAnsi="Arial"/>
                  <w:sz w:val="17"/>
                  <w:szCs w:val="17"/>
                  <w:u w:val="single" w:color="auto"/>
                  <w:color w:val="0000EE"/>
                </w:rPr>
                <w:t>Consolidated Statements of Convertible Preferred Shares and Shareholders’ Deficit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F-8</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5">
              <w:r>
                <w:rPr>
                  <w:rFonts w:ascii="Arial" w:cs="Arial" w:eastAsia="Arial" w:hAnsi="Arial"/>
                  <w:sz w:val="17"/>
                  <w:szCs w:val="17"/>
                  <w:u w:val="single" w:color="auto"/>
                  <w:color w:val="0000EE"/>
                </w:rPr>
                <w:t>Consolidated Statements of Cash Flows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F-9</w:t>
            </w:r>
          </w:p>
        </w:tc>
      </w:tr>
      <w:tr>
        <w:trPr>
          <w:trHeight w:val="205"/>
        </w:trPr>
        <w:tc>
          <w:tcPr>
            <w:tcW w:w="10380" w:type="dxa"/>
            <w:vAlign w:val="bottom"/>
          </w:tcPr>
          <w:p>
            <w:pPr>
              <w:spacing w:after="0"/>
              <w:rPr>
                <w:rFonts w:ascii="Arial" w:cs="Arial" w:eastAsia="Arial" w:hAnsi="Arial"/>
                <w:sz w:val="17"/>
                <w:szCs w:val="17"/>
                <w:u w:val="single" w:color="auto"/>
                <w:color w:val="0000EE"/>
              </w:rPr>
            </w:pPr>
            <w:hyperlink w:anchor="page186">
              <w:r>
                <w:rPr>
                  <w:rFonts w:ascii="Arial" w:cs="Arial" w:eastAsia="Arial" w:hAnsi="Arial"/>
                  <w:sz w:val="17"/>
                  <w:szCs w:val="17"/>
                  <w:u w:val="single" w:color="auto"/>
                  <w:color w:val="0000EE"/>
                </w:rPr>
                <w:t>Notes to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F-10</w:t>
            </w:r>
          </w:p>
        </w:tc>
      </w:tr>
      <w:tr>
        <w:trPr>
          <w:trHeight w:val="207"/>
        </w:trPr>
        <w:tc>
          <w:tcPr>
            <w:tcW w:w="10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440" w:type="dxa"/>
            <w:vAlign w:val="bottom"/>
            <w:gridSpan w:val="6"/>
          </w:tcPr>
          <w:p>
            <w:pPr>
              <w:spacing w:after="0"/>
              <w:rPr>
                <w:rFonts w:ascii="Arial" w:cs="Arial" w:eastAsia="Arial" w:hAnsi="Arial"/>
                <w:sz w:val="17"/>
                <w:szCs w:val="17"/>
                <w:u w:val="single" w:color="auto"/>
                <w:color w:val="0000EE"/>
              </w:rPr>
            </w:pPr>
            <w:hyperlink w:anchor="page209">
              <w:r>
                <w:rPr>
                  <w:rFonts w:ascii="Arial" w:cs="Arial" w:eastAsia="Arial" w:hAnsi="Arial"/>
                  <w:sz w:val="17"/>
                  <w:szCs w:val="17"/>
                  <w:u w:val="single" w:color="auto"/>
                  <w:color w:val="0000EE"/>
                </w:rPr>
                <w:t>Condensed Consolidated Balance Sheets as of December 31, 2019 and September 30, 2020</w:t>
              </w:r>
            </w:hyperlink>
          </w:p>
        </w:tc>
        <w:tc>
          <w:tcPr>
            <w:tcW w:w="580" w:type="dxa"/>
            <w:vAlign w:val="bottom"/>
          </w:tcPr>
          <w:p>
            <w:pPr>
              <w:ind w:left="160"/>
              <w:spacing w:after="0"/>
              <w:rPr>
                <w:sz w:val="20"/>
                <w:szCs w:val="20"/>
                <w:color w:val="auto"/>
              </w:rPr>
            </w:pPr>
            <w:r>
              <w:rPr>
                <w:rFonts w:ascii="Arial" w:cs="Arial" w:eastAsia="Arial" w:hAnsi="Arial"/>
                <w:sz w:val="17"/>
                <w:szCs w:val="17"/>
                <w:color w:val="auto"/>
              </w:rPr>
              <w:t>F-33</w:t>
            </w:r>
          </w:p>
        </w:tc>
        <w:tc>
          <w:tcPr>
            <w:tcW w:w="0" w:type="dxa"/>
            <w:vAlign w:val="bottom"/>
          </w:tcPr>
          <w:p>
            <w:pPr>
              <w:spacing w:after="0"/>
              <w:rPr>
                <w:sz w:val="1"/>
                <w:szCs w:val="1"/>
                <w:color w:val="auto"/>
              </w:rPr>
            </w:pPr>
          </w:p>
        </w:tc>
      </w:tr>
      <w:tr>
        <w:trPr>
          <w:trHeight w:val="168"/>
        </w:trPr>
        <w:tc>
          <w:tcPr>
            <w:tcW w:w="10440" w:type="dxa"/>
            <w:vAlign w:val="bottom"/>
            <w:gridSpan w:val="6"/>
          </w:tcPr>
          <w:p>
            <w:pPr>
              <w:spacing w:after="0" w:line="168" w:lineRule="exact"/>
              <w:rPr>
                <w:rFonts w:ascii="Arial" w:cs="Arial" w:eastAsia="Arial" w:hAnsi="Arial"/>
                <w:sz w:val="17"/>
                <w:szCs w:val="17"/>
                <w:color w:val="0000EE"/>
              </w:rPr>
            </w:pPr>
            <w:hyperlink w:anchor="page210">
              <w:r>
                <w:rPr>
                  <w:rFonts w:ascii="Arial" w:cs="Arial" w:eastAsia="Arial" w:hAnsi="Arial"/>
                  <w:sz w:val="17"/>
                  <w:szCs w:val="17"/>
                  <w:color w:val="0000EE"/>
                </w:rPr>
                <w:t>Condensed Consolidated Statements of Operations and Comprehensive Loss for the three and nine months ended September 30, 2019</w:t>
              </w:r>
            </w:hyperlink>
          </w:p>
        </w:tc>
        <w:tc>
          <w:tcPr>
            <w:tcW w:w="580" w:type="dxa"/>
            <w:vAlign w:val="bottom"/>
            <w:vMerge w:val="restart"/>
          </w:tcPr>
          <w:p>
            <w:pPr>
              <w:ind w:left="160"/>
              <w:spacing w:after="0"/>
              <w:rPr>
                <w:sz w:val="20"/>
                <w:szCs w:val="20"/>
                <w:color w:val="auto"/>
              </w:rPr>
            </w:pPr>
            <w:r>
              <w:rPr>
                <w:rFonts w:ascii="Arial" w:cs="Arial" w:eastAsia="Arial" w:hAnsi="Arial"/>
                <w:sz w:val="17"/>
                <w:szCs w:val="17"/>
                <w:color w:val="auto"/>
              </w:rPr>
              <w:t>F-34</w:t>
            </w:r>
          </w:p>
        </w:tc>
        <w:tc>
          <w:tcPr>
            <w:tcW w:w="0" w:type="dxa"/>
            <w:vAlign w:val="bottom"/>
          </w:tcPr>
          <w:p>
            <w:pPr>
              <w:spacing w:after="0"/>
              <w:rPr>
                <w:sz w:val="1"/>
                <w:szCs w:val="1"/>
                <w:color w:val="auto"/>
              </w:rPr>
            </w:pPr>
          </w:p>
        </w:tc>
      </w:tr>
      <w:tr>
        <w:trPr>
          <w:trHeight w:val="169"/>
        </w:trPr>
        <w:tc>
          <w:tcPr>
            <w:tcW w:w="240" w:type="dxa"/>
            <w:vAlign w:val="bottom"/>
            <w:tcBorders>
              <w:top w:val="single" w:sz="8" w:color="0000EE"/>
            </w:tcBorders>
          </w:tcPr>
          <w:p>
            <w:pPr>
              <w:spacing w:after="0"/>
              <w:rPr>
                <w:sz w:val="14"/>
                <w:szCs w:val="14"/>
                <w:color w:val="auto"/>
              </w:rPr>
            </w:pPr>
          </w:p>
        </w:tc>
        <w:tc>
          <w:tcPr>
            <w:tcW w:w="720" w:type="dxa"/>
            <w:vAlign w:val="bottom"/>
            <w:tcBorders>
              <w:top w:val="single" w:sz="8" w:color="0000EE"/>
              <w:bottom w:val="single" w:sz="8" w:color="0000EE"/>
            </w:tcBorders>
          </w:tcPr>
          <w:p>
            <w:pPr>
              <w:spacing w:after="0" w:line="169" w:lineRule="exact"/>
              <w:rPr>
                <w:rFonts w:ascii="Arial" w:cs="Arial" w:eastAsia="Arial" w:hAnsi="Arial"/>
                <w:sz w:val="17"/>
                <w:szCs w:val="17"/>
                <w:color w:val="0000EE"/>
                <w:w w:val="98"/>
              </w:rPr>
            </w:pPr>
            <w:hyperlink w:anchor="page210">
              <w:r>
                <w:rPr>
                  <w:rFonts w:ascii="Arial" w:cs="Arial" w:eastAsia="Arial" w:hAnsi="Arial"/>
                  <w:sz w:val="17"/>
                  <w:szCs w:val="17"/>
                  <w:color w:val="0000EE"/>
                  <w:w w:val="98"/>
                </w:rPr>
                <w:t>and 2020</w:t>
              </w:r>
            </w:hyperlink>
          </w:p>
        </w:tc>
        <w:tc>
          <w:tcPr>
            <w:tcW w:w="9320" w:type="dxa"/>
            <w:vAlign w:val="bottom"/>
            <w:tcBorders>
              <w:top w:val="single" w:sz="8" w:color="0000EE"/>
            </w:tcBorders>
            <w:gridSpan w:val="3"/>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40" w:type="dxa"/>
            <w:vAlign w:val="bottom"/>
            <w:gridSpan w:val="6"/>
          </w:tcPr>
          <w:p>
            <w:pPr>
              <w:spacing w:after="0" w:line="169" w:lineRule="exact"/>
              <w:rPr>
                <w:rFonts w:ascii="Arial" w:cs="Arial" w:eastAsia="Arial" w:hAnsi="Arial"/>
                <w:sz w:val="17"/>
                <w:szCs w:val="17"/>
                <w:color w:val="0000EE"/>
              </w:rPr>
            </w:pPr>
            <w:hyperlink w:anchor="page211">
              <w:r>
                <w:rPr>
                  <w:rFonts w:ascii="Arial" w:cs="Arial" w:eastAsia="Arial" w:hAnsi="Arial"/>
                  <w:sz w:val="17"/>
                  <w:szCs w:val="17"/>
                  <w:color w:val="0000EE"/>
                </w:rPr>
                <w:t>Condensed Consolidated Statements of Convertible Preferred Stock and Shareholders’ Equity (Deficit) for the three and nine months</w:t>
              </w:r>
            </w:hyperlink>
          </w:p>
        </w:tc>
        <w:tc>
          <w:tcPr>
            <w:tcW w:w="580" w:type="dxa"/>
            <w:vAlign w:val="bottom"/>
            <w:vMerge w:val="restart"/>
          </w:tcPr>
          <w:p>
            <w:pPr>
              <w:ind w:left="160"/>
              <w:spacing w:after="0"/>
              <w:rPr>
                <w:sz w:val="20"/>
                <w:szCs w:val="20"/>
                <w:color w:val="auto"/>
              </w:rPr>
            </w:pPr>
            <w:r>
              <w:rPr>
                <w:rFonts w:ascii="Arial" w:cs="Arial" w:eastAsia="Arial" w:hAnsi="Arial"/>
                <w:sz w:val="17"/>
                <w:szCs w:val="17"/>
                <w:color w:val="auto"/>
              </w:rPr>
              <w:t>F-35</w:t>
            </w:r>
          </w:p>
        </w:tc>
        <w:tc>
          <w:tcPr>
            <w:tcW w:w="0" w:type="dxa"/>
            <w:vAlign w:val="bottom"/>
          </w:tcPr>
          <w:p>
            <w:pPr>
              <w:spacing w:after="0"/>
              <w:rPr>
                <w:sz w:val="1"/>
                <w:szCs w:val="1"/>
                <w:color w:val="auto"/>
              </w:rPr>
            </w:pPr>
          </w:p>
        </w:tc>
      </w:tr>
      <w:tr>
        <w:trPr>
          <w:trHeight w:val="169"/>
        </w:trPr>
        <w:tc>
          <w:tcPr>
            <w:tcW w:w="240" w:type="dxa"/>
            <w:vAlign w:val="bottom"/>
            <w:tcBorders>
              <w:top w:val="single" w:sz="8" w:color="0000EE"/>
            </w:tcBorders>
          </w:tcPr>
          <w:p>
            <w:pPr>
              <w:spacing w:after="0"/>
              <w:rPr>
                <w:sz w:val="14"/>
                <w:szCs w:val="14"/>
                <w:color w:val="auto"/>
              </w:rPr>
            </w:pPr>
          </w:p>
        </w:tc>
        <w:tc>
          <w:tcPr>
            <w:tcW w:w="2840" w:type="dxa"/>
            <w:vAlign w:val="bottom"/>
            <w:tcBorders>
              <w:top w:val="single" w:sz="8" w:color="0000EE"/>
              <w:bottom w:val="single" w:sz="8" w:color="0000EE"/>
            </w:tcBorders>
            <w:gridSpan w:val="2"/>
          </w:tcPr>
          <w:p>
            <w:pPr>
              <w:spacing w:after="0" w:line="169" w:lineRule="exact"/>
              <w:rPr>
                <w:rFonts w:ascii="Arial" w:cs="Arial" w:eastAsia="Arial" w:hAnsi="Arial"/>
                <w:sz w:val="17"/>
                <w:szCs w:val="17"/>
                <w:color w:val="0000EE"/>
              </w:rPr>
            </w:pPr>
            <w:hyperlink w:anchor="page211">
              <w:r>
                <w:rPr>
                  <w:rFonts w:ascii="Arial" w:cs="Arial" w:eastAsia="Arial" w:hAnsi="Arial"/>
                  <w:sz w:val="17"/>
                  <w:szCs w:val="17"/>
                  <w:color w:val="0000EE"/>
                </w:rPr>
                <w:t>ended September 30, 2019 and 2020</w:t>
              </w:r>
            </w:hyperlink>
          </w:p>
        </w:tc>
        <w:tc>
          <w:tcPr>
            <w:tcW w:w="6940" w:type="dxa"/>
            <w:vAlign w:val="bottom"/>
            <w:tcBorders>
              <w:top w:val="single" w:sz="8" w:color="0000EE"/>
            </w:tcBorders>
          </w:tcPr>
          <w:p>
            <w:pPr>
              <w:spacing w:after="0"/>
              <w:rPr>
                <w:sz w:val="14"/>
                <w:szCs w:val="14"/>
                <w:color w:val="auto"/>
              </w:rPr>
            </w:pPr>
          </w:p>
        </w:tc>
        <w:tc>
          <w:tcPr>
            <w:tcW w:w="420" w:type="dxa"/>
            <w:vAlign w:val="bottom"/>
            <w:gridSpan w:val="2"/>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440" w:type="dxa"/>
            <w:vAlign w:val="bottom"/>
            <w:gridSpan w:val="6"/>
          </w:tcPr>
          <w:p>
            <w:pPr>
              <w:spacing w:after="0" w:line="190" w:lineRule="exact"/>
              <w:rPr>
                <w:rFonts w:ascii="Arial" w:cs="Arial" w:eastAsia="Arial" w:hAnsi="Arial"/>
                <w:sz w:val="17"/>
                <w:szCs w:val="17"/>
                <w:u w:val="single" w:color="auto"/>
                <w:color w:val="0000EE"/>
              </w:rPr>
            </w:pPr>
            <w:hyperlink w:anchor="page213">
              <w:r>
                <w:rPr>
                  <w:rFonts w:ascii="Arial" w:cs="Arial" w:eastAsia="Arial" w:hAnsi="Arial"/>
                  <w:sz w:val="17"/>
                  <w:szCs w:val="17"/>
                  <w:u w:val="single" w:color="auto"/>
                  <w:color w:val="0000EE"/>
                </w:rPr>
                <w:t>Condensed Consolidated Statements of Cash Flows for the nine months ended September 30, 2019 and 2020</w:t>
              </w:r>
            </w:hyperlink>
          </w:p>
        </w:tc>
        <w:tc>
          <w:tcPr>
            <w:tcW w:w="580" w:type="dxa"/>
            <w:vAlign w:val="bottom"/>
          </w:tcPr>
          <w:p>
            <w:pPr>
              <w:ind w:left="160"/>
              <w:spacing w:after="0" w:line="190" w:lineRule="exact"/>
              <w:rPr>
                <w:sz w:val="20"/>
                <w:szCs w:val="20"/>
                <w:color w:val="auto"/>
              </w:rPr>
            </w:pPr>
            <w:r>
              <w:rPr>
                <w:rFonts w:ascii="Arial" w:cs="Arial" w:eastAsia="Arial" w:hAnsi="Arial"/>
                <w:sz w:val="17"/>
                <w:szCs w:val="17"/>
                <w:color w:val="auto"/>
              </w:rPr>
              <w:t>F-37</w:t>
            </w:r>
          </w:p>
        </w:tc>
        <w:tc>
          <w:tcPr>
            <w:tcW w:w="0" w:type="dxa"/>
            <w:vAlign w:val="bottom"/>
          </w:tcPr>
          <w:p>
            <w:pPr>
              <w:spacing w:after="0"/>
              <w:rPr>
                <w:sz w:val="1"/>
                <w:szCs w:val="1"/>
                <w:color w:val="auto"/>
              </w:rPr>
            </w:pPr>
          </w:p>
        </w:tc>
      </w:tr>
      <w:tr>
        <w:trPr>
          <w:trHeight w:val="205"/>
        </w:trPr>
        <w:tc>
          <w:tcPr>
            <w:tcW w:w="10440" w:type="dxa"/>
            <w:vAlign w:val="bottom"/>
            <w:gridSpan w:val="6"/>
          </w:tcPr>
          <w:p>
            <w:pPr>
              <w:spacing w:after="0"/>
              <w:rPr>
                <w:rFonts w:ascii="Arial" w:cs="Arial" w:eastAsia="Arial" w:hAnsi="Arial"/>
                <w:sz w:val="17"/>
                <w:szCs w:val="17"/>
                <w:u w:val="single" w:color="auto"/>
                <w:color w:val="0000EE"/>
              </w:rPr>
            </w:pPr>
            <w:hyperlink w:anchor="page214">
              <w:r>
                <w:rPr>
                  <w:rFonts w:ascii="Arial" w:cs="Arial" w:eastAsia="Arial" w:hAnsi="Arial"/>
                  <w:sz w:val="17"/>
                  <w:szCs w:val="17"/>
                  <w:u w:val="single" w:color="auto"/>
                  <w:color w:val="0000EE"/>
                </w:rPr>
                <w:t>Notes to Unaudited Condensed Consolidated Financial Statements</w:t>
              </w:r>
            </w:hyperlink>
          </w:p>
        </w:tc>
        <w:tc>
          <w:tcPr>
            <w:tcW w:w="580" w:type="dxa"/>
            <w:vAlign w:val="bottom"/>
          </w:tcPr>
          <w:p>
            <w:pPr>
              <w:ind w:left="160"/>
              <w:spacing w:after="0"/>
              <w:rPr>
                <w:sz w:val="20"/>
                <w:szCs w:val="20"/>
                <w:color w:val="auto"/>
              </w:rPr>
            </w:pPr>
            <w:r>
              <w:rPr>
                <w:rFonts w:ascii="Arial" w:cs="Arial" w:eastAsia="Arial" w:hAnsi="Arial"/>
                <w:sz w:val="17"/>
                <w:szCs w:val="17"/>
                <w:color w:val="auto"/>
              </w:rPr>
              <w:t>F-38</w:t>
            </w:r>
          </w:p>
        </w:tc>
        <w:tc>
          <w:tcPr>
            <w:tcW w:w="0" w:type="dxa"/>
            <w:vAlign w:val="bottom"/>
          </w:tcPr>
          <w:p>
            <w:pPr>
              <w:spacing w:after="0"/>
              <w:rPr>
                <w:sz w:val="1"/>
                <w:szCs w:val="1"/>
                <w:color w:val="auto"/>
              </w:rPr>
            </w:pPr>
          </w:p>
        </w:tc>
      </w:tr>
      <w:tr>
        <w:trPr>
          <w:trHeight w:val="206"/>
        </w:trPr>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360" w:type="dxa"/>
            <w:vAlign w:val="bottom"/>
            <w:gridSpan w:val="3"/>
          </w:tcPr>
          <w:p>
            <w:pPr>
              <w:ind w:left="2300"/>
              <w:spacing w:after="0"/>
              <w:rPr>
                <w:sz w:val="20"/>
                <w:szCs w:val="20"/>
                <w:color w:val="auto"/>
              </w:rPr>
            </w:pPr>
            <w:r>
              <w:rPr>
                <w:rFonts w:ascii="Arial" w:cs="Arial" w:eastAsia="Arial" w:hAnsi="Arial"/>
                <w:sz w:val="16"/>
                <w:szCs w:val="16"/>
                <w:color w:val="auto"/>
              </w:rPr>
              <w:t>F-1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Stockholders and Board of Directors</w:t>
      </w:r>
    </w:p>
    <w:p>
      <w:pPr>
        <w:ind w:left="120"/>
        <w:spacing w:after="0"/>
        <w:rPr>
          <w:sz w:val="20"/>
          <w:szCs w:val="20"/>
          <w:color w:val="auto"/>
        </w:rPr>
      </w:pPr>
      <w:r>
        <w:rPr>
          <w:rFonts w:ascii="Arial" w:cs="Arial" w:eastAsia="Arial" w:hAnsi="Arial"/>
          <w:sz w:val="17"/>
          <w:szCs w:val="17"/>
          <w:color w:val="auto"/>
        </w:rPr>
        <w:t>ALX Oncology Holdings Inc.:</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Opinion on the Financial Statement</w:t>
      </w:r>
    </w:p>
    <w:p>
      <w:pPr>
        <w:spacing w:after="0" w:line="122"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We have audited the accompanying balance sheet of ALX Oncology Holdings Inc. (the Company) as of April 1, 2020 (inception), and the related notes (collectively, the financial statement). In our opinion, the financial statement presents fairly, in all material respects, the financial position of the Company as of April 1, 2020 (inception), in conformity with U.S. generally accepted accounting principles.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95"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2020.</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ind w:left="120" w:right="340"/>
        <w:spacing w:after="0" w:line="243" w:lineRule="auto"/>
        <w:rPr>
          <w:sz w:val="20"/>
          <w:szCs w:val="20"/>
          <w:color w:val="auto"/>
        </w:rPr>
      </w:pPr>
      <w:r>
        <w:rPr>
          <w:rFonts w:ascii="Arial" w:cs="Arial" w:eastAsia="Arial" w:hAnsi="Arial"/>
          <w:sz w:val="17"/>
          <w:szCs w:val="17"/>
          <w:color w:val="auto"/>
        </w:rPr>
        <w:t>June 12, 2020, except for the retroactive effect of the reverse stock split as described under the heading ‘Reverse Stock Split’ in Note 4, as to which the date is July 13, 2020</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0060" w:type="dxa"/>
            <w:vAlign w:val="bottom"/>
          </w:tcPr>
          <w:p>
            <w:pPr>
              <w:ind w:left="4060"/>
              <w:spacing w:after="0"/>
              <w:rPr>
                <w:sz w:val="20"/>
                <w:szCs w:val="20"/>
                <w:color w:val="auto"/>
              </w:rPr>
            </w:pPr>
            <w:r>
              <w:rPr>
                <w:rFonts w:ascii="Arial" w:cs="Arial" w:eastAsia="Arial" w:hAnsi="Arial"/>
                <w:sz w:val="18"/>
                <w:szCs w:val="18"/>
                <w:b w:val="1"/>
                <w:bCs w:val="1"/>
                <w:color w:val="auto"/>
              </w:rPr>
              <w:t>ALX ONCOLOGY HOLDINGS INC.</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0"/>
        </w:trPr>
        <w:tc>
          <w:tcPr>
            <w:tcW w:w="10060" w:type="dxa"/>
            <w:vAlign w:val="bottom"/>
          </w:tcPr>
          <w:p>
            <w:pPr>
              <w:ind w:left="488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10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385"/>
        </w:trPr>
        <w:tc>
          <w:tcPr>
            <w:tcW w:w="10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1,</w:t>
            </w:r>
          </w:p>
        </w:tc>
      </w:tr>
      <w:tr>
        <w:trPr>
          <w:trHeight w:val="162"/>
        </w:trPr>
        <w:tc>
          <w:tcPr>
            <w:tcW w:w="10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5"/>
        </w:trPr>
        <w:tc>
          <w:tcPr>
            <w:tcW w:w="1006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(INCEPTION)</w:t>
            </w:r>
          </w:p>
        </w:tc>
      </w:tr>
      <w:tr>
        <w:trPr>
          <w:trHeight w:val="169"/>
        </w:trPr>
        <w:tc>
          <w:tcPr>
            <w:tcW w:w="100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10060" w:type="dxa"/>
            <w:vAlign w:val="bottom"/>
          </w:tcPr>
          <w:p>
            <w:pPr>
              <w:ind w:left="240"/>
              <w:spacing w:after="0" w:line="189" w:lineRule="exact"/>
              <w:rPr>
                <w:sz w:val="20"/>
                <w:szCs w:val="20"/>
                <w:color w:val="auto"/>
              </w:rPr>
            </w:pPr>
            <w:r>
              <w:rPr>
                <w:rFonts w:ascii="Arial" w:cs="Arial" w:eastAsia="Arial" w:hAnsi="Arial"/>
                <w:sz w:val="17"/>
                <w:szCs w:val="17"/>
                <w:color w:val="auto"/>
              </w:rPr>
              <w:t>Total assets</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line="189" w:lineRule="exact"/>
              <w:rPr>
                <w:sz w:val="20"/>
                <w:szCs w:val="20"/>
                <w:color w:val="auto"/>
              </w:rPr>
            </w:pPr>
            <w:r>
              <w:rPr>
                <w:rFonts w:ascii="Arial" w:cs="Arial" w:eastAsia="Arial" w:hAnsi="Arial"/>
                <w:sz w:val="17"/>
                <w:szCs w:val="17"/>
                <w:color w:val="auto"/>
              </w:rPr>
              <w:t>—</w:t>
            </w:r>
          </w:p>
        </w:tc>
      </w:tr>
      <w:tr>
        <w:trPr>
          <w:trHeight w:val="20"/>
        </w:trPr>
        <w:tc>
          <w:tcPr>
            <w:tcW w:w="10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Liabilities and stockholders’ equity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10060" w:type="dxa"/>
            <w:vAlign w:val="bottom"/>
          </w:tcPr>
          <w:p>
            <w:pPr>
              <w:ind w:left="240"/>
              <w:spacing w:after="0" w:line="189" w:lineRule="exact"/>
              <w:rPr>
                <w:sz w:val="20"/>
                <w:szCs w:val="20"/>
                <w:color w:val="auto"/>
              </w:rPr>
            </w:pPr>
            <w:r>
              <w:rPr>
                <w:rFonts w:ascii="Arial" w:cs="Arial" w:eastAsia="Arial" w:hAnsi="Arial"/>
                <w:sz w:val="17"/>
                <w:szCs w:val="17"/>
                <w:color w:val="auto"/>
              </w:rPr>
              <w:t>Total liabilities</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line="189" w:lineRule="exact"/>
              <w:rPr>
                <w:sz w:val="20"/>
                <w:szCs w:val="20"/>
                <w:color w:val="auto"/>
              </w:rPr>
            </w:pPr>
            <w:r>
              <w:rPr>
                <w:rFonts w:ascii="Arial" w:cs="Arial" w:eastAsia="Arial" w:hAnsi="Arial"/>
                <w:sz w:val="17"/>
                <w:szCs w:val="17"/>
                <w:color w:val="auto"/>
              </w:rPr>
              <w:t>—</w:t>
            </w:r>
          </w:p>
        </w:tc>
      </w:tr>
      <w:tr>
        <w:trPr>
          <w:trHeight w:val="189"/>
        </w:trPr>
        <w:tc>
          <w:tcPr>
            <w:tcW w:w="10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10060" w:type="dxa"/>
            <w:vAlign w:val="bottom"/>
          </w:tcPr>
          <w:p>
            <w:pPr>
              <w:spacing w:after="0" w:line="189" w:lineRule="exact"/>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10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Common stock, $0.001 par value, 151 shares authorized, none issued and outstanding</w:t>
            </w:r>
          </w:p>
        </w:tc>
        <w:tc>
          <w:tcPr>
            <w:tcW w:w="1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ind w:left="580"/>
              <w:spacing w:after="0" w:line="189" w:lineRule="exact"/>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6"/>
                <w:szCs w:val="16"/>
                <w:color w:val="auto"/>
              </w:rPr>
            </w:pPr>
          </w:p>
        </w:tc>
      </w:tr>
      <w:tr>
        <w:trPr>
          <w:trHeight w:val="196"/>
        </w:trPr>
        <w:tc>
          <w:tcPr>
            <w:tcW w:w="1006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rPr>
                <w:sz w:val="20"/>
                <w:szCs w:val="20"/>
                <w:color w:val="auto"/>
              </w:rPr>
            </w:pPr>
            <w:r>
              <w:rPr>
                <w:rFonts w:ascii="Arial" w:cs="Arial" w:eastAsia="Arial" w:hAnsi="Arial"/>
                <w:sz w:val="17"/>
                <w:szCs w:val="17"/>
                <w:color w:val="auto"/>
              </w:rPr>
              <w:t>—</w:t>
            </w:r>
          </w:p>
        </w:tc>
      </w:tr>
      <w:tr>
        <w:trPr>
          <w:trHeight w:val="20"/>
        </w:trPr>
        <w:tc>
          <w:tcPr>
            <w:tcW w:w="10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this balance sheet.</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Balance Sheet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93"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ALX Oncology Holdings Inc., or the Company, was formed as a Delaware corporation on April 1, 2020, or Inception. The Company was formed for the purpose of completing the initial public offering and related transactions in order to carry on the business of ALX Oncology Limited. After Inception, ALX Oncology Limited became a wholly-owned subsidiary of the Corporation as result of the internal reorganization. As part of the transaction, all of the equity, option and warrant holders of ALX Oncology Limited became equity, option and warrant holders of the Company, holding the same number of corresponding shares, options and/or warrants in the Company as they did in ALX Oncology Limited immediately prior to the reorganization.</w:t>
      </w:r>
    </w:p>
    <w:p>
      <w:pPr>
        <w:spacing w:after="0" w:line="185" w:lineRule="exact"/>
        <w:rPr>
          <w:sz w:val="20"/>
          <w:szCs w:val="20"/>
          <w:color w:val="auto"/>
        </w:rPr>
      </w:pPr>
    </w:p>
    <w:p>
      <w:pPr>
        <w:ind w:left="120" w:right="7020" w:hanging="4"/>
        <w:spacing w:after="0" w:line="299" w:lineRule="auto"/>
        <w:tabs>
          <w:tab w:leader="none" w:pos="3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7"/>
          <w:szCs w:val="17"/>
          <w:b w:val="1"/>
          <w:bCs w:val="1"/>
          <w:i w:val="1"/>
          <w:iCs w:val="1"/>
          <w:color w:val="auto"/>
        </w:rPr>
        <w:t>Basis of Preparation</w:t>
      </w:r>
    </w:p>
    <w:p>
      <w:pPr>
        <w:ind w:left="120" w:right="120"/>
        <w:spacing w:after="0" w:line="238" w:lineRule="auto"/>
        <w:rPr>
          <w:sz w:val="20"/>
          <w:szCs w:val="20"/>
          <w:color w:val="auto"/>
        </w:rPr>
      </w:pPr>
      <w:r>
        <w:rPr>
          <w:rFonts w:ascii="Arial" w:cs="Arial" w:eastAsia="Arial" w:hAnsi="Arial"/>
          <w:sz w:val="17"/>
          <w:szCs w:val="17"/>
          <w:color w:val="auto"/>
        </w:rPr>
        <w:t>The balance sheet is presented in accordance with accounting principles generally accepted in the United States of America, or U.S. GAAP. The statements of operations and comprehensive loss, stockholders’ equity, and cash flows have not been presented because there have been no activities at inception of this entity.</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Underwriting Commissions and Offering Costs</w:t>
      </w:r>
    </w:p>
    <w:p>
      <w:pPr>
        <w:spacing w:after="0" w:line="54"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Underwriting commissions and offering costs to be incurred in connection with the Company’s common stock offerings will be reflected as a reduction in additional paid-in capital upon consummation of the equity financing.</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Organizational Costs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Organizational costs for costs incurred to organize the Company will be expensed as incurred.</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Stockholders’ Equity</w:t>
      </w:r>
    </w:p>
    <w:p>
      <w:pPr>
        <w:spacing w:after="0" w:line="80"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Company is authorized to issue 151 shares of common stock at $0.001 par value per share none of which are issued and outstanding as of inception on April 1, 2020.</w:t>
      </w:r>
    </w:p>
    <w:p>
      <w:pPr>
        <w:spacing w:after="0" w:line="181" w:lineRule="exact"/>
        <w:rPr>
          <w:sz w:val="20"/>
          <w:szCs w:val="20"/>
          <w:color w:val="auto"/>
        </w:rPr>
      </w:pPr>
    </w:p>
    <w:p>
      <w:pPr>
        <w:ind w:left="120" w:right="8840" w:hanging="4"/>
        <w:spacing w:after="0" w:line="299" w:lineRule="auto"/>
        <w:tabs>
          <w:tab w:leader="none" w:pos="3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7"/>
          <w:szCs w:val="17"/>
          <w:b w:val="1"/>
          <w:bCs w:val="1"/>
          <w:i w:val="1"/>
          <w:iCs w:val="1"/>
          <w:color w:val="auto"/>
        </w:rPr>
        <w:t>Authorized Share Increase</w:t>
      </w:r>
    </w:p>
    <w:p>
      <w:pPr>
        <w:ind w:left="120"/>
        <w:spacing w:after="0" w:line="238" w:lineRule="auto"/>
        <w:rPr>
          <w:sz w:val="20"/>
          <w:szCs w:val="20"/>
          <w:color w:val="auto"/>
        </w:rPr>
      </w:pPr>
      <w:r>
        <w:rPr>
          <w:rFonts w:ascii="Arial" w:cs="Arial" w:eastAsia="Arial" w:hAnsi="Arial"/>
          <w:sz w:val="17"/>
          <w:szCs w:val="17"/>
          <w:color w:val="auto"/>
        </w:rPr>
        <w:t>On April 1, 2020 (subsequent to inception), the Company increased its authorized shares from 151 to 1,519,618,271 shares of common stock and 9,297,100 Series A convertible preferred stock, 1,108,675 of Series B convertible preferred stock and 11,055,981 of Series C convertible preferred stock.</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54"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On April 1, 2020 (subsequent to inception), the board of directors approved a new equity incentive plan, or the 2020 Equity Incentive Plan or the Plan, that replaced the 2015 Share Award Scheme. The Plan is for employees, non-employee directors and consultants covering 4,379,139 shares of the Company’s common stock and authorizes the award of stock options, restricted stock awards, stock appreciation rights and restricted stock units.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Reorganization</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On April 1, 2020 (subsequent to inception), the Company consummated the internal reorganization whereby the Company issued and sold to the existing shareholders of ALX Oncology Limited an aggregate of 3,166,946 shares of our common stock at purchase prices per share ranging from $0.007 to $1.91, an aggregate of 9,297,081 shares of our Series A convertible preferred stock at a purchase price per share of $6.58, an aggregate of 1,016,727 shares of our Series B convertible preferred stock at a purchase price per share of $9.4972 and an aggregate of 11,055,966 shares of our Series C convertible preferred stock at a purchase price per share of $9.4972, in exchange for promissory notes with an aggregate principal amount of $176.3 million. The Company also acquired 525,000,000 ordinary shares of ALX Oncology Limited in exchange for the promissory notes that were acquired in connection with such issuance and sale of the Company’s capital stock.</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5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On July 8, 2020, the Company’s board of directors approved an amendment to the Company’s certificate of incorporation to effect a 1-for-6.5806 reverse split of its common stock and convertible preferred stock. The par values of the common stock and convertible preferred stock were not adjusted as a result of the reverse stock split. All authorized, issued and outstanding common stock and convertible preferred stock and related per share amounts contained in the financial statements have been retroactively adjusted to reflect this reverse stock split for all periods presented. The reverse stock split was effected on July 9, 2020.</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Stockholders and Board of Directors</w:t>
      </w:r>
    </w:p>
    <w:p>
      <w:pPr>
        <w:ind w:left="120"/>
        <w:spacing w:after="0"/>
        <w:rPr>
          <w:sz w:val="20"/>
          <w:szCs w:val="20"/>
          <w:color w:val="auto"/>
        </w:rPr>
      </w:pPr>
      <w:r>
        <w:rPr>
          <w:rFonts w:ascii="Arial" w:cs="Arial" w:eastAsia="Arial" w:hAnsi="Arial"/>
          <w:sz w:val="17"/>
          <w:szCs w:val="17"/>
          <w:color w:val="auto"/>
        </w:rPr>
        <w:t>ALX Oncology Limited: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Opinion on the Consolidated Financial Statements</w:t>
      </w:r>
    </w:p>
    <w:p>
      <w:pPr>
        <w:spacing w:after="0" w:line="95"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audited the accompanying consolidated balance sheets of ALX Oncology Limited and subsidiaries (the Company) as of December 31, 2018 and 2019, the related consolidated statements of operations and comprehensive loss, convertible preferred shares and shareholders’ deficit, and cash flows for each of the years in the two-year period ended December 31, 2019, and the related notes (collectively, the consolidated financial statements). In our opinion, the consolidated financial statements present fairly, in all material respects, the financial position of the Company as of December 31, 2018 and 2019, and the results of its operations and its cash flows for each of the years in the two-year period ended December 31, 2019, in conformity with U.S. generally accepted accounting principles.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81"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2016.</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ind w:left="120" w:right="380"/>
        <w:spacing w:after="0" w:line="243" w:lineRule="auto"/>
        <w:rPr>
          <w:sz w:val="20"/>
          <w:szCs w:val="20"/>
          <w:color w:val="auto"/>
        </w:rPr>
      </w:pPr>
      <w:r>
        <w:rPr>
          <w:rFonts w:ascii="Arial" w:cs="Arial" w:eastAsia="Arial" w:hAnsi="Arial"/>
          <w:sz w:val="17"/>
          <w:szCs w:val="17"/>
          <w:color w:val="auto"/>
        </w:rPr>
        <w:t>May 5, 2020, except for the retroactive effect of the reverse stock split as described under the heading ‘Reverse Stock Split’ in Note 13, as to which the date is July 13, 2020</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9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8,262</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Receivables due from related-party</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1,014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10,208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9,809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956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11,164</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10,676</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shares and shareholders’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697</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3,748</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1,176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1,236</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1,873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4,984</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Term loan</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5,421</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Other long-term liabilities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10,952</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(Note 8)</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0" w:type="dxa"/>
            <w:vAlign w:val="bottom"/>
          </w:tcPr>
          <w:p>
            <w:pPr>
              <w:spacing w:after="0" w:line="183" w:lineRule="exact"/>
              <w:rPr>
                <w:sz w:val="20"/>
                <w:szCs w:val="20"/>
                <w:color w:val="auto"/>
              </w:rPr>
            </w:pPr>
            <w:r>
              <w:rPr>
                <w:rFonts w:ascii="Arial" w:cs="Arial" w:eastAsia="Arial" w:hAnsi="Arial"/>
                <w:sz w:val="17"/>
                <w:szCs w:val="17"/>
                <w:color w:val="auto"/>
              </w:rPr>
              <w:t>Series A convertible preferred shares, $0.001 par value; 9,421,633 shares authorized; 9,297,081 shares issued and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outstanding at December 31, 2018 and 2019, respectively; aggregate liquidation preference of $69,863 and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0" w:type="dxa"/>
            <w:vAlign w:val="bottom"/>
          </w:tcPr>
          <w:p>
            <w:pPr>
              <w:ind w:left="240"/>
              <w:spacing w:after="0"/>
              <w:rPr>
                <w:sz w:val="20"/>
                <w:szCs w:val="20"/>
                <w:color w:val="auto"/>
              </w:rPr>
            </w:pPr>
            <w:r>
              <w:rPr>
                <w:rFonts w:ascii="Arial" w:cs="Arial" w:eastAsia="Arial" w:hAnsi="Arial"/>
                <w:sz w:val="17"/>
                <w:szCs w:val="17"/>
                <w:color w:val="auto"/>
              </w:rPr>
              <w:t>$73,571 as of December 31, 2018 and 2019, respectively</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60,933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60,933</w:t>
            </w:r>
          </w:p>
        </w:tc>
        <w:tc>
          <w:tcPr>
            <w:tcW w:w="0" w:type="dxa"/>
            <w:vAlign w:val="bottom"/>
          </w:tcPr>
          <w:p>
            <w:pPr>
              <w:spacing w:after="0"/>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B convertible preferred shares, $0.001 par value; 2,145,370 shares authorized; 0 and 1,016,727 shares issued</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outstanding at December 31, 2018 and 2019, respectively; aggregate liquidation preference of $0 and $10,014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as of December 31, 2018 and 2019, respectively</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9,430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Shareholders’ equity (deficit):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Ordinary shares, $0.001 par value; 1,519,618,271 shares authorized; 3,161,747 and 3,166,946 shares issued and</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outstanding at December 31, 2018 and 2019, respectively</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1,758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2,140</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(53,539)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7"/>
              </w:rPr>
              <w:t>(72,782)</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shareholders’ equity (deficit)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(51,778)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(70,639)</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liabilities, convertible preferred shares and shareholders’ equity (deficit)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11,164</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10,676</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81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Related-party revenue</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2,067</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4,796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11,270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16,306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2,601</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3,313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1,880</w:t>
            </w:r>
          </w:p>
        </w:tc>
        <w:tc>
          <w:tcPr>
            <w:tcW w:w="6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00"/>
              <w:spacing w:after="0"/>
              <w:rPr>
                <w:sz w:val="20"/>
                <w:szCs w:val="20"/>
                <w:color w:val="auto"/>
              </w:rPr>
            </w:pPr>
            <w:r>
              <w:rPr>
                <w:rFonts w:ascii="Arial" w:cs="Arial" w:eastAsia="Arial" w:hAnsi="Arial"/>
                <w:sz w:val="17"/>
                <w:szCs w:val="17"/>
                <w:color w:val="auto"/>
              </w:rPr>
              <w:t>Total operating expenses</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(13,684)</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(19,183)</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(13,686)</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(19,209)</w:t>
            </w: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(13,731)</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(19,243)</w:t>
            </w: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(3,671)</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(17,402)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(23,271)</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4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80"/>
              <w:spacing w:after="0" w:line="183" w:lineRule="exact"/>
              <w:rPr>
                <w:sz w:val="20"/>
                <w:szCs w:val="20"/>
                <w:color w:val="auto"/>
              </w:rPr>
            </w:pPr>
            <w:r>
              <w:rPr>
                <w:rFonts w:ascii="Arial" w:cs="Arial" w:eastAsia="Arial" w:hAnsi="Arial"/>
                <w:sz w:val="17"/>
                <w:szCs w:val="17"/>
                <w:color w:val="auto"/>
              </w:rPr>
              <w:t>(6.33)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net loss per share attributable to ordinary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240"/>
              <w:spacing w:after="0"/>
              <w:rPr>
                <w:sz w:val="20"/>
                <w:szCs w:val="20"/>
                <w:color w:val="auto"/>
              </w:rPr>
            </w:pPr>
            <w:r>
              <w:rPr>
                <w:rFonts w:ascii="Arial" w:cs="Arial" w:eastAsia="Arial" w:hAnsi="Arial"/>
                <w:sz w:val="17"/>
                <w:szCs w:val="17"/>
                <w:color w:val="auto"/>
              </w:rPr>
              <w:t>shareholders, basic and diluted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7"/>
                <w:szCs w:val="17"/>
                <w:color w:val="auto"/>
              </w:rPr>
              <w:t>2,750,838</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3,076,461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 forma net loss attributable to ordinary shareholders per share, basic and diluted (unaudited)</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pro forma net loss per share attributable to ordinary</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240"/>
              <w:spacing w:after="0"/>
              <w:rPr>
                <w:sz w:val="20"/>
                <w:szCs w:val="20"/>
                <w:color w:val="auto"/>
              </w:rPr>
            </w:pPr>
            <w:r>
              <w:rPr>
                <w:rFonts w:ascii="Arial" w:cs="Arial" w:eastAsia="Arial" w:hAnsi="Arial"/>
                <w:sz w:val="17"/>
                <w:szCs w:val="17"/>
                <w:color w:val="auto"/>
              </w:rPr>
              <w:t>shareholders, basic and diluted (unaudited)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98"/>
              </w:rPr>
              <w:t>14,330,300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Consolidated Statements of Convertible Preferred Shares and Shareholders’ Deficit</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6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6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PREFERRED SHARES</w:t>
            </w:r>
          </w:p>
        </w:tc>
        <w:tc>
          <w:tcPr>
            <w:tcW w:w="0" w:type="dxa"/>
            <w:vAlign w:val="bottom"/>
          </w:tcPr>
          <w:p>
            <w:pPr>
              <w:spacing w:after="0"/>
              <w:rPr>
                <w:sz w:val="1"/>
                <w:szCs w:val="1"/>
                <w:color w:val="auto"/>
              </w:rPr>
            </w:pPr>
          </w:p>
        </w:tc>
      </w:tr>
      <w:tr>
        <w:trPr>
          <w:trHeight w:val="156"/>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2017</w:t>
            </w:r>
          </w:p>
        </w:tc>
        <w:tc>
          <w:tcPr>
            <w:tcW w:w="7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9,297,081</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Repurchase of ordinary shares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Repurchase of unvested early exercised share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rPr>
                <w:sz w:val="20"/>
                <w:szCs w:val="20"/>
                <w:color w:val="auto"/>
              </w:rPr>
            </w:pPr>
            <w:r>
              <w:rPr>
                <w:rFonts w:ascii="Arial" w:cs="Arial" w:eastAsia="Arial" w:hAnsi="Arial"/>
                <w:sz w:val="14"/>
                <w:szCs w:val="14"/>
                <w:color w:val="auto"/>
              </w:rPr>
              <w:t>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8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280" w:type="dxa"/>
            <w:vAlign w:val="bottom"/>
          </w:tcPr>
          <w:p>
            <w:pPr>
              <w:spacing w:after="0"/>
              <w:rPr>
                <w:sz w:val="20"/>
                <w:szCs w:val="20"/>
                <w:color w:val="auto"/>
              </w:rPr>
            </w:pPr>
            <w:r>
              <w:rPr>
                <w:rFonts w:ascii="Arial" w:cs="Arial" w:eastAsia="Arial" w:hAnsi="Arial"/>
                <w:sz w:val="14"/>
                <w:szCs w:val="14"/>
                <w:b w:val="1"/>
                <w:bCs w:val="1"/>
                <w:color w:val="auto"/>
              </w:rPr>
              <w:t>Balance as of December 31, 2018</w:t>
            </w:r>
          </w:p>
        </w:tc>
        <w:tc>
          <w:tcPr>
            <w:tcW w:w="780" w:type="dxa"/>
            <w:vAlign w:val="bottom"/>
          </w:tcPr>
          <w:p>
            <w:pPr>
              <w:jc w:val="right"/>
              <w:spacing w:after="0"/>
              <w:rPr>
                <w:sz w:val="20"/>
                <w:szCs w:val="20"/>
                <w:color w:val="auto"/>
              </w:rPr>
            </w:pPr>
            <w:r>
              <w:rPr>
                <w:rFonts w:ascii="Arial" w:cs="Arial" w:eastAsia="Arial" w:hAnsi="Arial"/>
                <w:sz w:val="14"/>
                <w:szCs w:val="14"/>
                <w:color w:val="auto"/>
              </w:rPr>
              <w:t>9,297,081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Issuance of Series B convertible preferred</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rPr>
                <w:sz w:val="20"/>
                <w:szCs w:val="20"/>
                <w:color w:val="auto"/>
              </w:rPr>
            </w:pPr>
            <w:r>
              <w:rPr>
                <w:rFonts w:ascii="Arial" w:cs="Arial" w:eastAsia="Arial" w:hAnsi="Arial"/>
                <w:sz w:val="14"/>
                <w:szCs w:val="14"/>
                <w:color w:val="auto"/>
              </w:rPr>
              <w:t>shares, net of issuance costs of $226</w:t>
            </w:r>
          </w:p>
        </w:tc>
        <w:tc>
          <w:tcPr>
            <w:tcW w:w="780" w:type="dxa"/>
            <w:vAlign w:val="bottom"/>
          </w:tcPr>
          <w:p>
            <w:pPr>
              <w:jc w:val="right"/>
              <w:spacing w:after="0"/>
              <w:rPr>
                <w:sz w:val="20"/>
                <w:szCs w:val="20"/>
                <w:color w:val="auto"/>
              </w:rPr>
            </w:pPr>
            <w:r>
              <w:rPr>
                <w:rFonts w:ascii="Arial" w:cs="Arial" w:eastAsia="Arial" w:hAnsi="Arial"/>
                <w:sz w:val="14"/>
                <w:szCs w:val="14"/>
                <w:color w:val="auto"/>
              </w:rPr>
              <w:t>1,016,727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9,430</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8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20"/>
                <w:szCs w:val="20"/>
                <w:color w:val="auto"/>
              </w:rPr>
            </w:pPr>
            <w:r>
              <w:rPr>
                <w:rFonts w:ascii="Arial" w:cs="Arial" w:eastAsia="Arial" w:hAnsi="Arial"/>
                <w:sz w:val="14"/>
                <w:szCs w:val="14"/>
                <w:b w:val="1"/>
                <w:bCs w:val="1"/>
                <w:color w:val="auto"/>
              </w:rPr>
              <w:t>Balance as of December 31, 2019</w:t>
            </w:r>
          </w:p>
        </w:tc>
        <w:tc>
          <w:tcPr>
            <w:tcW w:w="780" w:type="dxa"/>
            <w:vAlign w:val="bottom"/>
          </w:tcPr>
          <w:p>
            <w:pPr>
              <w:jc w:val="right"/>
              <w:spacing w:after="0"/>
              <w:rPr>
                <w:sz w:val="20"/>
                <w:szCs w:val="20"/>
                <w:color w:val="auto"/>
              </w:rPr>
            </w:pPr>
            <w:r>
              <w:rPr>
                <w:rFonts w:ascii="Arial" w:cs="Arial" w:eastAsia="Arial" w:hAnsi="Arial"/>
                <w:sz w:val="14"/>
                <w:szCs w:val="14"/>
                <w:color w:val="auto"/>
              </w:rPr>
              <w:t>10,313,808</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0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7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56"/>
        </w:trPr>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SHARES</w:t>
            </w: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7"/>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jc w:val="right"/>
              <w:spacing w:after="0"/>
              <w:rPr>
                <w:sz w:val="20"/>
                <w:szCs w:val="20"/>
                <w:color w:val="auto"/>
              </w:rPr>
            </w:pPr>
            <w:r>
              <w:rPr>
                <w:rFonts w:ascii="Arial" w:cs="Arial" w:eastAsia="Arial" w:hAnsi="Arial"/>
                <w:sz w:val="14"/>
                <w:szCs w:val="14"/>
                <w:color w:val="auto"/>
              </w:rPr>
              <w:t>3,205,421</w:t>
            </w:r>
          </w:p>
        </w:tc>
        <w:tc>
          <w:tcPr>
            <w:tcW w:w="28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1,390</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(39,808)</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(38,415)</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6,914</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(43,689)</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314"/>
        </w:trPr>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(6,899)</w:t>
            </w:r>
          </w:p>
        </w:tc>
        <w:tc>
          <w:tcPr>
            <w:tcW w:w="28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57"/>
        </w:trPr>
        <w:tc>
          <w:tcPr>
            <w:tcW w:w="96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4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(13,731)</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(13,731)</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80" w:type="dxa"/>
            <w:vAlign w:val="bottom"/>
          </w:tcPr>
          <w:p>
            <w:pPr>
              <w:jc w:val="right"/>
              <w:spacing w:after="0"/>
              <w:rPr>
                <w:sz w:val="20"/>
                <w:szCs w:val="20"/>
                <w:color w:val="auto"/>
              </w:rPr>
            </w:pPr>
            <w:r>
              <w:rPr>
                <w:rFonts w:ascii="Arial" w:cs="Arial" w:eastAsia="Arial" w:hAnsi="Arial"/>
                <w:sz w:val="14"/>
                <w:szCs w:val="14"/>
                <w:color w:val="auto"/>
              </w:rPr>
              <w:t>3,161,747</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1,758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(53,539)</w:t>
            </w:r>
          </w:p>
        </w:tc>
        <w:tc>
          <w:tcPr>
            <w:tcW w:w="2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(51,778)</w:t>
            </w:r>
          </w:p>
        </w:tc>
        <w:tc>
          <w:tcPr>
            <w:tcW w:w="0" w:type="dxa"/>
            <w:vAlign w:val="bottom"/>
          </w:tcPr>
          <w:p>
            <w:pPr>
              <w:spacing w:after="0"/>
              <w:rPr>
                <w:sz w:val="1"/>
                <w:szCs w:val="1"/>
                <w:color w:val="auto"/>
              </w:rPr>
            </w:pPr>
          </w:p>
        </w:tc>
      </w:tr>
      <w:tr>
        <w:trPr>
          <w:trHeight w:val="314"/>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5,199</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57"/>
        </w:trPr>
        <w:tc>
          <w:tcPr>
            <w:tcW w:w="96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4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(19,243)</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(19,243)</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jc w:val="right"/>
              <w:spacing w:after="0"/>
              <w:rPr>
                <w:sz w:val="20"/>
                <w:szCs w:val="20"/>
                <w:color w:val="auto"/>
              </w:rPr>
            </w:pPr>
            <w:r>
              <w:rPr>
                <w:rFonts w:ascii="Arial" w:cs="Arial" w:eastAsia="Arial" w:hAnsi="Arial"/>
                <w:sz w:val="14"/>
                <w:szCs w:val="14"/>
                <w:color w:val="auto"/>
              </w:rPr>
              <w:t>3,166,946</w:t>
            </w:r>
          </w:p>
        </w:tc>
        <w:tc>
          <w:tcPr>
            <w:tcW w:w="2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2,140</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(72,782)</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(70,639)</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-1824990</wp:posOffset>
            </wp:positionV>
            <wp:extent cx="6995160" cy="19799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979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460"/>
            <w:col w:w="5600"/>
          </w:cols>
          <w:pgMar w:left="320" w:top="459" w:right="499" w:bottom="1440" w:gutter="0" w:footer="0" w:header="0"/>
          <w:type w:val="continuous"/>
        </w:sectPr>
      </w:pPr>
    </w:p>
    <w:p>
      <w:pPr>
        <w:spacing w:after="0" w:line="19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080"/>
          </w:cols>
          <w:pgMar w:left="320" w:top="459" w:right="499" w:bottom="1440" w:gutter="0" w:footer="0" w:header="0"/>
          <w:type w:val="continuous"/>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Operating activities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7"/>
              </w:rPr>
              <w:t>(13,731)</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(19,243)</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 expense</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431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Share-based compensation expense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Amortization of term loan discount and issuance costs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Receivables due from related-party</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897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(269)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2,976</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760"/>
              <w:spacing w:after="0"/>
              <w:rPr>
                <w:sz w:val="20"/>
                <w:szCs w:val="20"/>
                <w:color w:val="auto"/>
              </w:rPr>
            </w:pPr>
            <w:r>
              <w:rPr>
                <w:rFonts w:ascii="Arial" w:cs="Arial" w:eastAsia="Arial" w:hAnsi="Arial"/>
                <w:sz w:val="17"/>
                <w:szCs w:val="17"/>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(13,190)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(14,249)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Investing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196"/>
        </w:trPr>
        <w:tc>
          <w:tcPr>
            <w:tcW w:w="920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related parties for issuance of Series B convertible preferred shares, net of issuance costs of $164</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6,829</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Proceeds from issuance of Series B convertible preferred shares, net of issuance costs of $62</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2,601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ordinary shares under equity incentive plan</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paid for repurchase of ordinary shares</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term loan, net of issuance costs of $83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5,917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15,357</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(13,842)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at beginning of year</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22,104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8,262</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at end of year</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8,262</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Fair value of compound derivative liability and warrant liability related to term loan</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Vesting of early exercised share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92</w:t>
            </w:r>
          </w:p>
        </w:tc>
        <w:tc>
          <w:tcPr>
            <w:tcW w:w="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Acquisition of property and equipment in accounts payable</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Debt issuance costs in accounts payable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Organization</w:t>
      </w:r>
    </w:p>
    <w:p>
      <w:pPr>
        <w:spacing w:after="0" w:line="93" w:lineRule="exact"/>
        <w:rPr>
          <w:rFonts w:ascii="Arial" w:cs="Arial" w:eastAsia="Arial" w:hAnsi="Arial"/>
          <w:sz w:val="17"/>
          <w:szCs w:val="17"/>
          <w:b w:val="1"/>
          <w:bCs w:val="1"/>
          <w:color w:val="auto"/>
        </w:rPr>
      </w:pPr>
    </w:p>
    <w:p>
      <w:pPr>
        <w:ind w:left="560" w:right="46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Alexo Therapeutics Limited, or the Company, was initially incorporated in Ireland on March 13, 2015 and changed its name to ALX Oncology Limited on October 11, 2018. The Company is a clinical-stage immuno-oncology company focused on helping patients fight cancer by developing therapies that block the CD47 checkpoint pathway and bridge the innate and adaptive immune system.</w:t>
      </w:r>
    </w:p>
    <w:p>
      <w:pPr>
        <w:spacing w:after="0" w:line="147" w:lineRule="exact"/>
        <w:rPr>
          <w:rFonts w:ascii="Arial" w:cs="Arial" w:eastAsia="Arial" w:hAnsi="Arial"/>
          <w:sz w:val="17"/>
          <w:szCs w:val="17"/>
          <w:b w:val="1"/>
          <w:bCs w:val="1"/>
          <w:color w:val="auto"/>
        </w:rPr>
      </w:pPr>
    </w:p>
    <w:p>
      <w:pPr>
        <w:jc w:val="both"/>
        <w:ind w:left="560" w:right="8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The Company owns a direct subsidiary, ALX Oncology Inc., incorporated in the United States, as well as a direct subsidiary incorporated in Malta, Alexo International Holdings Ltd. The Company also has two indirect subsidiaries, Alexo Therapeutics International, incorporated in the Cayman Islands, which is a wholly-owned subsidiary of Alexo International Holdings Ltd. and Sirpant Therapeutics, incorporated in the Cayman Islands, which is a wholly-owned subsidiary of Alexo Therapeutics International, collectively, the Subsidiaries.</w:t>
      </w:r>
    </w:p>
    <w:p>
      <w:pPr>
        <w:spacing w:after="0" w:line="149"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Company completed an internal reorganization transaction in April 2020, pursuant to which ALX Oncology Limited became a wholly-owned subsidiary of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 (Note 13).</w:t>
      </w:r>
    </w:p>
    <w:p>
      <w:pPr>
        <w:spacing w:after="0" w:line="13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Basis of Preparation</w:t>
      </w:r>
    </w:p>
    <w:p>
      <w:pPr>
        <w:spacing w:after="0" w:line="79" w:lineRule="exact"/>
        <w:rPr>
          <w:rFonts w:ascii="Arial" w:cs="Arial" w:eastAsia="Arial" w:hAnsi="Arial"/>
          <w:sz w:val="17"/>
          <w:szCs w:val="17"/>
          <w:b w:val="1"/>
          <w:bCs w:val="1"/>
          <w:color w:val="auto"/>
        </w:rPr>
      </w:pPr>
    </w:p>
    <w:p>
      <w:pPr>
        <w:ind w:left="560" w:right="34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These consolidated financial statements have been prepared in accordance with accounting principles generally accepted in the United States of America, or U.S. GAAP.</w:t>
      </w:r>
    </w:p>
    <w:p>
      <w:pPr>
        <w:spacing w:after="0" w:line="12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Principles of Consolidation</w:t>
      </w:r>
    </w:p>
    <w:p>
      <w:pPr>
        <w:spacing w:after="0" w:line="7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color w:val="auto"/>
        </w:rPr>
        <w:t>All intercompany balances and transactions have been eliminated in consolidation.</w:t>
      </w:r>
    </w:p>
    <w:p>
      <w:pPr>
        <w:spacing w:after="0" w:line="13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Unaudited Pro Forma Information</w:t>
      </w:r>
    </w:p>
    <w:p>
      <w:pPr>
        <w:spacing w:after="0" w:line="93" w:lineRule="exact"/>
        <w:rPr>
          <w:rFonts w:ascii="Arial" w:cs="Arial" w:eastAsia="Arial" w:hAnsi="Arial"/>
          <w:sz w:val="17"/>
          <w:szCs w:val="17"/>
          <w:b w:val="1"/>
          <w:bCs w:val="1"/>
          <w:color w:val="auto"/>
        </w:rPr>
      </w:pPr>
    </w:p>
    <w:p>
      <w:pPr>
        <w:ind w:left="560" w:right="24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Immediately prior to the completion of this offering, all outstanding convertible preferred shares will automatically convert into ordinary shares. Unaudited pro forma basic and diluted net loss per share has been computed to give effect to the conversion of all outstanding convertible preferred shares and cumulative dividends on the convertible preferred shares into ordinary shares. The unaudited pro forma net loss per share does not include the shares expected to be sold and related proceeds to be received from the initial public offering.</w:t>
      </w:r>
    </w:p>
    <w:p>
      <w:pPr>
        <w:spacing w:after="0" w:line="132"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Need for Additional Capital</w:t>
      </w:r>
    </w:p>
    <w:p>
      <w:pPr>
        <w:spacing w:after="0" w:line="79" w:lineRule="exact"/>
        <w:rPr>
          <w:rFonts w:ascii="Arial" w:cs="Arial" w:eastAsia="Arial" w:hAnsi="Arial"/>
          <w:sz w:val="17"/>
          <w:szCs w:val="17"/>
          <w:b w:val="1"/>
          <w:bCs w:val="1"/>
          <w:color w:val="auto"/>
        </w:rPr>
      </w:pPr>
    </w:p>
    <w:p>
      <w:pPr>
        <w:ind w:left="560" w:right="4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Since commencing operations, none of the Company’s product candidates have received marketing approval from the U.S. Food and Drug Administration, or FDA, or any other federal, state, local or foreign governmental or regulatory authority and therefore the Company has not generated any revenue from drug product sales. The Company had an accumulated deficit of $72.8 million as of December 31, 2019 and management does not expect to experience positive cash flows in the foreseeable future. Based on management’s current plans, management believes cash of $9.0 million as of December 31, 2019, along with the $105.0 million of gross proceeds from the issuance of Series C convertible preferred shares in February 2020 (Note 13), are sufficient to fund operations through at least one year from the date of the issuance of these consolidated financial statements.</w:t>
      </w:r>
    </w:p>
    <w:p>
      <w:pPr>
        <w:spacing w:after="0" w:line="150" w:lineRule="exact"/>
        <w:rPr>
          <w:rFonts w:ascii="Arial" w:cs="Arial" w:eastAsia="Arial" w:hAnsi="Arial"/>
          <w:sz w:val="17"/>
          <w:szCs w:val="17"/>
          <w:b w:val="1"/>
          <w:bCs w:val="1"/>
          <w:color w:val="auto"/>
        </w:rPr>
      </w:pPr>
    </w:p>
    <w:p>
      <w:pPr>
        <w:ind w:left="5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00"/>
        <w:spacing w:after="0" w:line="238" w:lineRule="auto"/>
        <w:rPr>
          <w:sz w:val="20"/>
          <w:szCs w:val="20"/>
          <w:color w:val="auto"/>
        </w:rPr>
      </w:pPr>
      <w:r>
        <w:rPr>
          <w:rFonts w:ascii="Arial" w:cs="Arial" w:eastAsia="Arial" w:hAnsi="Arial"/>
          <w:sz w:val="17"/>
          <w:szCs w:val="17"/>
          <w:color w:val="auto"/>
        </w:rPr>
        <w:t>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Use of Estimates</w:t>
      </w:r>
    </w:p>
    <w:p>
      <w:pPr>
        <w:spacing w:after="0" w:line="93" w:lineRule="exact"/>
        <w:rPr>
          <w:sz w:val="20"/>
          <w:szCs w:val="20"/>
          <w:color w:val="auto"/>
        </w:rPr>
      </w:pPr>
    </w:p>
    <w:p>
      <w:pPr>
        <w:ind w:left="560" w:right="140"/>
        <w:spacing w:after="0" w:line="234"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shares warrant liability, term loan compound derivative liability, term loan, valuation of ordinary shares, income taxes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holds its cash in checking and interest-bearing accounts.</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80" w:lineRule="exact"/>
        <w:rPr>
          <w:sz w:val="20"/>
          <w:szCs w:val="20"/>
          <w:color w:val="auto"/>
        </w:rPr>
      </w:pPr>
    </w:p>
    <w:p>
      <w:pPr>
        <w:ind w:left="560" w:right="260"/>
        <w:spacing w:after="0" w:line="238"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The Company maintains deposits in federally insured financial institutions in excess of federally insured limits. The Company is exposed to credit risk in the event of default by the financial institutions holding its cash. The Company has not experienced any losses on its deposits of cash.</w:t>
      </w:r>
    </w:p>
    <w:p>
      <w:pPr>
        <w:spacing w:after="0" w:line="147"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50"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Property and Equipment</w:t>
      </w:r>
    </w:p>
    <w:p>
      <w:pPr>
        <w:spacing w:after="0" w:line="93"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(Note 3). Upon sale or retirement of assets, the cost and related accumulated depreciation or amortization are removed from the consolidated balance sheet and the resulting gain or loss is reflected in the consolidated statement of operations and comprehensive loss. Maintenance and repairs are charged to the consolidated statement of operations and comprehensive loss as incurred.</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useful lives of the property and equipment are as follows:</w:t>
      </w:r>
    </w:p>
    <w:p>
      <w:pPr>
        <w:sectPr>
          <w:pgSz w:w="11900" w:h="16838" w:orient="portrait"/>
          <w:cols w:equalWidth="0" w:num="1">
            <w:col w:w="11120"/>
          </w:cols>
          <w:pgMar w:left="320" w:top="459" w:right="459" w:bottom="1440" w:gutter="0" w:footer="0" w:header="0"/>
        </w:sectPr>
      </w:pPr>
    </w:p>
    <w:p>
      <w:pPr>
        <w:spacing w:after="0" w:line="19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Research and development equipment</w:t>
      </w:r>
    </w:p>
    <w:p>
      <w:pPr>
        <w:ind w:left="560"/>
        <w:spacing w:after="0" w:line="232" w:lineRule="auto"/>
        <w:rPr>
          <w:sz w:val="20"/>
          <w:szCs w:val="20"/>
          <w:color w:val="auto"/>
        </w:rPr>
      </w:pPr>
      <w:r>
        <w:rPr>
          <w:rFonts w:ascii="Arial" w:cs="Arial" w:eastAsia="Arial" w:hAnsi="Arial"/>
          <w:sz w:val="17"/>
          <w:szCs w:val="17"/>
          <w:color w:val="auto"/>
        </w:rPr>
        <w:t>Furniture and office equipment</w:t>
      </w:r>
    </w:p>
    <w:p>
      <w:pPr>
        <w:ind w:left="560"/>
        <w:spacing w:after="0" w:line="232" w:lineRule="auto"/>
        <w:rPr>
          <w:sz w:val="20"/>
          <w:szCs w:val="20"/>
          <w:color w:val="auto"/>
        </w:rPr>
      </w:pPr>
      <w:r>
        <w:rPr>
          <w:rFonts w:ascii="Arial" w:cs="Arial" w:eastAsia="Arial" w:hAnsi="Arial"/>
          <w:sz w:val="17"/>
          <w:szCs w:val="17"/>
          <w:color w:val="auto"/>
        </w:rPr>
        <w:t>Computer equipment</w:t>
      </w:r>
    </w:p>
    <w:p>
      <w:pPr>
        <w:ind w:left="560"/>
        <w:spacing w:after="0" w:line="232" w:lineRule="auto"/>
        <w:rPr>
          <w:sz w:val="20"/>
          <w:szCs w:val="20"/>
          <w:color w:val="auto"/>
        </w:rPr>
      </w:pPr>
      <w:r>
        <w:rPr>
          <w:rFonts w:ascii="Arial" w:cs="Arial" w:eastAsia="Arial" w:hAnsi="Arial"/>
          <w:sz w:val="17"/>
          <w:szCs w:val="17"/>
          <w:color w:val="auto"/>
        </w:rPr>
        <w:t>Software</w:t>
      </w:r>
    </w:p>
    <w:p>
      <w:pPr>
        <w:ind w:left="56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232" w:lineRule="auto"/>
        <w:rPr>
          <w:sz w:val="20"/>
          <w:szCs w:val="20"/>
          <w:color w:val="auto"/>
        </w:rPr>
      </w:pPr>
      <w:r>
        <w:rPr>
          <w:rFonts w:ascii="Arial" w:cs="Arial" w:eastAsia="Arial" w:hAnsi="Arial"/>
          <w:sz w:val="17"/>
          <w:szCs w:val="17"/>
          <w:color w:val="auto"/>
        </w:rPr>
        <w:t>5 years</w:t>
      </w:r>
    </w:p>
    <w:p>
      <w:pPr>
        <w:spacing w:after="0" w:line="232" w:lineRule="auto"/>
        <w:rPr>
          <w:sz w:val="20"/>
          <w:szCs w:val="20"/>
          <w:color w:val="auto"/>
        </w:rPr>
      </w:pPr>
      <w:r>
        <w:rPr>
          <w:rFonts w:ascii="Arial" w:cs="Arial" w:eastAsia="Arial" w:hAnsi="Arial"/>
          <w:sz w:val="17"/>
          <w:szCs w:val="17"/>
          <w:color w:val="auto"/>
        </w:rPr>
        <w:t>3 years</w:t>
      </w:r>
    </w:p>
    <w:p>
      <w:pPr>
        <w:spacing w:after="0" w:line="232" w:lineRule="auto"/>
        <w:rPr>
          <w:sz w:val="20"/>
          <w:szCs w:val="20"/>
          <w:color w:val="auto"/>
        </w:rPr>
      </w:pPr>
      <w:r>
        <w:rPr>
          <w:rFonts w:ascii="Arial" w:cs="Arial" w:eastAsia="Arial" w:hAnsi="Arial"/>
          <w:sz w:val="17"/>
          <w:szCs w:val="17"/>
          <w:color w:val="auto"/>
        </w:rPr>
        <w:t>3 years</w:t>
      </w:r>
    </w:p>
    <w:p>
      <w:pPr>
        <w:spacing w:after="0"/>
        <w:rPr>
          <w:sz w:val="20"/>
          <w:szCs w:val="20"/>
          <w:color w:val="auto"/>
        </w:rPr>
      </w:pPr>
      <w:r>
        <w:rPr>
          <w:rFonts w:ascii="Arial" w:cs="Arial" w:eastAsia="Arial" w:hAnsi="Arial"/>
          <w:sz w:val="17"/>
          <w:szCs w:val="17"/>
          <w:color w:val="auto"/>
        </w:rPr>
        <w:t>Shorter of 7 years or remaining of lease term</w:t>
      </w:r>
    </w:p>
    <w:p>
      <w:pPr>
        <w:spacing w:after="0" w:line="150" w:lineRule="exact"/>
        <w:rPr>
          <w:sz w:val="20"/>
          <w:szCs w:val="20"/>
          <w:color w:val="auto"/>
        </w:rPr>
      </w:pPr>
    </w:p>
    <w:p>
      <w:pPr>
        <w:sectPr>
          <w:pgSz w:w="11900" w:h="16838" w:orient="portrait"/>
          <w:cols w:equalWidth="0" w:num="2">
            <w:col w:w="5440" w:space="720"/>
            <w:col w:w="49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120"/>
          </w:cols>
          <w:pgMar w:left="320" w:top="459" w:right="45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Impairment of Long-Lived Assets</w:t>
      </w:r>
    </w:p>
    <w:p>
      <w:pPr>
        <w:spacing w:after="0" w:line="93"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years ended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80"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required to be recognized or disclosed at fair value in the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48" w:lineRule="exact"/>
        <w:rPr>
          <w:sz w:val="20"/>
          <w:szCs w:val="20"/>
          <w:color w:val="auto"/>
        </w:rPr>
      </w:pPr>
    </w:p>
    <w:p>
      <w:pPr>
        <w:ind w:left="560" w:right="280"/>
        <w:spacing w:after="0" w:line="235" w:lineRule="auto"/>
        <w:rPr>
          <w:sz w:val="20"/>
          <w:szCs w:val="20"/>
          <w:color w:val="auto"/>
        </w:rPr>
      </w:pPr>
      <w:r>
        <w:rPr>
          <w:rFonts w:ascii="Arial" w:cs="Arial" w:eastAsia="Arial" w:hAnsi="Arial"/>
          <w:sz w:val="17"/>
          <w:szCs w:val="17"/>
          <w:color w:val="auto"/>
        </w:rPr>
        <w:t>The Company’s financial instruments consist of cash, accounts receivable, accounts payable, the term loan compound derivative liability and the Series B convertible preferred shares warrant liability. The term loan compound derivative liability and the Series B convertible preferred shares warrant liability are re-measured at the end of every period and carried at fair value (Note 2). The recorded value of the Company’s accounts receivable and accounts payable approximates its current fair value due to the relatively short-term nature of these items.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80" w:lineRule="exact"/>
        <w:rPr>
          <w:sz w:val="20"/>
          <w:szCs w:val="20"/>
          <w:color w:val="auto"/>
        </w:rPr>
      </w:pPr>
    </w:p>
    <w:p>
      <w:pPr>
        <w:ind w:left="560" w:right="100"/>
        <w:spacing w:after="0" w:line="23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with Silicon Valley Bank, and WestRiver Innovation Lending Fund VIII, LP, collectively as lenders, and Silicon Valley Bank,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93" w:lineRule="exact"/>
        <w:rPr>
          <w:sz w:val="20"/>
          <w:szCs w:val="20"/>
          <w:color w:val="auto"/>
        </w:rPr>
      </w:pPr>
    </w:p>
    <w:p>
      <w:pPr>
        <w:jc w:val="both"/>
        <w:ind w:left="560" w:right="140"/>
        <w:spacing w:after="0" w:line="232" w:lineRule="auto"/>
        <w:rPr>
          <w:sz w:val="20"/>
          <w:szCs w:val="20"/>
          <w:color w:val="auto"/>
        </w:rPr>
      </w:pPr>
      <w:r>
        <w:rPr>
          <w:rFonts w:ascii="Arial" w:cs="Arial" w:eastAsia="Arial" w:hAnsi="Arial"/>
          <w:sz w:val="17"/>
          <w:szCs w:val="17"/>
          <w:color w:val="auto"/>
        </w:rPr>
        <w:t>The Company records convertible preferred shares net of issuance costs on the dates of issuance, which represents the carrying value. In the event of a change of control of the Company, proceeds will be distributed in accordance with the liquidation preferences set forth in its Constitution unless the holders of convertible preferred shares have converted their convertible preferred shares into ordinary shares.</w:t>
      </w:r>
    </w:p>
    <w:p>
      <w:pPr>
        <w:ind w:left="560" w:right="60"/>
        <w:spacing w:after="0" w:line="236" w:lineRule="auto"/>
        <w:rPr>
          <w:sz w:val="20"/>
          <w:szCs w:val="20"/>
          <w:color w:val="auto"/>
        </w:rPr>
      </w:pPr>
      <w:r>
        <w:rPr>
          <w:rFonts w:ascii="Arial" w:cs="Arial" w:eastAsia="Arial" w:hAnsi="Arial"/>
          <w:sz w:val="17"/>
          <w:szCs w:val="17"/>
          <w:color w:val="auto"/>
        </w:rPr>
        <w:t>Convertible preferred shares are classified outside of shareholders’ deficit on the accompanying consolidated balance sheets as events triggering the liquidation preferences are not solely within the Company’s control. The Company has elected not to adjust the carrying values of the convertible preferred shares to the liquidation preferences of such shares because of the uncertainty of whether or when such an event would occur.</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Series B Convertible Preferred Shares Warrant Liability</w:t>
      </w:r>
    </w:p>
    <w:p>
      <w:pPr>
        <w:spacing w:after="0" w:line="80"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The Company has issued freestanding warrants to purchase its Series B convertible preferred shares. Freestanding warrants for the Company’s convertible preferred shares that are classified outside of permanent equity are recorded at fair value, and are subject to re-measurement at each balance sheet date until the earlier of the exercise of the warrants or the completion of a liquidation event. Upon exercise, the Series B convertible preferred shares warrant liability would be reclassified to additional paid-in capital, with any change in fair value recognized as a component of other income (expense), net.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Revenue Recognition</w:t>
      </w:r>
    </w:p>
    <w:p>
      <w:pPr>
        <w:spacing w:after="0" w:line="93" w:lineRule="exact"/>
        <w:rPr>
          <w:sz w:val="20"/>
          <w:szCs w:val="20"/>
          <w:color w:val="auto"/>
        </w:rPr>
      </w:pPr>
    </w:p>
    <w:p>
      <w:pPr>
        <w:ind w:left="560" w:right="200"/>
        <w:spacing w:after="0" w:line="238" w:lineRule="auto"/>
        <w:rPr>
          <w:sz w:val="20"/>
          <w:szCs w:val="20"/>
          <w:color w:val="auto"/>
        </w:rPr>
      </w:pPr>
      <w:r>
        <w:rPr>
          <w:rFonts w:ascii="Arial" w:cs="Arial" w:eastAsia="Arial" w:hAnsi="Arial"/>
          <w:sz w:val="17"/>
          <w:szCs w:val="17"/>
          <w:color w:val="auto"/>
        </w:rPr>
        <w:t>To date, the Company has derived revenue from providing research and development services on a time and materials basis to a related-party. The Company recognizes such revenues over time as services are delivered, and invoices the customer as the work is incurred in arrears.</w:t>
      </w:r>
    </w:p>
    <w:p>
      <w:pPr>
        <w:spacing w:after="0" w:line="129" w:lineRule="exact"/>
        <w:rPr>
          <w:sz w:val="20"/>
          <w:szCs w:val="20"/>
          <w:color w:val="auto"/>
        </w:rPr>
      </w:pPr>
    </w:p>
    <w:p>
      <w:pPr>
        <w:ind w:left="560" w:right="120"/>
        <w:spacing w:after="0"/>
        <w:rPr>
          <w:sz w:val="20"/>
          <w:szCs w:val="20"/>
          <w:color w:val="auto"/>
        </w:rPr>
      </w:pPr>
      <w:r>
        <w:rPr>
          <w:rFonts w:ascii="Arial" w:cs="Arial" w:eastAsia="Arial" w:hAnsi="Arial"/>
          <w:sz w:val="17"/>
          <w:szCs w:val="17"/>
          <w:color w:val="auto"/>
        </w:rPr>
        <w:t xml:space="preserve">Effective January 1, 2018, the Company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on a full retrospective basis. This standard applies to all contracts with customers, except for contracts that are within the scope of other standards, such as leases, insurance, collaboration arrangements and financial instruments. In accordance with Topic 606, the Company recognizes revenue when its customer obtains control of promised goods or services, in an amount that reflects the consideration which the Company expects to receive in exchange for those goods or services.</w:t>
      </w:r>
    </w:p>
    <w:p>
      <w:pPr>
        <w:spacing w:after="0" w:line="148" w:lineRule="exact"/>
        <w:rPr>
          <w:sz w:val="20"/>
          <w:szCs w:val="20"/>
          <w:color w:val="auto"/>
        </w:rPr>
      </w:pPr>
    </w:p>
    <w:p>
      <w:pPr>
        <w:ind w:left="560" w:right="20"/>
        <w:spacing w:after="0" w:line="236"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49"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based on their standalone selling price to the respective performance obligation when (or as) the performance obligation is satisfied.</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Cost of Services for Related-Party Revenue</w:t>
      </w:r>
    </w:p>
    <w:p>
      <w:pPr>
        <w:spacing w:after="0" w:line="80" w:lineRule="exact"/>
        <w:rPr>
          <w:sz w:val="20"/>
          <w:szCs w:val="20"/>
          <w:color w:val="auto"/>
        </w:rPr>
      </w:pPr>
    </w:p>
    <w:p>
      <w:pPr>
        <w:ind w:left="560" w:right="400"/>
        <w:spacing w:after="0" w:line="238" w:lineRule="auto"/>
        <w:rPr>
          <w:sz w:val="20"/>
          <w:szCs w:val="20"/>
          <w:color w:val="auto"/>
        </w:rPr>
      </w:pPr>
      <w:r>
        <w:rPr>
          <w:rFonts w:ascii="Arial" w:cs="Arial" w:eastAsia="Arial" w:hAnsi="Arial"/>
          <w:sz w:val="17"/>
          <w:szCs w:val="17"/>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consolidated statements of operations and comprehensive loss.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Research and Development Costs</w:t>
      </w:r>
    </w:p>
    <w:p>
      <w:pPr>
        <w:spacing w:after="0" w:line="80" w:lineRule="exact"/>
        <w:rPr>
          <w:sz w:val="20"/>
          <w:szCs w:val="20"/>
          <w:color w:val="auto"/>
        </w:rPr>
      </w:pPr>
    </w:p>
    <w:p>
      <w:pPr>
        <w:ind w:left="560" w:right="160"/>
        <w:spacing w:after="0" w:line="235" w:lineRule="auto"/>
        <w:rPr>
          <w:sz w:val="20"/>
          <w:szCs w:val="20"/>
          <w:color w:val="auto"/>
        </w:rPr>
      </w:pPr>
      <w:r>
        <w:rPr>
          <w:rFonts w:ascii="Arial" w:cs="Arial" w:eastAsia="Arial" w:hAnsi="Arial"/>
          <w:sz w:val="17"/>
          <w:szCs w:val="17"/>
          <w:color w:val="auto"/>
        </w:rPr>
        <w:t>Research and development costs are expensed as incurred and consist primarily of salaries and benefits, share-based compensation expense, lab supplies and facility costs, as well as fees paid to nonemployees and entities that conduct certain research and development activities on behalf of the Company and expenses incurred in connection with license agreements (Note 9).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Clinical and Manufacturing Accruals</w:t>
      </w:r>
    </w:p>
    <w:p>
      <w:pPr>
        <w:spacing w:after="0" w:line="93"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information provided as part of its clinical and non-clinical studies and other third-party vendors. Through December 31, 2019,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Share-Based Compensation Expense</w:t>
      </w:r>
    </w:p>
    <w:p>
      <w:pPr>
        <w:spacing w:after="0" w:line="93" w:lineRule="exact"/>
        <w:rPr>
          <w:sz w:val="20"/>
          <w:szCs w:val="20"/>
          <w:color w:val="auto"/>
        </w:rPr>
      </w:pPr>
    </w:p>
    <w:p>
      <w:pPr>
        <w:ind w:left="560" w:right="20"/>
        <w:spacing w:after="0" w:line="234" w:lineRule="auto"/>
        <w:rPr>
          <w:sz w:val="20"/>
          <w:szCs w:val="20"/>
          <w:color w:val="auto"/>
        </w:rPr>
      </w:pPr>
      <w:r>
        <w:rPr>
          <w:rFonts w:ascii="Arial" w:cs="Arial" w:eastAsia="Arial" w:hAnsi="Arial"/>
          <w:sz w:val="17"/>
          <w:szCs w:val="17"/>
          <w:color w:val="auto"/>
        </w:rPr>
        <w:t>The Company accounts for share-based compensation by measuring and recognizing compensation expense for all share-based payments made to employees, directors and non-employees based on estimated grant-date fair values. The Company uses the straight-line method to allocate compensation expense to reporting periods over each optionee’s requisite service period, which is generally the vesting period, and estimates the fair value of share-based awards to employees and directors using the Black-Scholes option-pricing model. The Black-Scholes model requires the input of subjective assumptions, including expected volatility, expected dividend yield, expected term, risk-free rate of return and the estimated fair value of the underlying ordinary shares on the date of grant. The Company accounts for the effect of forfeitures as they occur.</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Segment Reporting</w:t>
      </w:r>
    </w:p>
    <w:p>
      <w:pPr>
        <w:spacing w:after="0" w:line="80" w:lineRule="exact"/>
        <w:rPr>
          <w:sz w:val="20"/>
          <w:szCs w:val="20"/>
          <w:color w:val="auto"/>
        </w:rPr>
      </w:pPr>
    </w:p>
    <w:p>
      <w:pPr>
        <w:ind w:left="560" w:right="380"/>
        <w:spacing w:after="0" w:line="243" w:lineRule="auto"/>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 All of the Company’s assets are maintained in the United States and Ireland.</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Foreign Currency Transactions</w:t>
      </w:r>
    </w:p>
    <w:p>
      <w:pPr>
        <w:spacing w:after="0" w:line="80" w:lineRule="exact"/>
        <w:rPr>
          <w:sz w:val="20"/>
          <w:szCs w:val="20"/>
          <w:color w:val="auto"/>
        </w:rPr>
      </w:pPr>
    </w:p>
    <w:p>
      <w:pPr>
        <w:ind w:left="560" w:right="180"/>
        <w:spacing w:after="0" w:line="235" w:lineRule="auto"/>
        <w:rPr>
          <w:sz w:val="20"/>
          <w:szCs w:val="20"/>
          <w:color w:val="auto"/>
        </w:rPr>
      </w:pPr>
      <w:r>
        <w:rPr>
          <w:rFonts w:ascii="Arial" w:cs="Arial" w:eastAsia="Arial" w:hAnsi="Arial"/>
          <w:sz w:val="17"/>
          <w:szCs w:val="17"/>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comprehensive loss and recorded in other income (expense), net, and was immaterial for the years ended December 31, 2018 and December 31, 2019, respectively.</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Income Taxes</w:t>
      </w:r>
    </w:p>
    <w:p>
      <w:pPr>
        <w:spacing w:after="0" w:line="93" w:lineRule="exact"/>
        <w:rPr>
          <w:sz w:val="20"/>
          <w:szCs w:val="20"/>
          <w:color w:val="auto"/>
        </w:rPr>
      </w:pPr>
    </w:p>
    <w:p>
      <w:pPr>
        <w:ind w:left="560" w:right="220"/>
        <w:spacing w:after="0" w:line="235"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and comprehensive loss in the period that includes the enactment date.</w:t>
      </w:r>
    </w:p>
    <w:p>
      <w:pPr>
        <w:spacing w:after="0" w:line="148"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spacing w:after="0" w:line="150" w:lineRule="exact"/>
        <w:rPr>
          <w:sz w:val="20"/>
          <w:szCs w:val="20"/>
          <w:color w:val="auto"/>
        </w:rPr>
      </w:pPr>
    </w:p>
    <w:p>
      <w:pPr>
        <w:ind w:left="560" w:right="880"/>
        <w:spacing w:after="0" w:line="243" w:lineRule="auto"/>
        <w:rPr>
          <w:sz w:val="20"/>
          <w:szCs w:val="20"/>
          <w:color w:val="auto"/>
        </w:rPr>
      </w:pPr>
      <w:r>
        <w:rPr>
          <w:rFonts w:ascii="Arial" w:cs="Arial" w:eastAsia="Arial" w:hAnsi="Arial"/>
          <w:sz w:val="17"/>
          <w:szCs w:val="17"/>
          <w:color w:val="auto"/>
        </w:rPr>
        <w:t>The Company recognizes benefits of uncertain tax positions if it is more likely than not that such positions will be sustained upon examination based solely on their technical merits, as the largest amount of benefit that is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80"/>
        <w:spacing w:after="0" w:line="243" w:lineRule="auto"/>
        <w:rPr>
          <w:sz w:val="20"/>
          <w:szCs w:val="20"/>
          <w:color w:val="auto"/>
        </w:rPr>
      </w:pPr>
      <w:r>
        <w:rPr>
          <w:rFonts w:ascii="Arial" w:cs="Arial" w:eastAsia="Arial" w:hAnsi="Arial"/>
          <w:sz w:val="17"/>
          <w:szCs w:val="17"/>
          <w:color w:val="auto"/>
        </w:rPr>
        <w:t>more likely than not to be realized upon the ultimate settlement. The Company’s policy is to recognize interest and penalties related to the underpayment of income taxes as a component of income tax expense or benefit.</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Net Loss Per Share Attributable to Ordinary Shareholders</w:t>
      </w:r>
    </w:p>
    <w:p>
      <w:pPr>
        <w:spacing w:after="0" w:line="93" w:lineRule="exact"/>
        <w:rPr>
          <w:sz w:val="20"/>
          <w:szCs w:val="20"/>
          <w:color w:val="auto"/>
        </w:rPr>
      </w:pPr>
    </w:p>
    <w:p>
      <w:pPr>
        <w:ind w:left="560" w:right="160"/>
        <w:spacing w:after="0" w:line="235" w:lineRule="auto"/>
        <w:rPr>
          <w:sz w:val="20"/>
          <w:szCs w:val="20"/>
          <w:color w:val="auto"/>
        </w:rPr>
      </w:pPr>
      <w:r>
        <w:rPr>
          <w:rFonts w:ascii="Arial" w:cs="Arial" w:eastAsia="Arial" w:hAnsi="Arial"/>
          <w:sz w:val="17"/>
          <w:szCs w:val="17"/>
          <w:color w:val="auto"/>
        </w:rPr>
        <w:t>Basic net loss per share is calculated by dividing the net loss attributable to ordinary shareholders by the weighted-average number of ordinary shares outstanding during the period, without consideration for ordinary share equivalents. Net loss attributable to ordinary shareholders is calculated by adjusting net loss of the Company for cumulative preferred share dividends. Diluted net loss per share is the same as basic net loss per share, since the effects of potentially dilutive securities are antidilutive given the net loss for each period presented.</w:t>
      </w:r>
    </w:p>
    <w:p>
      <w:pPr>
        <w:spacing w:after="0" w:line="150" w:lineRule="exact"/>
        <w:rPr>
          <w:sz w:val="20"/>
          <w:szCs w:val="20"/>
          <w:color w:val="auto"/>
        </w:rPr>
      </w:pPr>
    </w:p>
    <w:p>
      <w:pPr>
        <w:ind w:left="560" w:right="60"/>
        <w:spacing w:after="0" w:line="234"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ordinary and participating securities according to dividends declared or accumulated and participation rights in undistributed earnings. The two-class method requires net loss available to ordinary shareholders for the period to be allocated between ordinary and participating securities based upon their respective rights to share in the earnings as if all net loss for the period had been distributed. The Company’s convertible preferred shares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Unaudited Pro Forma Net Loss Per Share Attributable to Ordinary Shareholders</w:t>
      </w:r>
    </w:p>
    <w:p>
      <w:pPr>
        <w:spacing w:after="0" w:line="80" w:lineRule="exact"/>
        <w:rPr>
          <w:sz w:val="20"/>
          <w:szCs w:val="20"/>
          <w:color w:val="auto"/>
        </w:rPr>
      </w:pPr>
    </w:p>
    <w:p>
      <w:pPr>
        <w:ind w:left="560" w:right="200"/>
        <w:spacing w:after="0" w:line="235" w:lineRule="auto"/>
        <w:rPr>
          <w:sz w:val="20"/>
          <w:szCs w:val="20"/>
          <w:color w:val="auto"/>
        </w:rPr>
      </w:pPr>
      <w:r>
        <w:rPr>
          <w:rFonts w:ascii="Arial" w:cs="Arial" w:eastAsia="Arial" w:hAnsi="Arial"/>
          <w:sz w:val="17"/>
          <w:szCs w:val="17"/>
          <w:color w:val="auto"/>
        </w:rPr>
        <w:t>In contemplation of an initial public offering, or IPO, the Company has presented unaudited pro forma basic and diluted net loss per share attributable to ordinary shareholders for the year ended December 31, 2019. Unaudited pro forma basic net loss per share attributable to ordinary shareholders as of December 31, 2019 is computed to give effect to adjustments to the denominator in the pro forma basic and diluted net loss per share calculation to reflect the conversion of all of the Company’s outstanding convertible preferred shares and cumulative dividends into 11,253,839 ordinary shares, as if the conversion had occurred as of the beginning of the period or the original date of issuance, if later.</w:t>
      </w:r>
    </w:p>
    <w:p>
      <w:pPr>
        <w:spacing w:after="0" w:line="148" w:lineRule="exact"/>
        <w:rPr>
          <w:sz w:val="20"/>
          <w:szCs w:val="20"/>
          <w:color w:val="auto"/>
        </w:rPr>
      </w:pPr>
    </w:p>
    <w:p>
      <w:pPr>
        <w:ind w:left="560" w:right="400"/>
        <w:spacing w:after="0" w:line="236" w:lineRule="auto"/>
        <w:rPr>
          <w:sz w:val="20"/>
          <w:szCs w:val="20"/>
          <w:color w:val="auto"/>
        </w:rPr>
      </w:pPr>
      <w:r>
        <w:rPr>
          <w:rFonts w:ascii="Arial" w:cs="Arial" w:eastAsia="Arial" w:hAnsi="Arial"/>
          <w:sz w:val="17"/>
          <w:szCs w:val="17"/>
          <w:color w:val="auto"/>
        </w:rPr>
        <w:t>Unaudited pro forma diluted net loss attributable to ordinary shareholders is the same as unaudited pro forma basic net loss per share attributable to ordinary shareholders for the period as the impact of any potentially dilutive securities was anti-dilutive, which has been computed to give effect to the adjustment noted above. The pro forma net loss per share attributable to ordinary shareholders does not include proceeds to be received from nor does it include shares expected to be sold in the assumed IPO.</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Accounting Pronouncements</w:t>
      </w:r>
    </w:p>
    <w:p>
      <w:pPr>
        <w:spacing w:after="0" w:line="80" w:lineRule="exact"/>
        <w:rPr>
          <w:sz w:val="20"/>
          <w:szCs w:val="20"/>
          <w:color w:val="auto"/>
        </w:rPr>
      </w:pPr>
    </w:p>
    <w:p>
      <w:pPr>
        <w:ind w:left="560" w:right="200"/>
        <w:spacing w:after="0" w:line="23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31" w:lineRule="exact"/>
        <w:rPr>
          <w:sz w:val="20"/>
          <w:szCs w:val="20"/>
          <w:color w:val="auto"/>
        </w:rPr>
      </w:pPr>
    </w:p>
    <w:p>
      <w:pPr>
        <w:ind w:left="560"/>
        <w:spacing w:after="0" w:line="237"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November 2019, the FASB issued ASU No. 2019-10, which extends the effective date of ASU No. 2016-02 for non-public business entities, including smaller reporting companies, to fiscal years beginning after December 15, 2020. The new standard is effective for the Company beginning January 1, 2021. Early adoption is permitted. The Company is currently evaluating the effects of the adoption of this guidance on its consolidated financial statements and related disclosures.</w:t>
      </w:r>
    </w:p>
    <w:p>
      <w:pPr>
        <w:spacing w:after="0" w:line="134" w:lineRule="exact"/>
        <w:rPr>
          <w:sz w:val="20"/>
          <w:szCs w:val="20"/>
          <w:color w:val="auto"/>
        </w:rPr>
      </w:pPr>
    </w:p>
    <w:p>
      <w:pPr>
        <w:ind w:left="560" w:right="60"/>
        <w:spacing w:after="0" w:line="24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(Topic 326), which requires entities to measure all expected credit losses for financial assets held at the reporting date based on historical experience, current conditions, and reasonable and supportable forecasts. This replaces the existing</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00"/>
        <w:spacing w:after="0" w:line="236" w:lineRule="auto"/>
        <w:rPr>
          <w:sz w:val="20"/>
          <w:szCs w:val="20"/>
          <w:color w:val="auto"/>
        </w:rPr>
      </w:pPr>
      <w:r>
        <w:rPr>
          <w:rFonts w:ascii="Arial" w:cs="Arial" w:eastAsia="Arial" w:hAnsi="Arial"/>
          <w:sz w:val="17"/>
          <w:szCs w:val="17"/>
          <w:color w:val="auto"/>
        </w:rPr>
        <w:t>incurred loss model and is applicable to the measurement of credit losses on financial assets measured at amortized cost. In February 2020, the FASB issued ASU No. 2020-02 and delayed the effective date of Topic 326 until fiscal year beginning after December 15, 2022. The new standard is effective for the Company beginning January 1, 2023. Early adoption is permitted. The Company is currently evaluating the effects of the adoption of this guidance on its consolidated financial statements and related disclosures.</w:t>
      </w:r>
    </w:p>
    <w:p>
      <w:pPr>
        <w:spacing w:after="0" w:line="131" w:lineRule="exact"/>
        <w:rPr>
          <w:sz w:val="20"/>
          <w:szCs w:val="20"/>
          <w:color w:val="auto"/>
        </w:rPr>
      </w:pPr>
    </w:p>
    <w:p>
      <w:pPr>
        <w:ind w:left="560" w:right="120"/>
        <w:spacing w:after="0"/>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consolidated financial statements.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New Accounting Pronouncements Recently Adopted</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(Topic 230): Restricted Cash, which requires that restricted cash and cash equivalents be included as components of total cash and cash equivalents as presented on the statement of cash flows. ASU 2016-18 was effective for fiscal years beginning after December 15, 2018, and a retrospective transition method is required. The Company adopted this guidance on January 1, 2019. The adoption of this guidance did not have a material impact on the Company’s consolidated financial statements.</w:t>
      </w:r>
    </w:p>
    <w:p>
      <w:pPr>
        <w:spacing w:after="0" w:line="130" w:lineRule="exact"/>
        <w:rPr>
          <w:sz w:val="20"/>
          <w:szCs w:val="20"/>
          <w:color w:val="auto"/>
        </w:rPr>
      </w:pPr>
    </w:p>
    <w:p>
      <w:pPr>
        <w:ind w:left="560" w:right="80"/>
        <w:spacing w:after="0" w:line="237"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(Topic 480): Accounting for Certain Financial Instruments with Down Round Features. ASU No. 2017-11 provides guidance that eliminates the requirement to consider “down round” features when determining whether certain financial instruments or embedded features are indexed to an entity’s stock and need to be classified as liabilities. ASU 2017-11 provides for entities to recognize the effect of a down round feature only when it is triggered and then as a dividend and a reduction to income available to common stockholders in basic earnings per share. The Company adopted this guidance on January 1, 2019. The adoption of this guidance did not have a material impact on the Company’s consolidated financial statements.</w:t>
      </w:r>
    </w:p>
    <w:p>
      <w:pPr>
        <w:spacing w:after="0" w:line="334"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175"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 xml:space="preserve">The fair value of the Company’s financial assets and liabilities are determined in accordance with the fair value hierarchy established in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31"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 Observable inputs, such as quoted prices in active markets</w:t>
      </w:r>
    </w:p>
    <w:p>
      <w:pPr>
        <w:spacing w:after="0" w:line="155" w:lineRule="exact"/>
        <w:rPr>
          <w:rFonts w:ascii="Arial" w:cs="Arial" w:eastAsia="Arial" w:hAnsi="Arial"/>
          <w:sz w:val="17"/>
          <w:szCs w:val="17"/>
          <w:b w:val="1"/>
          <w:bCs w:val="1"/>
          <w:color w:val="auto"/>
        </w:rPr>
      </w:pPr>
    </w:p>
    <w:p>
      <w:pPr>
        <w:ind w:left="560" w:right="200"/>
        <w:spacing w:after="0" w:line="248" w:lineRule="auto"/>
        <w:rPr>
          <w:rFonts w:ascii="Arial" w:cs="Arial" w:eastAsia="Arial" w:hAnsi="Arial"/>
          <w:sz w:val="17"/>
          <w:szCs w:val="17"/>
          <w:b w:val="1"/>
          <w:bCs w:val="1"/>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 Inputs, other than the quoted prices in active markets, which are observable either directly or indirectly such as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or liabilities; quoted prices in markets that are not active; or other inputs that are observable or can be corroborated by observable market data for substantially the full term of the instrument’s anticipated life</w:t>
      </w:r>
    </w:p>
    <w:p>
      <w:pPr>
        <w:spacing w:after="0" w:line="12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 Unobservable inputs in which there is little or no market data, which require the reporting entity to develop its own assumptions</w:t>
      </w:r>
    </w:p>
    <w:p>
      <w:pPr>
        <w:spacing w:after="0" w:line="179" w:lineRule="exact"/>
        <w:rPr>
          <w:sz w:val="20"/>
          <w:szCs w:val="20"/>
          <w:color w:val="auto"/>
        </w:rPr>
      </w:pPr>
    </w:p>
    <w:p>
      <w:pPr>
        <w:ind w:left="560" w:right="120"/>
        <w:spacing w:after="0" w:line="238" w:lineRule="auto"/>
        <w:rPr>
          <w:sz w:val="20"/>
          <w:szCs w:val="20"/>
          <w:color w:val="auto"/>
        </w:rPr>
      </w:pPr>
      <w:r>
        <w:rPr>
          <w:rFonts w:ascii="Arial" w:cs="Arial" w:eastAsia="Arial" w:hAnsi="Arial"/>
          <w:sz w:val="18"/>
          <w:szCs w:val="18"/>
          <w:color w:val="auto"/>
        </w:rPr>
        <w:t>The Company measures its Series B convertible preferred shares warrant liability and term loan compound derivative liability at fair value on a recurring basis and these are classified as Level 3 liabilities. The fair value of the Series B preferred shares warrant liability was determined using an option-pricing model. The Company calculated the fair value of the term loan compound derivative liability by computing the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right="300"/>
        <w:spacing w:after="0"/>
        <w:rPr>
          <w:sz w:val="20"/>
          <w:szCs w:val="20"/>
          <w:color w:val="auto"/>
        </w:rPr>
      </w:pPr>
      <w:r>
        <w:rPr>
          <w:rFonts w:ascii="Arial" w:cs="Arial" w:eastAsia="Arial" w:hAnsi="Arial"/>
          <w:sz w:val="18"/>
          <w:szCs w:val="18"/>
          <w:color w:val="auto"/>
        </w:rPr>
        <w:t>difference between the fair value of the term loan with the compound derivative using the “with and without” method under the income approach, and the fair value of the term loan without the compound derivative. The valuation methodology and underlying assumptions are discussed further in Note 4.</w:t>
      </w:r>
    </w:p>
    <w:p>
      <w:pPr>
        <w:spacing w:after="0" w:line="143" w:lineRule="exact"/>
        <w:rPr>
          <w:sz w:val="20"/>
          <w:szCs w:val="20"/>
          <w:color w:val="auto"/>
        </w:rPr>
      </w:pPr>
    </w:p>
    <w:p>
      <w:pPr>
        <w:ind w:left="560" w:right="260"/>
        <w:spacing w:after="0" w:line="243" w:lineRule="auto"/>
        <w:rPr>
          <w:sz w:val="20"/>
          <w:szCs w:val="20"/>
          <w:color w:val="auto"/>
        </w:rPr>
      </w:pPr>
      <w:r>
        <w:rPr>
          <w:rFonts w:ascii="Arial" w:cs="Arial" w:eastAsia="Arial" w:hAnsi="Arial"/>
          <w:sz w:val="17"/>
          <w:szCs w:val="17"/>
          <w:color w:val="auto"/>
        </w:rPr>
        <w:t>The following table sets forth the Company’s financial liabilities that are measured at fair value on a recurring basis by level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AS OF DECEMBER 31, 2019</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6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3"/>
                <w:szCs w:val="13"/>
                <w:color w:val="auto"/>
              </w:rPr>
            </w:pPr>
          </w:p>
        </w:tc>
        <w:tc>
          <w:tcPr>
            <w:tcW w:w="7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7280" w:type="dxa"/>
            <w:vAlign w:val="bottom"/>
            <w:tcBorders>
              <w:top w:val="single" w:sz="8" w:color="CCEEFF"/>
            </w:tcBorders>
            <w:gridSpan w:val="3"/>
            <w:shd w:val="clear" w:color="auto" w:fill="CCEEFF"/>
          </w:tcPr>
          <w:p>
            <w:pPr>
              <w:spacing w:after="0" w:line="169" w:lineRule="exact"/>
              <w:rPr>
                <w:sz w:val="20"/>
                <w:szCs w:val="20"/>
                <w:color w:val="auto"/>
              </w:rPr>
            </w:pPr>
            <w:r>
              <w:rPr>
                <w:rFonts w:ascii="Arial" w:cs="Arial" w:eastAsia="Arial" w:hAnsi="Arial"/>
                <w:sz w:val="17"/>
                <w:szCs w:val="17"/>
                <w:color w:val="auto"/>
              </w:rPr>
              <w:t>Financial liabilities</w:t>
            </w:r>
          </w:p>
        </w:tc>
        <w:tc>
          <w:tcPr>
            <w:tcW w:w="3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2"/>
        </w:trPr>
        <w:tc>
          <w:tcPr>
            <w:tcW w:w="7280" w:type="dxa"/>
            <w:vAlign w:val="bottom"/>
            <w:gridSpan w:val="3"/>
          </w:tcPr>
          <w:p>
            <w:pPr>
              <w:ind w:left="260"/>
              <w:spacing w:after="0" w:line="162" w:lineRule="exact"/>
              <w:rPr>
                <w:sz w:val="20"/>
                <w:szCs w:val="20"/>
                <w:color w:val="auto"/>
              </w:rPr>
            </w:pPr>
            <w:r>
              <w:rPr>
                <w:rFonts w:ascii="Arial" w:cs="Arial" w:eastAsia="Arial" w:hAnsi="Arial"/>
                <w:sz w:val="17"/>
                <w:szCs w:val="17"/>
                <w:color w:val="auto"/>
              </w:rPr>
              <w:t>Long term liabilities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
        </w:trPr>
        <w:tc>
          <w:tcPr>
            <w:tcW w:w="2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2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Compound derivative liability</w:t>
            </w:r>
          </w:p>
        </w:tc>
        <w:tc>
          <w:tcPr>
            <w:tcW w:w="300" w:type="dxa"/>
            <w:vAlign w:val="bottom"/>
            <w:shd w:val="clear" w:color="auto" w:fill="CCEEFF"/>
          </w:tcPr>
          <w:p>
            <w:pPr>
              <w:jc w:val="right"/>
              <w:ind w:right="119"/>
              <w:spacing w:after="0" w:line="189" w:lineRule="exact"/>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51</w:t>
            </w:r>
          </w:p>
        </w:tc>
        <w:tc>
          <w:tcPr>
            <w:tcW w:w="46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205"/>
        </w:trPr>
        <w:tc>
          <w:tcPr>
            <w:tcW w:w="7280" w:type="dxa"/>
            <w:vAlign w:val="bottom"/>
            <w:gridSpan w:val="3"/>
          </w:tcPr>
          <w:p>
            <w:pPr>
              <w:ind w:left="260"/>
              <w:spacing w:after="0"/>
              <w:rPr>
                <w:sz w:val="20"/>
                <w:szCs w:val="20"/>
                <w:color w:val="auto"/>
              </w:rPr>
            </w:pPr>
            <w:r>
              <w:rPr>
                <w:rFonts w:ascii="Arial" w:cs="Arial" w:eastAsia="Arial" w:hAnsi="Arial"/>
                <w:sz w:val="17"/>
                <w:szCs w:val="17"/>
                <w:color w:val="auto"/>
              </w:rPr>
              <w:t>Warrant liability</w:t>
            </w:r>
          </w:p>
        </w:tc>
        <w:tc>
          <w:tcPr>
            <w:tcW w:w="300" w:type="dxa"/>
            <w:vAlign w:val="bottom"/>
          </w:tcPr>
          <w:p>
            <w:pPr>
              <w:jc w:val="right"/>
              <w:ind w:right="119"/>
              <w:spacing w:after="0"/>
              <w:rPr>
                <w:sz w:val="20"/>
                <w:szCs w:val="20"/>
                <w:color w:val="auto"/>
              </w:rPr>
            </w:pPr>
            <w:r>
              <w:rPr>
                <w:rFonts w:ascii="Arial" w:cs="Arial" w:eastAsia="Arial" w:hAnsi="Arial"/>
                <w:sz w:val="17"/>
                <w:szCs w:val="17"/>
                <w:color w:val="auto"/>
                <w:w w:val="84"/>
              </w:rPr>
              <w:t>$</w:t>
            </w: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361</w:t>
            </w:r>
          </w:p>
        </w:tc>
        <w:tc>
          <w:tcPr>
            <w:tcW w:w="46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5" w:lineRule="exact"/>
        <w:rPr>
          <w:sz w:val="20"/>
          <w:szCs w:val="20"/>
          <w:color w:val="auto"/>
        </w:rPr>
      </w:pPr>
    </w:p>
    <w:p>
      <w:pPr>
        <w:ind w:left="560" w:right="720"/>
        <w:spacing w:after="0" w:line="246" w:lineRule="auto"/>
        <w:rPr>
          <w:sz w:val="20"/>
          <w:szCs w:val="20"/>
          <w:color w:val="auto"/>
        </w:rPr>
      </w:pPr>
      <w:r>
        <w:rPr>
          <w:rFonts w:ascii="Arial" w:cs="Arial" w:eastAsia="Arial" w:hAnsi="Arial"/>
          <w:sz w:val="18"/>
          <w:szCs w:val="18"/>
          <w:color w:val="auto"/>
        </w:rPr>
        <w:t>The following tables are a reconciliation of all financial liabilities measured at fair value using Level 3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COMPOUND</w:t>
            </w:r>
          </w:p>
        </w:tc>
      </w:tr>
      <w:tr>
        <w:trPr>
          <w:trHeight w:val="162"/>
        </w:trPr>
        <w:tc>
          <w:tcPr>
            <w:tcW w:w="4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WARRANT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DERIVATIVE</w:t>
            </w:r>
          </w:p>
        </w:tc>
      </w:tr>
      <w:tr>
        <w:trPr>
          <w:trHeight w:val="175"/>
        </w:trPr>
        <w:tc>
          <w:tcPr>
            <w:tcW w:w="44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LIABILITY</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r>
      <w:tr>
        <w:trPr>
          <w:trHeight w:val="183"/>
        </w:trPr>
        <w:tc>
          <w:tcPr>
            <w:tcW w:w="440" w:type="dxa"/>
            <w:vAlign w:val="bottom"/>
          </w:tcPr>
          <w:p>
            <w:pPr>
              <w:spacing w:after="0"/>
              <w:rPr>
                <w:sz w:val="15"/>
                <w:szCs w:val="15"/>
                <w:color w:val="auto"/>
              </w:rPr>
            </w:pPr>
          </w:p>
        </w:tc>
        <w:tc>
          <w:tcPr>
            <w:tcW w:w="8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December 31, 2018</w:t>
            </w: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CCEEFF"/>
            </w:tcBorders>
            <w:gridSpan w:val="2"/>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8200" w:type="dxa"/>
            <w:vAlign w:val="bottom"/>
          </w:tcPr>
          <w:p>
            <w:pPr>
              <w:spacing w:after="0" w:line="189" w:lineRule="exact"/>
              <w:rPr>
                <w:sz w:val="20"/>
                <w:szCs w:val="20"/>
                <w:color w:val="auto"/>
              </w:rPr>
            </w:pPr>
            <w:r>
              <w:rPr>
                <w:rFonts w:ascii="Arial" w:cs="Arial" w:eastAsia="Arial" w:hAnsi="Arial"/>
                <w:sz w:val="17"/>
                <w:szCs w:val="17"/>
                <w:color w:val="auto"/>
              </w:rPr>
              <w:t>Additions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361</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189"/>
        </w:trPr>
        <w:tc>
          <w:tcPr>
            <w:tcW w:w="440" w:type="dxa"/>
            <w:vAlign w:val="bottom"/>
          </w:tcPr>
          <w:p>
            <w:pPr>
              <w:spacing w:after="0"/>
              <w:rPr>
                <w:sz w:val="16"/>
                <w:szCs w:val="16"/>
                <w:color w:val="auto"/>
              </w:rPr>
            </w:pPr>
          </w:p>
        </w:tc>
        <w:tc>
          <w:tcPr>
            <w:tcW w:w="8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Change in market value</w:t>
            </w:r>
          </w:p>
        </w:tc>
        <w:tc>
          <w:tcPr>
            <w:tcW w:w="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196"/>
        </w:trPr>
        <w:tc>
          <w:tcPr>
            <w:tcW w:w="8640" w:type="dxa"/>
            <w:vAlign w:val="bottom"/>
            <w:gridSpan w:val="2"/>
          </w:tcPr>
          <w:p>
            <w:pPr>
              <w:ind w:left="440"/>
              <w:spacing w:after="0"/>
              <w:rPr>
                <w:sz w:val="20"/>
                <w:szCs w:val="20"/>
                <w:color w:val="auto"/>
              </w:rPr>
            </w:pPr>
            <w:r>
              <w:rPr>
                <w:rFonts w:ascii="Arial" w:cs="Arial" w:eastAsia="Arial" w:hAnsi="Arial"/>
                <w:sz w:val="17"/>
                <w:szCs w:val="17"/>
                <w:color w:val="auto"/>
              </w:rPr>
              <w:t>Balance as of December 31, 2019</w:t>
            </w:r>
          </w:p>
        </w:tc>
        <w:tc>
          <w:tcPr>
            <w:tcW w:w="280" w:type="dxa"/>
            <w:vAlign w:val="bottom"/>
            <w:gridSpan w:val="2"/>
          </w:tcPr>
          <w:p>
            <w:pPr>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361</w:t>
            </w:r>
          </w:p>
        </w:tc>
        <w:tc>
          <w:tcPr>
            <w:tcW w:w="6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51</w:t>
            </w:r>
          </w:p>
        </w:tc>
      </w:tr>
      <w:tr>
        <w:trPr>
          <w:trHeight w:val="20"/>
        </w:trPr>
        <w:tc>
          <w:tcPr>
            <w:tcW w:w="4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210" w:lineRule="exact"/>
        <w:rPr>
          <w:sz w:val="20"/>
          <w:szCs w:val="20"/>
          <w:color w:val="auto"/>
        </w:rPr>
      </w:pPr>
    </w:p>
    <w:p>
      <w:pPr>
        <w:ind w:left="560" w:right="420"/>
        <w:spacing w:after="0" w:line="238" w:lineRule="auto"/>
        <w:rPr>
          <w:sz w:val="20"/>
          <w:szCs w:val="20"/>
          <w:color w:val="auto"/>
        </w:rPr>
      </w:pPr>
      <w:r>
        <w:rPr>
          <w:rFonts w:ascii="Arial" w:cs="Arial" w:eastAsia="Arial" w:hAnsi="Arial"/>
          <w:sz w:val="17"/>
          <w:szCs w:val="17"/>
          <w:color w:val="auto"/>
        </w:rPr>
        <w:t>The Company did not have any outstanding financial liabilities to be re-measured on a recurring basis as of December 31, 2018. There were no transfers of assets or liabilities between the fair value measurement levels during the years ended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80"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The estimated fair value of the Term Loan was $5.7 million as of December 31, 2019 which approximates the carrying value and is classified as Level 3. The Company utilized a market yield analysis and income approach to estimate a value for the Term Loan. The key valuation assumptions used consist of the discount rate of 14.5% and the probability of the occurrence of a change in control event of 10.0%.</w:t>
      </w:r>
    </w:p>
    <w:p>
      <w:pPr>
        <w:spacing w:after="0" w:line="210"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Property and Equipment, Net</w:t>
      </w:r>
    </w:p>
    <w:p>
      <w:pPr>
        <w:spacing w:after="0" w:line="79" w:lineRule="exact"/>
        <w:rPr>
          <w:rFonts w:ascii="Arial" w:cs="Arial" w:eastAsia="Arial" w:hAnsi="Arial"/>
          <w:sz w:val="17"/>
          <w:szCs w:val="17"/>
          <w:b w:val="1"/>
          <w:bCs w:val="1"/>
          <w:color w:val="auto"/>
        </w:rPr>
      </w:pPr>
    </w:p>
    <w:p>
      <w:pPr>
        <w:ind w:left="560" w:right="74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 following table presents the components of property and equipment, net as of December 31, 2018 and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4300" w:type="dxa"/>
            <w:vAlign w:val="bottom"/>
            <w:tcBorders>
              <w:bottom w:val="single" w:sz="8" w:color="CCEEFF"/>
            </w:tcBorders>
          </w:tcPr>
          <w:p>
            <w:pPr>
              <w:spacing w:after="0"/>
              <w:rPr>
                <w:sz w:val="13"/>
                <w:szCs w:val="13"/>
                <w:color w:val="auto"/>
              </w:rPr>
            </w:pPr>
          </w:p>
        </w:tc>
        <w:tc>
          <w:tcPr>
            <w:tcW w:w="44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hardware and software</w:t>
            </w:r>
          </w:p>
        </w:tc>
        <w:tc>
          <w:tcPr>
            <w:tcW w:w="44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117</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300" w:type="dxa"/>
            <w:vAlign w:val="bottom"/>
          </w:tcPr>
          <w:p>
            <w:pPr>
              <w:spacing w:after="0" w:line="189" w:lineRule="exact"/>
              <w:rPr>
                <w:sz w:val="20"/>
                <w:szCs w:val="20"/>
                <w:color w:val="auto"/>
              </w:rPr>
            </w:pPr>
            <w:r>
              <w:rPr>
                <w:rFonts w:ascii="Arial" w:cs="Arial" w:eastAsia="Arial" w:hAnsi="Arial"/>
                <w:sz w:val="17"/>
                <w:szCs w:val="17"/>
                <w:color w:val="auto"/>
              </w:rPr>
              <w:t>Machinery and equipment</w:t>
            </w: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1,374</w:t>
            </w: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1,698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4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30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429</w:t>
            </w: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Construction in progress</w:t>
            </w:r>
          </w:p>
        </w:tc>
        <w:tc>
          <w:tcPr>
            <w:tcW w:w="4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1,976</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2,309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accumulated depreciation and amortization</w:t>
            </w:r>
          </w:p>
        </w:tc>
        <w:tc>
          <w:tcPr>
            <w:tcW w:w="4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(1,020)</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6"/>
              </w:rPr>
              <w:t>(1,449)</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property and equipment, net</w:t>
            </w:r>
          </w:p>
        </w:tc>
        <w:tc>
          <w:tcPr>
            <w:tcW w:w="4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2"/>
            <w:vMerge w:val="continue"/>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956</w:t>
            </w:r>
          </w:p>
        </w:tc>
        <w:tc>
          <w:tcPr>
            <w:tcW w:w="5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2"/>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560" w:type="dxa"/>
            <w:vAlign w:val="bottom"/>
            <w:gridSpan w:val="2"/>
          </w:tcPr>
          <w:p>
            <w:pPr>
              <w:jc w:val="right"/>
              <w:ind w:right="3535"/>
              <w:spacing w:after="0"/>
              <w:rPr>
                <w:sz w:val="20"/>
                <w:szCs w:val="20"/>
                <w:color w:val="auto"/>
              </w:rPr>
            </w:pPr>
            <w:r>
              <w:rPr>
                <w:rFonts w:ascii="Arial" w:cs="Arial" w:eastAsia="Arial" w:hAnsi="Arial"/>
                <w:sz w:val="16"/>
                <w:szCs w:val="16"/>
                <w:color w:val="auto"/>
              </w:rPr>
              <w:t>F-17</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expense was approximately $0.4 million for both years ended December 31, 2018 and December 31, 2019.</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93" w:lineRule="exact"/>
        <w:rPr>
          <w:sz w:val="20"/>
          <w:szCs w:val="20"/>
          <w:color w:val="auto"/>
        </w:rPr>
      </w:pPr>
    </w:p>
    <w:p>
      <w:pPr>
        <w:ind w:left="560" w:right="100"/>
        <w:spacing w:after="0" w:line="243" w:lineRule="auto"/>
        <w:rPr>
          <w:sz w:val="20"/>
          <w:szCs w:val="20"/>
          <w:color w:val="auto"/>
        </w:rPr>
      </w:pPr>
      <w:r>
        <w:rPr>
          <w:rFonts w:ascii="Arial" w:cs="Arial" w:eastAsia="Arial" w:hAnsi="Arial"/>
          <w:sz w:val="17"/>
          <w:szCs w:val="17"/>
          <w:color w:val="auto"/>
        </w:rPr>
        <w:t>The following table presents the components of accrued expenses and other current liabilities as of December 31, 2018 and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40" w:type="dxa"/>
            <w:vAlign w:val="bottom"/>
          </w:tcPr>
          <w:p>
            <w:pPr>
              <w:spacing w:after="0"/>
              <w:rPr>
                <w:sz w:val="13"/>
                <w:szCs w:val="13"/>
                <w:color w:val="auto"/>
              </w:rPr>
            </w:pPr>
          </w:p>
        </w:tc>
        <w:tc>
          <w:tcPr>
            <w:tcW w:w="90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r>
      <w:tr>
        <w:trPr>
          <w:trHeight w:val="183"/>
        </w:trPr>
        <w:tc>
          <w:tcPr>
            <w:tcW w:w="440" w:type="dxa"/>
            <w:vAlign w:val="bottom"/>
          </w:tcPr>
          <w:p>
            <w:pPr>
              <w:spacing w:after="0"/>
              <w:rPr>
                <w:sz w:val="15"/>
                <w:szCs w:val="15"/>
                <w:color w:val="auto"/>
              </w:rPr>
            </w:pPr>
          </w:p>
        </w:tc>
        <w:tc>
          <w:tcPr>
            <w:tcW w:w="9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Payroll and related liabilities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60</w:t>
            </w: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Accrued bonus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745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864</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legal costs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98</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122</w:t>
            </w: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Early exercise liability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105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27</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166</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163</w:t>
            </w: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9080" w:type="dxa"/>
            <w:vAlign w:val="bottom"/>
          </w:tcPr>
          <w:p>
            <w:pPr>
              <w:ind w:left="260"/>
              <w:spacing w:after="0"/>
              <w:rPr>
                <w:sz w:val="20"/>
                <w:szCs w:val="20"/>
                <w:color w:val="auto"/>
              </w:rPr>
            </w:pPr>
            <w:r>
              <w:rPr>
                <w:rFonts w:ascii="Arial" w:cs="Arial" w:eastAsia="Arial" w:hAnsi="Arial"/>
                <w:sz w:val="17"/>
                <w:szCs w:val="17"/>
                <w:color w:val="auto"/>
              </w:rPr>
              <w:t>Total accrued expenses and other current liabilities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1,176</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1,236</w:t>
            </w:r>
          </w:p>
        </w:tc>
      </w:tr>
      <w:tr>
        <w:trPr>
          <w:trHeight w:val="20"/>
        </w:trPr>
        <w:tc>
          <w:tcPr>
            <w:tcW w:w="4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379"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TERM LOAN</w:t>
      </w:r>
    </w:p>
    <w:p>
      <w:pPr>
        <w:spacing w:after="0" w:line="175" w:lineRule="exact"/>
        <w:rPr>
          <w:rFonts w:ascii="Arial" w:cs="Arial" w:eastAsia="Arial" w:hAnsi="Arial"/>
          <w:sz w:val="17"/>
          <w:szCs w:val="17"/>
          <w:b w:val="1"/>
          <w:bCs w:val="1"/>
          <w:color w:val="auto"/>
        </w:rPr>
      </w:pPr>
    </w:p>
    <w:p>
      <w:pPr>
        <w:ind w:left="560" w:right="2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The Company and its wholly-owned subsidiaries Alexo Therapeutics International and Sirpant Therapeutics, as borrowers, entered into a Loan and Security Agreement, or the Loan Agreement, dated as of December 20, 2019, with Silicon Valley Bank, or SVB, and WestRiver Innovation Lending Fund VIII, LP, or WestRiver, collectively as lenders, and SVB, as administrative agent and collateral agent. 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49" w:lineRule="exact"/>
        <w:rPr>
          <w:rFonts w:ascii="Arial" w:cs="Arial" w:eastAsia="Arial" w:hAnsi="Arial"/>
          <w:sz w:val="17"/>
          <w:szCs w:val="17"/>
          <w:b w:val="1"/>
          <w:bCs w:val="1"/>
          <w:color w:val="auto"/>
        </w:rPr>
      </w:pPr>
    </w:p>
    <w:p>
      <w:pPr>
        <w:ind w:left="560" w:right="10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4.75% as of December 31, 2019. Therefore, the rate applicable to the Company as of December 31, 2019 was 7.0%.</w:t>
      </w:r>
    </w:p>
    <w:p>
      <w:pPr>
        <w:spacing w:after="0" w:line="147" w:lineRule="exact"/>
        <w:rPr>
          <w:rFonts w:ascii="Arial" w:cs="Arial" w:eastAsia="Arial" w:hAnsi="Arial"/>
          <w:sz w:val="17"/>
          <w:szCs w:val="17"/>
          <w:b w:val="1"/>
          <w:bCs w:val="1"/>
          <w:color w:val="auto"/>
        </w:rPr>
      </w:pPr>
    </w:p>
    <w:p>
      <w:pPr>
        <w:ind w:left="560" w:right="14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47" w:lineRule="exact"/>
        <w:rPr>
          <w:rFonts w:ascii="Arial" w:cs="Arial" w:eastAsia="Arial" w:hAnsi="Arial"/>
          <w:sz w:val="17"/>
          <w:szCs w:val="17"/>
          <w:b w:val="1"/>
          <w:bCs w:val="1"/>
          <w:color w:val="auto"/>
        </w:rPr>
      </w:pPr>
    </w:p>
    <w:p>
      <w:pPr>
        <w:ind w:left="560" w:right="16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In conjunction with the Loan Agreement, the Company has issued warrants to purchase 61,292 Series B convertible preferred shares to SVB and WestRiver with an exercise price of $9.4972 per share. The estimated fair value of the warrants at the date of issuance was approximately $0.4 million. The fair value of the Series B convertible preferred shares warrant liability was determined using the Black-Scholes option-pricing model. As of December 20, 2019, the various assumptions used in the option-pricing model were time to liquidity of 2.0 to 10.0 years, volatility of 85.5%, risk-free rate of 1.7% and equity value of $345.0 million. It was recorded at its fair value at inception and is being re-measured at each financial reporting period with any changes in fair value being recognized as a component of other income (expense), net in the accompanying consolidated statement of operations and comprehensive loss. As of December 31, 2019, the fair value of the Series B</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900"/>
        <w:spacing w:after="0" w:line="243" w:lineRule="auto"/>
        <w:rPr>
          <w:sz w:val="20"/>
          <w:szCs w:val="20"/>
          <w:color w:val="auto"/>
        </w:rPr>
      </w:pPr>
      <w:r>
        <w:rPr>
          <w:rFonts w:ascii="Arial" w:cs="Arial" w:eastAsia="Arial" w:hAnsi="Arial"/>
          <w:sz w:val="17"/>
          <w:szCs w:val="17"/>
          <w:color w:val="auto"/>
        </w:rPr>
        <w:t>convertible preferred shares warrant liability was approximately $0.4 million and was recorded in other long-term liabilities on the consolidated balance sheet.</w:t>
      </w:r>
    </w:p>
    <w:p>
      <w:pPr>
        <w:spacing w:after="0" w:line="144" w:lineRule="exact"/>
        <w:rPr>
          <w:sz w:val="20"/>
          <w:szCs w:val="20"/>
          <w:color w:val="auto"/>
        </w:rPr>
      </w:pPr>
    </w:p>
    <w:p>
      <w:pPr>
        <w:ind w:left="560" w:right="100"/>
        <w:spacing w:after="0" w:line="243" w:lineRule="auto"/>
        <w:rPr>
          <w:sz w:val="20"/>
          <w:szCs w:val="20"/>
          <w:color w:val="auto"/>
        </w:rPr>
      </w:pPr>
      <w:r>
        <w:rPr>
          <w:rFonts w:ascii="Arial" w:cs="Arial" w:eastAsia="Arial" w:hAnsi="Arial"/>
          <w:sz w:val="17"/>
          <w:szCs w:val="17"/>
          <w:color w:val="auto"/>
        </w:rPr>
        <w:t>The loans under the Loan Agreement are secured by substantially all of the Company’s assets, except the Company’s intellectual property, which is the subject of a negative pledge.</w:t>
      </w:r>
    </w:p>
    <w:p>
      <w:pPr>
        <w:spacing w:after="0" w:line="144" w:lineRule="exact"/>
        <w:rPr>
          <w:sz w:val="20"/>
          <w:szCs w:val="20"/>
          <w:color w:val="auto"/>
        </w:rPr>
      </w:pPr>
    </w:p>
    <w:p>
      <w:pPr>
        <w:ind w:left="560" w:right="20"/>
        <w:spacing w:after="0" w:line="233"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 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income (expense), net in the consolidated statement of operations and comprehensive loss. As of December 31, 2019, the fair value of the compound derivative liability was approximately $51,000 and was recorded in other long-term liabilities on the consolidated balance sheet.</w:t>
      </w:r>
    </w:p>
    <w:p>
      <w:pPr>
        <w:spacing w:after="0" w:line="154" w:lineRule="exact"/>
        <w:rPr>
          <w:sz w:val="20"/>
          <w:szCs w:val="20"/>
          <w:color w:val="auto"/>
        </w:rPr>
      </w:pPr>
    </w:p>
    <w:p>
      <w:pPr>
        <w:ind w:left="560" w:right="160"/>
        <w:spacing w:after="0" w:line="238" w:lineRule="auto"/>
        <w:rPr>
          <w:sz w:val="20"/>
          <w:szCs w:val="20"/>
          <w:color w:val="auto"/>
        </w:rPr>
      </w:pPr>
      <w:r>
        <w:rPr>
          <w:rFonts w:ascii="Arial" w:cs="Arial" w:eastAsia="Arial" w:hAnsi="Arial"/>
          <w:sz w:val="17"/>
          <w:szCs w:val="17"/>
          <w:color w:val="auto"/>
        </w:rPr>
        <w:t>The fair value of Series B convertible preferred shares warrant liability at issuance, fair value of embedded derivatives which were bifurcated and other debt issuance costs have been treated as debt discounts on the Company’s consolidated balance sheet and together with the final payment are being amortized to interest expense throughout the life of the term loan using the effective interest rate method.</w:t>
      </w:r>
    </w:p>
    <w:p>
      <w:pPr>
        <w:spacing w:after="0" w:line="147" w:lineRule="exact"/>
        <w:rPr>
          <w:sz w:val="20"/>
          <w:szCs w:val="20"/>
          <w:color w:val="auto"/>
        </w:rPr>
      </w:pPr>
    </w:p>
    <w:p>
      <w:pPr>
        <w:jc w:val="both"/>
        <w:ind w:left="560" w:right="500"/>
        <w:spacing w:after="0" w:line="238" w:lineRule="auto"/>
        <w:rPr>
          <w:sz w:val="20"/>
          <w:szCs w:val="20"/>
          <w:color w:val="auto"/>
        </w:rPr>
      </w:pPr>
      <w:r>
        <w:rPr>
          <w:rFonts w:ascii="Arial" w:cs="Arial" w:eastAsia="Arial" w:hAnsi="Arial"/>
          <w:sz w:val="17"/>
          <w:szCs w:val="17"/>
          <w:color w:val="auto"/>
        </w:rPr>
        <w:t>As of December 31, 2019, there were unamortized issuance costs and debt discounts of $0.6 million which were recorded as a direct deduction from the term loan on the consolidated balance sheet. Interest expense for the term loan was immaterial for the year ended December 31, 2019. For future payments of principal and interest as of December 31,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36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2020</w:t>
            </w:r>
          </w:p>
        </w:tc>
        <w:tc>
          <w:tcPr>
            <w:tcW w:w="78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w w:val="98"/>
              </w:rPr>
              <w:t>3,743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78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3,007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7,151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amount representing interest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53"/>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amount representing final payment</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45"/>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Long-term debt, gross</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6,000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unamortized issuance costs and debt discounts</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45"/>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current portion</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Long-term portion of term loan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5,421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7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STRUCTURE</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Ordinary Shares</w:t>
      </w:r>
    </w:p>
    <w:p>
      <w:pPr>
        <w:spacing w:after="0" w:line="79" w:lineRule="exact"/>
        <w:rPr>
          <w:rFonts w:ascii="Arial" w:cs="Arial" w:eastAsia="Arial" w:hAnsi="Arial"/>
          <w:sz w:val="17"/>
          <w:szCs w:val="17"/>
          <w:b w:val="1"/>
          <w:bCs w:val="1"/>
          <w:color w:val="auto"/>
        </w:rPr>
      </w:pPr>
    </w:p>
    <w:p>
      <w:pPr>
        <w:ind w:left="560" w:right="6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In 2015, in conjunction with the founding of the Company, 2,127,460 ordinary shares were issued to the founders, or Founder Stock, at a price of $0.033 per share. These shares are subject to repurchase at the option of the Company at a price that is the lower of (i) the original issuance price or (ii) the fair market value as of the date of repurchase, in the event that the founders’ employment is terminated either voluntarily or involuntarily. Such repurchase rights generally lapse over a period of four years from the date the Founder Stock was issued.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320"/>
        <w:spacing w:after="0" w:line="243" w:lineRule="auto"/>
        <w:rPr>
          <w:sz w:val="20"/>
          <w:szCs w:val="20"/>
          <w:color w:val="auto"/>
        </w:rPr>
      </w:pPr>
      <w:r>
        <w:rPr>
          <w:rFonts w:ascii="Arial" w:cs="Arial" w:eastAsia="Arial" w:hAnsi="Arial"/>
          <w:sz w:val="17"/>
          <w:szCs w:val="17"/>
          <w:color w:val="auto"/>
        </w:rPr>
        <w:t>As of December 31, 2018, and December 31, 2019, there were 113,864 and no founder shares subject to repurchase, respectively. See Note 6 for Founder Stock activity for the years ended December 31, 2018 and December 31, 2019.</w:t>
      </w:r>
    </w:p>
    <w:p>
      <w:pPr>
        <w:spacing w:after="0" w:line="144" w:lineRule="exact"/>
        <w:rPr>
          <w:sz w:val="20"/>
          <w:szCs w:val="20"/>
          <w:color w:val="auto"/>
        </w:rPr>
      </w:pPr>
    </w:p>
    <w:p>
      <w:pPr>
        <w:ind w:left="560" w:right="280"/>
        <w:spacing w:after="0" w:line="243" w:lineRule="auto"/>
        <w:rPr>
          <w:sz w:val="20"/>
          <w:szCs w:val="20"/>
          <w:color w:val="auto"/>
        </w:rPr>
      </w:pPr>
      <w:r>
        <w:rPr>
          <w:rFonts w:ascii="Arial" w:cs="Arial" w:eastAsia="Arial" w:hAnsi="Arial"/>
          <w:sz w:val="17"/>
          <w:szCs w:val="17"/>
          <w:color w:val="auto"/>
        </w:rPr>
        <w:t>Ordinary shares reserved for future issuance, on an as if converted basis, as of December 31, 2018 and December 31, 2019,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14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shares, issued and outstanding</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10,313,808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Share options, issued and outstanding</w:t>
            </w:r>
          </w:p>
        </w:tc>
        <w:tc>
          <w:tcPr>
            <w:tcW w:w="11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864,819</w:t>
            </w:r>
          </w:p>
        </w:tc>
        <w:tc>
          <w:tcPr>
            <w:tcW w:w="140" w:type="dxa"/>
            <w:vAlign w:val="bottom"/>
          </w:tcPr>
          <w:p>
            <w:pPr>
              <w:spacing w:after="0"/>
              <w:rPr>
                <w:sz w:val="16"/>
                <w:szCs w:val="16"/>
                <w:color w:val="auto"/>
              </w:rPr>
            </w:pP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1,183,745</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 options, authorized for future issuance</w:t>
            </w:r>
          </w:p>
        </w:tc>
        <w:tc>
          <w:tcPr>
            <w:tcW w:w="11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73,015</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566,900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Warrants, issued and outstanding</w:t>
            </w:r>
          </w:p>
        </w:tc>
        <w:tc>
          <w:tcPr>
            <w:tcW w:w="124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61,292</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authorized for future issuance</w:t>
            </w:r>
          </w:p>
        </w:tc>
        <w:tc>
          <w:tcPr>
            <w:tcW w:w="12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30,646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14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10,234,915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12,156,391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80" w:lineRule="exact"/>
        <w:rPr>
          <w:sz w:val="20"/>
          <w:szCs w:val="20"/>
          <w:color w:val="auto"/>
        </w:rPr>
      </w:pPr>
    </w:p>
    <w:p>
      <w:pPr>
        <w:ind w:left="560" w:right="280"/>
        <w:spacing w:after="0" w:line="243" w:lineRule="auto"/>
        <w:rPr>
          <w:sz w:val="20"/>
          <w:szCs w:val="20"/>
          <w:color w:val="auto"/>
        </w:rPr>
      </w:pPr>
      <w:r>
        <w:rPr>
          <w:rFonts w:ascii="Arial" w:cs="Arial" w:eastAsia="Arial" w:hAnsi="Arial"/>
          <w:sz w:val="17"/>
          <w:szCs w:val="17"/>
          <w:color w:val="auto"/>
        </w:rPr>
        <w:t>As of December 31, 2018 and December 31, 2019, the Company’s convertible preferred shares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9,421,633</w:t>
            </w:r>
          </w:p>
        </w:tc>
        <w:tc>
          <w:tcPr>
            <w:tcW w:w="36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9,421,633</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9,421,633</w:t>
            </w:r>
          </w:p>
        </w:tc>
        <w:tc>
          <w:tcPr>
            <w:tcW w:w="36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2,145,370</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1,016,727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10,014</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2"/>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11,567,003</w:t>
            </w:r>
          </w:p>
        </w:tc>
        <w:tc>
          <w:tcPr>
            <w:tcW w:w="3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10,313,808</w:t>
            </w:r>
          </w:p>
        </w:tc>
        <w:tc>
          <w:tcPr>
            <w:tcW w:w="4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70,363</w:t>
            </w:r>
          </w:p>
        </w:tc>
        <w:tc>
          <w:tcPr>
            <w:tcW w:w="4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83,585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7" w:lineRule="exact"/>
        <w:rPr>
          <w:sz w:val="20"/>
          <w:szCs w:val="20"/>
          <w:color w:val="auto"/>
        </w:rPr>
      </w:pPr>
    </w:p>
    <w:p>
      <w:pPr>
        <w:ind w:left="980" w:hanging="432"/>
        <w:spacing w:after="0"/>
        <w:tabs>
          <w:tab w:leader="none" w:pos="9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Net proceeds are gross proceeds from the offerings net of issuance costs.</w:t>
      </w:r>
    </w:p>
    <w:p>
      <w:pPr>
        <w:spacing w:after="0" w:line="156" w:lineRule="exact"/>
        <w:rPr>
          <w:sz w:val="20"/>
          <w:szCs w:val="20"/>
          <w:color w:val="auto"/>
        </w:rPr>
      </w:pPr>
    </w:p>
    <w:p>
      <w:pPr>
        <w:ind w:left="560" w:right="60"/>
        <w:spacing w:after="0" w:line="234" w:lineRule="auto"/>
        <w:rPr>
          <w:sz w:val="20"/>
          <w:szCs w:val="20"/>
          <w:color w:val="auto"/>
        </w:rPr>
      </w:pPr>
      <w:r>
        <w:rPr>
          <w:rFonts w:ascii="Arial" w:cs="Arial" w:eastAsia="Arial" w:hAnsi="Arial"/>
          <w:sz w:val="17"/>
          <w:szCs w:val="17"/>
          <w:color w:val="auto"/>
        </w:rPr>
        <w:t>In May 2015, the Company entered into a Series A Preferred Share Purchase Agreement, or Series A Agreement, with certain existing investors, employees, and new investors, or collectively, the Series A Investors. Under the terms of the Series A Agreement, the Company authorized the sale and issuance of up to 5,470,625 of the Company’s Series A convertible preferred shares. The purchase and sale of the Series A convertible preferred shares could be sold in one or more closings in accordance with the Series A Agreement. In March 2017, the Company entered into a convertible promissory note purchase agreement, or the Note Purchase Agreement, with certain existing investors, employees and new investors, or collectively, the Promissory Note Investors. Under the terms of the Note Purchase Agreement, the Company issued promissory notes in the aggregate principal amount of $25.0 million that are convertible into Series A convertible preferred shares to the Promissory Note Investors.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40"/>
        <w:spacing w:after="0" w:line="236" w:lineRule="auto"/>
        <w:rPr>
          <w:sz w:val="20"/>
          <w:szCs w:val="20"/>
          <w:color w:val="auto"/>
        </w:rPr>
      </w:pPr>
      <w:r>
        <w:rPr>
          <w:rFonts w:ascii="Arial" w:cs="Arial" w:eastAsia="Arial" w:hAnsi="Arial"/>
          <w:sz w:val="17"/>
          <w:szCs w:val="17"/>
          <w:color w:val="auto"/>
        </w:rPr>
        <w:t>In 2015 and 2016, the Company issued a total of 5,470,612 Series A convertible preferred shares to investors at $6.58 per share for cash proceeds of $34.8 million. In September 2017, the Company issued a total of 3,826,469 Series A convertible preferred shares for cash proceeds of $1.2 million pursuant to the conversion of outstanding convertible promissory notes. The gross proceeds of $37.2 million were reduced by total issuance costs incurred of $0.2 million.</w:t>
      </w:r>
    </w:p>
    <w:p>
      <w:pPr>
        <w:spacing w:after="0" w:line="149"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In May 2019, the Company entered into a Series B Preferred Share Purchase Agreement or the Series B Agreement, with certain existing investors, employees and new investors, or collectively, the Series B Investors. Under the terms of the Series B Agreement, the Company authorized the sale and issuance of up to 2,145,370 of the Company’s Series B convertible preferred shares at a purchase price of $9.4972 per share. The purchase and sale of the Series B convertible preferred shares could be sold in one or more closings in accordance with the Series B Agreement. As of December 31, 2019, a total of 1,016,727 shares had been purchased with gross proceeds of $9.6 million. The gross proceeds of $9.6 million were reduced by total issuance costs incurred of $0.2 million.</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rights, preferences and privileges of the Series A and Series B convertible preferred shares, or Preferred Shares, as of</w:t>
      </w:r>
    </w:p>
    <w:p>
      <w:pPr>
        <w:ind w:left="560"/>
        <w:spacing w:after="0"/>
        <w:rPr>
          <w:sz w:val="20"/>
          <w:szCs w:val="20"/>
          <w:color w:val="auto"/>
        </w:rPr>
      </w:pPr>
      <w:r>
        <w:rPr>
          <w:rFonts w:ascii="Arial" w:cs="Arial" w:eastAsia="Arial" w:hAnsi="Arial"/>
          <w:sz w:val="18"/>
          <w:szCs w:val="18"/>
          <w:color w:val="auto"/>
        </w:rPr>
        <w:t>December 31, 2019 are as follows:</w:t>
      </w:r>
    </w:p>
    <w:p>
      <w:pPr>
        <w:spacing w:after="0" w:line="134" w:lineRule="exact"/>
        <w:rPr>
          <w:sz w:val="20"/>
          <w:szCs w:val="20"/>
          <w:color w:val="auto"/>
        </w:rPr>
      </w:pPr>
    </w:p>
    <w:p>
      <w:pPr>
        <w:ind w:left="560" w:right="20"/>
        <w:spacing w:after="0" w:line="236" w:lineRule="auto"/>
        <w:rPr>
          <w:sz w:val="20"/>
          <w:szCs w:val="20"/>
          <w:color w:val="auto"/>
        </w:rPr>
      </w:pPr>
      <w:r>
        <w:rPr>
          <w:rFonts w:ascii="Arial" w:cs="Arial" w:eastAsia="Arial" w:hAnsi="Arial"/>
          <w:sz w:val="17"/>
          <w:szCs w:val="17"/>
          <w:i w:val="1"/>
          <w:iCs w:val="1"/>
          <w:color w:val="auto"/>
        </w:rPr>
        <w:t xml:space="preserve">Dividend Provisions </w:t>
      </w:r>
      <w:r>
        <w:rPr>
          <w:rFonts w:ascii="Arial" w:cs="Arial" w:eastAsia="Arial" w:hAnsi="Arial"/>
          <w:sz w:val="17"/>
          <w:szCs w:val="17"/>
          <w:color w:val="auto"/>
        </w:rPr>
        <w:t>– Cumulative dividends of 6.0% per annum of the original issue price for each Preferred Shares series are payable</w:t>
      </w:r>
      <w:r>
        <w:rPr>
          <w:rFonts w:ascii="Arial" w:cs="Arial" w:eastAsia="Arial" w:hAnsi="Arial"/>
          <w:sz w:val="17"/>
          <w:szCs w:val="17"/>
          <w:i w:val="1"/>
          <w:iCs w:val="1"/>
          <w:color w:val="auto"/>
        </w:rPr>
        <w:t xml:space="preserve"> </w:t>
      </w:r>
      <w:r>
        <w:rPr>
          <w:rFonts w:ascii="Arial" w:cs="Arial" w:eastAsia="Arial" w:hAnsi="Arial"/>
          <w:sz w:val="17"/>
          <w:szCs w:val="17"/>
          <w:color w:val="auto"/>
        </w:rPr>
        <w:t>when and as declared by the Company’s Board of Directors, or Board of Directors, upon the occurrence of a liquidation event or upon a contingent mandatory conversion of the Preferred Shares in connection with a qualified initial public offering as described below. The Series A original issue price is $6.58, and the Series B original issue price is $9.4972. The original issue price is subject to adjustment in the event of any share dividend, share split, combination, consolidation or other recapitalization. The dividends shall accrue from day to day from the issue date of such Preferred Shares whether or not declared and shall be cumulative. In addition, the Preferred Shares participate on an as-converted basis in any dividends payable to ordinary shareholders. Cumulative dividends for the years ended December 31, 2018 and December 31, 2019 was $8.7 million and $12.7 million, respectively. No dividends have been declared or paid since the issuance of convertible preferred shares through December 31, 2019.</w:t>
      </w:r>
    </w:p>
    <w:p>
      <w:pPr>
        <w:spacing w:after="0" w:line="133" w:lineRule="exact"/>
        <w:rPr>
          <w:sz w:val="20"/>
          <w:szCs w:val="20"/>
          <w:color w:val="auto"/>
        </w:rPr>
      </w:pPr>
    </w:p>
    <w:p>
      <w:pPr>
        <w:ind w:left="560" w:right="20"/>
        <w:spacing w:after="0" w:line="237"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liquidation, dissolution or winding up of the Company, merger or a reduction of capital through the sale or lease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all or substantial part of the business of the Company, before any distribution or payment shall be made to the holders of ordinary shares, the holders of Preferred Shares shall be entitled to be paid an amount in cash equal to the original issue price (subject to adjustment in the event of any share dividend, share split, combination, or other recapitalization) plus all dividends accumulated and unpaid thereon. First, the holders of the Preferred Shares are paid in full the amounts specified in the immediately preceding sentence on a pro-rata basis; then, after holders of the Preferred Shares are satisfied, any remaining amounts shall be distributed on a pro-rata basis to the holders of the Preferred Shares (calculated on an as converted basis) and the ordinary shares.</w:t>
      </w:r>
    </w:p>
    <w:p>
      <w:pPr>
        <w:spacing w:after="0" w:line="134" w:lineRule="exact"/>
        <w:rPr>
          <w:sz w:val="20"/>
          <w:szCs w:val="20"/>
          <w:color w:val="auto"/>
        </w:rPr>
      </w:pPr>
    </w:p>
    <w:p>
      <w:pPr>
        <w:ind w:left="560" w:right="20"/>
        <w:spacing w:after="0" w:line="237"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 On any matter presented to the shareholders of the Company, each holder of outstanding Preferred Shares shall be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cast the number of votes equal to the number of whole ordinary shares into which the Preferred Shares held by such holder are convertible. The holders of Preferred Shares shall vote together with the holders of ordinary shares as a single class. Additionally, as long as at least 1,367,656 Preferred Shares are outstanding (subject to adjustment in the event of any recapitalizations), the Company must receive approval of holders of at least two-third of the voting rights then held in aggregate by the holders of the Preferred Shares in issue on an as-converted basis in order to effect certain corporate actions. Two investors have contractual rights to elect three out of five board members.</w:t>
      </w:r>
    </w:p>
    <w:p>
      <w:pPr>
        <w:spacing w:after="0" w:line="134" w:lineRule="exact"/>
        <w:rPr>
          <w:sz w:val="20"/>
          <w:szCs w:val="20"/>
          <w:color w:val="auto"/>
        </w:rPr>
      </w:pPr>
    </w:p>
    <w:p>
      <w:pPr>
        <w:ind w:left="560"/>
        <w:spacing w:after="0" w:line="238" w:lineRule="auto"/>
        <w:rPr>
          <w:sz w:val="20"/>
          <w:szCs w:val="20"/>
          <w:color w:val="auto"/>
        </w:rPr>
      </w:pPr>
      <w:r>
        <w:rPr>
          <w:rFonts w:ascii="Arial" w:cs="Arial" w:eastAsia="Arial" w:hAnsi="Arial"/>
          <w:sz w:val="17"/>
          <w:szCs w:val="17"/>
          <w:i w:val="1"/>
          <w:iCs w:val="1"/>
          <w:color w:val="auto"/>
        </w:rPr>
        <w:t xml:space="preserve">Optional Conversion at Holders’ Option </w:t>
      </w:r>
      <w:r>
        <w:rPr>
          <w:rFonts w:ascii="Arial" w:cs="Arial" w:eastAsia="Arial" w:hAnsi="Arial"/>
          <w:sz w:val="17"/>
          <w:szCs w:val="17"/>
          <w:color w:val="auto"/>
        </w:rPr>
        <w:t>– Each share of Preferred Shares shall be convertible, at the option of the holder, at any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into such number of fully paid and non-assessable ordinary shares as is determined by dividing the original issue price by the Applicable Conversion Price. The Applicable Conversion Price for each series of Preferred Shares is currently equal to the original issue price for such series. Upon conversion, the holders shall also receive only declared but as yet unpaid dividends. Note only holders of Preferred Shares receive declared and unpaid dividends; preferred shareholders who chose to convert prior to the declaration of such dividends are not entitled to receive accumulated dividends.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560"/>
        <w:spacing w:after="0" w:line="236" w:lineRule="auto"/>
        <w:rPr>
          <w:sz w:val="20"/>
          <w:szCs w:val="20"/>
          <w:color w:val="auto"/>
        </w:rPr>
      </w:pPr>
      <w:r>
        <w:rPr>
          <w:rFonts w:ascii="Arial" w:cs="Arial" w:eastAsia="Arial" w:hAnsi="Arial"/>
          <w:sz w:val="17"/>
          <w:szCs w:val="17"/>
          <w:i w:val="1"/>
          <w:iCs w:val="1"/>
          <w:color w:val="auto"/>
        </w:rPr>
        <w:t xml:space="preserve">Contingent Mandatory Conversion </w:t>
      </w:r>
      <w:r>
        <w:rPr>
          <w:rFonts w:ascii="Arial" w:cs="Arial" w:eastAsia="Arial" w:hAnsi="Arial"/>
          <w:sz w:val="17"/>
          <w:szCs w:val="17"/>
          <w:color w:val="auto"/>
        </w:rPr>
        <w:t>– Upon the closing of the first underwritten public offering pursuant to an effective registration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Act of 1933, as amended, or pursuant to a corresponding securities issuance application process in any non-U.S. jurisdiction, covering the offer and sale of the Company’s ordinary shares in which (i) the per share price is not less than $15.19540 (as adjusted for any share dividends, combinations, splits, recapitalizations and the like with respect to such shares after the filing date hereof) and (ii) the gross cash proceeds to the Company (before underwriting discounts, commissions and fees) are at least $50.0 million then all outstanding Preferred Shares shall automatically be converted into a number of ordinary shares, at a conversion rate determined by dividing the applicable original price of such Preferred Shares by the applicable conversion price of such Preferred Shares. Upon conversion, the holders shall also receive any cumulative and unpaid dividends, whether or not declared as conversion ordinary shares at the same conversion rate for the applicable Preferred Shares.</w:t>
      </w:r>
    </w:p>
    <w:p>
      <w:pPr>
        <w:spacing w:after="0" w:line="133" w:lineRule="exact"/>
        <w:rPr>
          <w:sz w:val="20"/>
          <w:szCs w:val="20"/>
          <w:color w:val="auto"/>
        </w:rPr>
      </w:pPr>
    </w:p>
    <w:p>
      <w:pPr>
        <w:jc w:val="both"/>
        <w:ind w:left="560" w:right="200"/>
        <w:spacing w:after="0" w:line="248" w:lineRule="auto"/>
        <w:rPr>
          <w:sz w:val="20"/>
          <w:szCs w:val="20"/>
          <w:color w:val="auto"/>
        </w:rPr>
      </w:pPr>
      <w:r>
        <w:rPr>
          <w:rFonts w:ascii="Arial" w:cs="Arial" w:eastAsia="Arial" w:hAnsi="Arial"/>
          <w:sz w:val="17"/>
          <w:szCs w:val="17"/>
          <w:i w:val="1"/>
          <w:iCs w:val="1"/>
          <w:color w:val="auto"/>
        </w:rPr>
        <w:t xml:space="preserve">Down-Round Antidilution Protection </w:t>
      </w:r>
      <w:r>
        <w:rPr>
          <w:rFonts w:ascii="Arial" w:cs="Arial" w:eastAsia="Arial" w:hAnsi="Arial"/>
          <w:sz w:val="17"/>
          <w:szCs w:val="17"/>
          <w:color w:val="auto"/>
        </w:rPr>
        <w:t>– In the event the Company issues its ordinary shares without consideration or for consideration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that is less than the conversion price in effect for each series of the Preferred Shares, then the conversion price for that series shall be reduced in order to increase the number of ordinary shares into which such series of Preferred Shares is convertible to.</w:t>
      </w:r>
    </w:p>
    <w:p>
      <w:pPr>
        <w:spacing w:after="0" w:line="324"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175" w:lineRule="exact"/>
        <w:rPr>
          <w:rFonts w:ascii="Arial" w:cs="Arial" w:eastAsia="Arial" w:hAnsi="Arial"/>
          <w:sz w:val="17"/>
          <w:szCs w:val="17"/>
          <w:b w:val="1"/>
          <w:bCs w:val="1"/>
          <w:color w:val="auto"/>
        </w:rPr>
      </w:pPr>
    </w:p>
    <w:p>
      <w:pPr>
        <w:ind w:left="560" w:right="6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During 2015, the Company adopted an equity compensation plan, the 2015 Share Award Scheme, or the Plan, for eligible employees, officers, directors, advisors, and consultants. The Plan provides for the grant of incentive and non-statutory share options. The Plan permits the Company to grant up to 2,143,117 ordinary share awards, including incentive share options, non-statutory share options, conditional share awards and restricted share awards.</w:t>
      </w:r>
    </w:p>
    <w:p>
      <w:pPr>
        <w:spacing w:after="0" w:line="149" w:lineRule="exact"/>
        <w:rPr>
          <w:rFonts w:ascii="Arial" w:cs="Arial" w:eastAsia="Arial" w:hAnsi="Arial"/>
          <w:sz w:val="17"/>
          <w:szCs w:val="17"/>
          <w:b w:val="1"/>
          <w:bCs w:val="1"/>
          <w:color w:val="auto"/>
        </w:rPr>
      </w:pPr>
    </w:p>
    <w:p>
      <w:pPr>
        <w:ind w:left="560" w:right="10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terms of the share option agreements, including vesting requirements, are determined by the Board of Directors, subject to the provisions of the Plan. The term of the options generally expire, upon the earliest of (i) termination of continuous service for cause (ii) three months after the termination of continuous service for reasons other than cause, death or disability (iii) twelve months after the termination of continuous service due to disability (iv) eighteen months after the employee’s death if the employee died during the period of continuous service (v) expiration date in the grant notice or (vi) the day before the tenth anniversary of the date of grant. The exercise price of the incentive share options must equal at least the fair market value of the share on the date of grant.</w:t>
      </w:r>
    </w:p>
    <w:p>
      <w:pPr>
        <w:spacing w:after="0" w:line="147" w:lineRule="exact"/>
        <w:rPr>
          <w:rFonts w:ascii="Arial" w:cs="Arial" w:eastAsia="Arial" w:hAnsi="Arial"/>
          <w:sz w:val="17"/>
          <w:szCs w:val="17"/>
          <w:b w:val="1"/>
          <w:bCs w:val="1"/>
          <w:color w:val="auto"/>
        </w:rPr>
      </w:pPr>
    </w:p>
    <w:p>
      <w:pPr>
        <w:ind w:left="560" w:right="2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All awards that are canceled, forfeited or expired are returned to the Plan and are available for grant in conjunction with the issuance of new awards. Share options granted are exercisable over a maximum term of 10 years from the date of grant and generally vest over an agreed service period, usually four years.</w:t>
      </w:r>
    </w:p>
    <w:p>
      <w:pPr>
        <w:spacing w:after="0" w:line="147" w:lineRule="exact"/>
        <w:rPr>
          <w:rFonts w:ascii="Arial" w:cs="Arial" w:eastAsia="Arial" w:hAnsi="Arial"/>
          <w:sz w:val="17"/>
          <w:szCs w:val="17"/>
          <w:b w:val="1"/>
          <w:bCs w:val="1"/>
          <w:color w:val="auto"/>
        </w:rPr>
      </w:pPr>
    </w:p>
    <w:p>
      <w:pPr>
        <w:ind w:left="560" w:right="2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Certain share options granted under the Plan provide option holders the right to elect to exercise unvested options in exchange for ordinary shares. Such unvested ordinary shares are subject to a repurchase right held by the Company at the original issuance price in the event the optionee’s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2018 and December 31, 2019, there were 116,048 and 34,024 unvested early exercised options and the liability related to these unvested options was $0.1 million and approximately $27,000, respectively.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(a) Option Activity</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summary of share option activity under the Plan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NUMBER</w:t>
            </w: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REMAINING</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AVAILABLE</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OF</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4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TO GRANT</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11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PRICE</w:t>
            </w: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LIFE (YEARS)</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VALUE</w:t>
            </w:r>
          </w:p>
        </w:tc>
      </w:tr>
      <w:tr>
        <w:trPr>
          <w:trHeight w:val="156"/>
        </w:trPr>
        <w:tc>
          <w:tcPr>
            <w:tcW w:w="4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2017</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218,322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719,527</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0.99</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9.18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44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00" w:type="dxa"/>
            <w:vAlign w:val="bottom"/>
            <w:gridSpan w:val="2"/>
          </w:tcPr>
          <w:p>
            <w:pPr>
              <w:jc w:val="right"/>
              <w:ind w:right="440"/>
              <w:spacing w:after="0"/>
              <w:rPr>
                <w:sz w:val="20"/>
                <w:szCs w:val="20"/>
                <w:color w:val="auto"/>
              </w:rPr>
            </w:pPr>
            <w:r>
              <w:rPr>
                <w:rFonts w:ascii="Arial" w:cs="Arial" w:eastAsia="Arial" w:hAnsi="Arial"/>
                <w:sz w:val="16"/>
                <w:szCs w:val="16"/>
                <w:color w:val="auto"/>
              </w:rPr>
              <w:t>(187,186)</w:t>
            </w:r>
          </w:p>
        </w:tc>
        <w:tc>
          <w:tcPr>
            <w:tcW w:w="800" w:type="dxa"/>
            <w:vAlign w:val="bottom"/>
          </w:tcPr>
          <w:p>
            <w:pPr>
              <w:jc w:val="right"/>
              <w:spacing w:after="0"/>
              <w:rPr>
                <w:sz w:val="20"/>
                <w:szCs w:val="20"/>
                <w:color w:val="auto"/>
              </w:rPr>
            </w:pPr>
            <w:r>
              <w:rPr>
                <w:rFonts w:ascii="Arial" w:cs="Arial" w:eastAsia="Arial" w:hAnsi="Arial"/>
                <w:sz w:val="16"/>
                <w:szCs w:val="16"/>
                <w:color w:val="auto"/>
              </w:rPr>
              <w:t>187,186</w:t>
            </w:r>
          </w:p>
        </w:tc>
        <w:tc>
          <w:tcPr>
            <w:tcW w:w="5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1.85</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(6,914)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0.99</w:t>
            </w: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1300" w:type="dxa"/>
            <w:vAlign w:val="bottom"/>
            <w:gridSpan w:val="2"/>
          </w:tcPr>
          <w:p>
            <w:pPr>
              <w:jc w:val="right"/>
              <w:ind w:right="500"/>
              <w:spacing w:after="0"/>
              <w:rPr>
                <w:sz w:val="20"/>
                <w:szCs w:val="20"/>
                <w:color w:val="auto"/>
              </w:rPr>
            </w:pPr>
            <w:r>
              <w:rPr>
                <w:rFonts w:ascii="Arial" w:cs="Arial" w:eastAsia="Arial" w:hAnsi="Arial"/>
                <w:sz w:val="16"/>
                <w:szCs w:val="16"/>
                <w:color w:val="auto"/>
              </w:rPr>
              <w:t>34,980</w:t>
            </w:r>
          </w:p>
        </w:tc>
        <w:tc>
          <w:tcPr>
            <w:tcW w:w="1300" w:type="dxa"/>
            <w:vAlign w:val="bottom"/>
            <w:gridSpan w:val="2"/>
          </w:tcPr>
          <w:p>
            <w:pPr>
              <w:jc w:val="right"/>
              <w:ind w:right="460"/>
              <w:spacing w:after="0"/>
              <w:rPr>
                <w:sz w:val="20"/>
                <w:szCs w:val="20"/>
                <w:color w:val="auto"/>
              </w:rPr>
            </w:pPr>
            <w:r>
              <w:rPr>
                <w:rFonts w:ascii="Arial" w:cs="Arial" w:eastAsia="Arial" w:hAnsi="Arial"/>
                <w:sz w:val="16"/>
                <w:szCs w:val="16"/>
                <w:color w:val="auto"/>
              </w:rPr>
              <w:t>(34,980)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0.99</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repurchased</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6,899</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456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560" w:type="dxa"/>
            <w:vAlign w:val="bottom"/>
            <w:gridSpan w:val="2"/>
          </w:tcPr>
          <w:p>
            <w:pPr>
              <w:ind w:left="440"/>
              <w:spacing w:after="0"/>
              <w:rPr>
                <w:sz w:val="20"/>
                <w:szCs w:val="20"/>
                <w:color w:val="auto"/>
              </w:rPr>
            </w:pPr>
            <w:r>
              <w:rPr>
                <w:rFonts w:ascii="Arial" w:cs="Arial" w:eastAsia="Arial" w:hAnsi="Arial"/>
                <w:sz w:val="16"/>
                <w:szCs w:val="16"/>
                <w:color w:val="auto"/>
              </w:rPr>
              <w:t>Balance outstanding at December 31, 2018</w:t>
            </w:r>
          </w:p>
        </w:tc>
        <w:tc>
          <w:tcPr>
            <w:tcW w:w="1300" w:type="dxa"/>
            <w:vAlign w:val="bottom"/>
            <w:gridSpan w:val="2"/>
          </w:tcPr>
          <w:p>
            <w:pPr>
              <w:jc w:val="right"/>
              <w:ind w:right="500"/>
              <w:spacing w:after="0"/>
              <w:rPr>
                <w:sz w:val="20"/>
                <w:szCs w:val="20"/>
                <w:color w:val="auto"/>
              </w:rPr>
            </w:pPr>
            <w:r>
              <w:rPr>
                <w:rFonts w:ascii="Arial" w:cs="Arial" w:eastAsia="Arial" w:hAnsi="Arial"/>
                <w:sz w:val="16"/>
                <w:szCs w:val="16"/>
                <w:color w:val="auto"/>
              </w:rPr>
              <w:t>73,015</w:t>
            </w:r>
          </w:p>
        </w:tc>
        <w:tc>
          <w:tcPr>
            <w:tcW w:w="800" w:type="dxa"/>
            <w:vAlign w:val="bottom"/>
          </w:tcPr>
          <w:p>
            <w:pPr>
              <w:jc w:val="right"/>
              <w:spacing w:after="0"/>
              <w:rPr>
                <w:sz w:val="20"/>
                <w:szCs w:val="20"/>
                <w:color w:val="auto"/>
              </w:rPr>
            </w:pPr>
            <w:r>
              <w:rPr>
                <w:rFonts w:ascii="Arial" w:cs="Arial" w:eastAsia="Arial" w:hAnsi="Arial"/>
                <w:sz w:val="16"/>
                <w:szCs w:val="16"/>
                <w:color w:val="auto"/>
              </w:rPr>
              <w:t>864,819</w:t>
            </w:r>
          </w:p>
        </w:tc>
        <w:tc>
          <w:tcPr>
            <w:tcW w:w="5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1.17</w:t>
            </w:r>
          </w:p>
        </w:tc>
        <w:tc>
          <w:tcPr>
            <w:tcW w:w="1560" w:type="dxa"/>
            <w:vAlign w:val="bottom"/>
            <w:gridSpan w:val="2"/>
          </w:tcPr>
          <w:p>
            <w:pPr>
              <w:jc w:val="right"/>
              <w:ind w:right="460"/>
              <w:spacing w:after="0"/>
              <w:rPr>
                <w:sz w:val="20"/>
                <w:szCs w:val="20"/>
                <w:color w:val="auto"/>
              </w:rPr>
            </w:pPr>
            <w:r>
              <w:rPr>
                <w:rFonts w:ascii="Arial" w:cs="Arial" w:eastAsia="Arial" w:hAnsi="Arial"/>
                <w:sz w:val="16"/>
                <w:szCs w:val="16"/>
                <w:color w:val="auto"/>
              </w:rPr>
              <w:t>8.54</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582</w:t>
            </w: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Authorized</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818,010</w:t>
            </w: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00" w:type="dxa"/>
            <w:vAlign w:val="bottom"/>
            <w:gridSpan w:val="2"/>
          </w:tcPr>
          <w:p>
            <w:pPr>
              <w:jc w:val="right"/>
              <w:ind w:right="440"/>
              <w:spacing w:after="0"/>
              <w:rPr>
                <w:sz w:val="20"/>
                <w:szCs w:val="20"/>
                <w:color w:val="auto"/>
              </w:rPr>
            </w:pPr>
            <w:r>
              <w:rPr>
                <w:rFonts w:ascii="Arial" w:cs="Arial" w:eastAsia="Arial" w:hAnsi="Arial"/>
                <w:sz w:val="16"/>
                <w:szCs w:val="16"/>
                <w:color w:val="auto"/>
              </w:rPr>
              <w:t>(341,871)</w:t>
            </w:r>
          </w:p>
        </w:tc>
        <w:tc>
          <w:tcPr>
            <w:tcW w:w="800" w:type="dxa"/>
            <w:vAlign w:val="bottom"/>
          </w:tcPr>
          <w:p>
            <w:pPr>
              <w:jc w:val="right"/>
              <w:spacing w:after="0"/>
              <w:rPr>
                <w:sz w:val="20"/>
                <w:szCs w:val="20"/>
                <w:color w:val="auto"/>
              </w:rPr>
            </w:pPr>
            <w:r>
              <w:rPr>
                <w:rFonts w:ascii="Arial" w:cs="Arial" w:eastAsia="Arial" w:hAnsi="Arial"/>
                <w:sz w:val="16"/>
                <w:szCs w:val="16"/>
                <w:color w:val="auto"/>
              </w:rPr>
              <w:t>341,871</w:t>
            </w:r>
          </w:p>
        </w:tc>
        <w:tc>
          <w:tcPr>
            <w:tcW w:w="5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1.91</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(5,199)</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1.86</w:t>
            </w: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1300" w:type="dxa"/>
            <w:vAlign w:val="bottom"/>
            <w:gridSpan w:val="2"/>
          </w:tcPr>
          <w:p>
            <w:pPr>
              <w:jc w:val="right"/>
              <w:ind w:right="500"/>
              <w:spacing w:after="0"/>
              <w:rPr>
                <w:sz w:val="20"/>
                <w:szCs w:val="20"/>
                <w:color w:val="auto"/>
              </w:rPr>
            </w:pPr>
            <w:r>
              <w:rPr>
                <w:rFonts w:ascii="Arial" w:cs="Arial" w:eastAsia="Arial" w:hAnsi="Arial"/>
                <w:sz w:val="16"/>
                <w:szCs w:val="16"/>
                <w:color w:val="auto"/>
              </w:rPr>
              <w:t>17,746</w:t>
            </w:r>
          </w:p>
        </w:tc>
        <w:tc>
          <w:tcPr>
            <w:tcW w:w="1300" w:type="dxa"/>
            <w:vAlign w:val="bottom"/>
            <w:gridSpan w:val="2"/>
          </w:tcPr>
          <w:p>
            <w:pPr>
              <w:jc w:val="right"/>
              <w:ind w:right="460"/>
              <w:spacing w:after="0"/>
              <w:rPr>
                <w:sz w:val="20"/>
                <w:szCs w:val="20"/>
                <w:color w:val="auto"/>
              </w:rPr>
            </w:pPr>
            <w:r>
              <w:rPr>
                <w:rFonts w:ascii="Arial" w:cs="Arial" w:eastAsia="Arial" w:hAnsi="Arial"/>
                <w:sz w:val="16"/>
                <w:szCs w:val="16"/>
                <w:color w:val="auto"/>
              </w:rPr>
              <w:t>(17,746)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1.88</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7"/>
        </w:trPr>
        <w:tc>
          <w:tcPr>
            <w:tcW w:w="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2019</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566,900</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1,183,745</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1.37</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8.06</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638</w:t>
            </w:r>
          </w:p>
        </w:tc>
      </w:tr>
      <w:tr>
        <w:trPr>
          <w:trHeight w:val="20"/>
        </w:trPr>
        <w:tc>
          <w:tcPr>
            <w:tcW w:w="4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91"/>
        </w:trPr>
        <w:tc>
          <w:tcPr>
            <w:tcW w:w="4560" w:type="dxa"/>
            <w:vAlign w:val="bottom"/>
            <w:gridSpan w:val="2"/>
          </w:tcPr>
          <w:p>
            <w:pPr>
              <w:ind w:left="440"/>
              <w:spacing w:after="0"/>
              <w:rPr>
                <w:sz w:val="20"/>
                <w:szCs w:val="20"/>
                <w:color w:val="auto"/>
              </w:rPr>
            </w:pPr>
            <w:r>
              <w:rPr>
                <w:rFonts w:ascii="Arial" w:cs="Arial" w:eastAsia="Arial" w:hAnsi="Arial"/>
                <w:sz w:val="16"/>
                <w:szCs w:val="16"/>
                <w:color w:val="auto"/>
              </w:rPr>
              <w:t>Exercisable at December 31, 2019</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565,975</w:t>
            </w:r>
          </w:p>
        </w:tc>
        <w:tc>
          <w:tcPr>
            <w:tcW w:w="5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1.16</w:t>
            </w:r>
          </w:p>
        </w:tc>
        <w:tc>
          <w:tcPr>
            <w:tcW w:w="1560" w:type="dxa"/>
            <w:vAlign w:val="bottom"/>
            <w:gridSpan w:val="2"/>
          </w:tcPr>
          <w:p>
            <w:pPr>
              <w:jc w:val="right"/>
              <w:ind w:right="460"/>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424</w:t>
            </w:r>
          </w:p>
        </w:tc>
      </w:tr>
      <w:tr>
        <w:trPr>
          <w:trHeight w:val="20"/>
        </w:trPr>
        <w:tc>
          <w:tcPr>
            <w:tcW w:w="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As of December 31, 2019, there was unrecognized share-based compensation expense of $0.6 million, related to unvested share options which the Company expects to recognize over a weighted-average period of 2.7 years.</w:t>
      </w:r>
    </w:p>
    <w:p>
      <w:pPr>
        <w:spacing w:after="0" w:line="144" w:lineRule="exact"/>
        <w:rPr>
          <w:sz w:val="20"/>
          <w:szCs w:val="20"/>
          <w:color w:val="auto"/>
        </w:rPr>
      </w:pPr>
    </w:p>
    <w:p>
      <w:pPr>
        <w:ind w:left="560" w:right="240"/>
        <w:spacing w:after="0" w:line="236" w:lineRule="auto"/>
        <w:rPr>
          <w:sz w:val="20"/>
          <w:szCs w:val="20"/>
          <w:color w:val="auto"/>
        </w:rPr>
      </w:pPr>
      <w:r>
        <w:rPr>
          <w:rFonts w:ascii="Arial" w:cs="Arial" w:eastAsia="Arial" w:hAnsi="Arial"/>
          <w:sz w:val="17"/>
          <w:szCs w:val="17"/>
          <w:color w:val="auto"/>
        </w:rPr>
        <w:t>The aggregate intrinsic values of options outstanding and exercisable were calculated as the difference between the exercise price of the options and the estimated fair value of the Company’s ordinary shares as determined by the Board of Directors as of December 31, 2018 and December 31, 2019. The total intrinsic value of options exercised during the years ended December 31, 2018 and 2019 were immaterial.</w:t>
      </w:r>
    </w:p>
    <w:p>
      <w:pPr>
        <w:spacing w:after="0" w:line="149"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Compensation cost for share options granted is based on the grant-date fair value estimated and is recognized over the vesting period of the applicable option on a straight-line basis. The weighted-average grant-date fair value per share for share options granted during the years ended December 31, 2018 and December 31, 2019 was $1.14 and $1.27, respectively. The total fair value of options that vested during the years ended December 31, 2018 and December 31, 2019 was approximately $0.1 million and $0.3 million, respectively.</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Share-based compensation expense includes share options granted to employees and nonemployees and has been reported in the</w:t>
      </w:r>
    </w:p>
    <w:p>
      <w:pPr>
        <w:ind w:left="560"/>
        <w:spacing w:after="0"/>
        <w:rPr>
          <w:sz w:val="20"/>
          <w:szCs w:val="20"/>
          <w:color w:val="auto"/>
        </w:rPr>
      </w:pPr>
      <w:r>
        <w:rPr>
          <w:rFonts w:ascii="Arial" w:cs="Arial" w:eastAsia="Arial" w:hAnsi="Arial"/>
          <w:sz w:val="17"/>
          <w:szCs w:val="17"/>
          <w:color w:val="auto"/>
        </w:rPr>
        <w:t>Company’s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4020" w:type="dxa"/>
            <w:vAlign w:val="bottom"/>
            <w:tcBorders>
              <w:bottom w:val="single" w:sz="8" w:color="CCEEFF"/>
            </w:tcBorders>
          </w:tcPr>
          <w:p>
            <w:pPr>
              <w:spacing w:after="0"/>
              <w:rPr>
                <w:sz w:val="13"/>
                <w:szCs w:val="13"/>
                <w:color w:val="auto"/>
              </w:rPr>
            </w:pPr>
          </w:p>
        </w:tc>
        <w:tc>
          <w:tcPr>
            <w:tcW w:w="36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w:t>
            </w:r>
          </w:p>
        </w:tc>
        <w:tc>
          <w:tcPr>
            <w:tcW w:w="36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1"/>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195</w:t>
            </w: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99"/>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105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3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gridSpan w:val="2"/>
          </w:tcPr>
          <w:p>
            <w:pPr>
              <w:jc w:val="right"/>
              <w:ind w:right="860"/>
              <w:spacing w:after="0" w:line="189" w:lineRule="exact"/>
              <w:rPr>
                <w:sz w:val="20"/>
                <w:szCs w:val="20"/>
                <w:color w:val="auto"/>
              </w:rPr>
            </w:pPr>
            <w:r>
              <w:rPr>
                <w:rFonts w:ascii="Arial" w:cs="Arial" w:eastAsia="Arial" w:hAnsi="Arial"/>
                <w:sz w:val="17"/>
                <w:szCs w:val="17"/>
                <w:color w:val="auto"/>
              </w:rPr>
              <w:t>16</w:t>
            </w:r>
          </w:p>
        </w:tc>
        <w:tc>
          <w:tcPr>
            <w:tcW w:w="680" w:type="dxa"/>
            <w:vAlign w:val="bottom"/>
          </w:tcPr>
          <w:p>
            <w:pPr>
              <w:spacing w:after="0"/>
              <w:rPr>
                <w:sz w:val="16"/>
                <w:szCs w:val="16"/>
                <w:color w:val="auto"/>
              </w:rPr>
            </w:pPr>
          </w:p>
        </w:tc>
        <w:tc>
          <w:tcPr>
            <w:tcW w:w="3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60"/>
              <w:spacing w:after="0" w:line="189" w:lineRule="exact"/>
              <w:rPr>
                <w:sz w:val="20"/>
                <w:szCs w:val="20"/>
                <w:color w:val="auto"/>
              </w:rPr>
            </w:pPr>
            <w:r>
              <w:rPr>
                <w:rFonts w:ascii="Arial" w:cs="Arial" w:eastAsia="Arial" w:hAnsi="Arial"/>
                <w:sz w:val="17"/>
                <w:szCs w:val="17"/>
                <w:color w:val="auto"/>
              </w:rPr>
              <w:t>58</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8"/>
              </w:rPr>
              <w:t>159</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w:t>
            </w:r>
          </w:p>
        </w:tc>
        <w:tc>
          <w:tcPr>
            <w:tcW w:w="3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2"/>
            <w:vMerge w:val="continue"/>
          </w:tcPr>
          <w:p>
            <w:pPr>
              <w:spacing w:after="0"/>
              <w:rPr>
                <w:sz w:val="17"/>
                <w:szCs w:val="17"/>
                <w:color w:val="auto"/>
              </w:rPr>
            </w:pPr>
          </w:p>
        </w:tc>
        <w:tc>
          <w:tcPr>
            <w:tcW w:w="3680" w:type="dxa"/>
            <w:vAlign w:val="bottom"/>
          </w:tcPr>
          <w:p>
            <w:pPr>
              <w:spacing w:after="0"/>
              <w:rPr>
                <w:sz w:val="17"/>
                <w:szCs w:val="17"/>
                <w:color w:val="auto"/>
              </w:rPr>
            </w:pPr>
          </w:p>
        </w:tc>
        <w:tc>
          <w:tcPr>
            <w:tcW w:w="680" w:type="dxa"/>
            <w:vAlign w:val="bottom"/>
          </w:tcPr>
          <w:p>
            <w:pPr>
              <w:jc w:val="right"/>
              <w:ind w:right="501"/>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860"/>
              <w:spacing w:after="0"/>
              <w:rPr>
                <w:sz w:val="20"/>
                <w:szCs w:val="20"/>
                <w:color w:val="auto"/>
              </w:rPr>
            </w:pPr>
            <w:r>
              <w:rPr>
                <w:rFonts w:ascii="Arial" w:cs="Arial" w:eastAsia="Arial" w:hAnsi="Arial"/>
                <w:sz w:val="17"/>
                <w:szCs w:val="17"/>
                <w:color w:val="auto"/>
                <w:w w:val="98"/>
              </w:rPr>
              <w:t>269</w:t>
            </w:r>
          </w:p>
        </w:tc>
        <w:tc>
          <w:tcPr>
            <w:tcW w:w="680" w:type="dxa"/>
            <w:vAlign w:val="bottom"/>
          </w:tcPr>
          <w:p>
            <w:pPr>
              <w:jc w:val="right"/>
              <w:ind w:right="499"/>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297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4020" w:type="dxa"/>
            <w:vAlign w:val="bottom"/>
            <w:tcBorders>
              <w:bottom w:val="single" w:sz="8" w:color="auto"/>
            </w:tcBorders>
          </w:tcPr>
          <w:p>
            <w:pPr>
              <w:spacing w:after="0"/>
              <w:rPr>
                <w:sz w:val="11"/>
                <w:szCs w:val="11"/>
                <w:color w:val="auto"/>
              </w:rPr>
            </w:pPr>
          </w:p>
        </w:tc>
        <w:tc>
          <w:tcPr>
            <w:tcW w:w="4360" w:type="dxa"/>
            <w:vAlign w:val="bottom"/>
            <w:tcBorders>
              <w:bottom w:val="single" w:sz="8" w:color="auto"/>
            </w:tcBorders>
            <w:gridSpan w:val="2"/>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79"/>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60" w:type="dxa"/>
            <w:vAlign w:val="bottom"/>
            <w:gridSpan w:val="2"/>
          </w:tcPr>
          <w:p>
            <w:pPr>
              <w:jc w:val="right"/>
              <w:ind w:right="3061"/>
              <w:spacing w:after="0"/>
              <w:rPr>
                <w:sz w:val="20"/>
                <w:szCs w:val="20"/>
                <w:color w:val="auto"/>
              </w:rPr>
            </w:pPr>
            <w:r>
              <w:rPr>
                <w:rFonts w:ascii="Arial" w:cs="Arial" w:eastAsia="Arial" w:hAnsi="Arial"/>
                <w:sz w:val="16"/>
                <w:szCs w:val="16"/>
                <w:color w:val="auto"/>
              </w:rPr>
              <w:t>F-23</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The Company’s computation of share-based compensation expense for the years ended December 31, 2018 and December 31, 2019 is based on the fair value of ordinary shares of $1.85 and $1.91, respectively, and is adjusted for actual forfeitures as they occur. The fair value of each option grant during the years ended December 31, 2018 and December 31, 2019 was estimated on the date of grant using the Black-Scholes option-pricing model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30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5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gridSpan w:val="2"/>
          </w:tcPr>
          <w:p>
            <w:pPr>
              <w:jc w:val="right"/>
              <w:ind w:right="49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83"/>
        </w:trPr>
        <w:tc>
          <w:tcPr>
            <w:tcW w:w="7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term (in years)</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5.2</w:t>
            </w:r>
          </w:p>
        </w:tc>
        <w:tc>
          <w:tcPr>
            <w:tcW w:w="8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 6.0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4.4</w:t>
            </w:r>
          </w:p>
        </w:tc>
        <w:tc>
          <w:tcPr>
            <w:tcW w:w="14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6.0</w:t>
            </w: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2.6%</w:t>
            </w:r>
          </w:p>
        </w:tc>
        <w:tc>
          <w:tcPr>
            <w:tcW w:w="90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 3.0%</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140" w:type="dxa"/>
            <w:vAlign w:val="bottom"/>
          </w:tcPr>
          <w:p>
            <w:pPr>
              <w:jc w:val="center"/>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ind w:left="20"/>
              <w:spacing w:after="0" w:line="189" w:lineRule="exact"/>
              <w:rPr>
                <w:sz w:val="20"/>
                <w:szCs w:val="20"/>
                <w:color w:val="auto"/>
              </w:rPr>
            </w:pPr>
            <w:r>
              <w:rPr>
                <w:rFonts w:ascii="Arial" w:cs="Arial" w:eastAsia="Arial" w:hAnsi="Arial"/>
                <w:sz w:val="17"/>
                <w:szCs w:val="17"/>
                <w:color w:val="auto"/>
              </w:rPr>
              <w:t>2.1%</w:t>
            </w:r>
          </w:p>
        </w:tc>
      </w:tr>
      <w:tr>
        <w:trPr>
          <w:trHeight w:val="189"/>
        </w:trPr>
        <w:tc>
          <w:tcPr>
            <w:tcW w:w="7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dividend rate</w:t>
            </w:r>
          </w:p>
        </w:tc>
        <w:tc>
          <w:tcPr>
            <w:tcW w:w="6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r>
      <w:tr>
        <w:trPr>
          <w:trHeight w:val="205"/>
        </w:trPr>
        <w:tc>
          <w:tcPr>
            <w:tcW w:w="7500" w:type="dxa"/>
            <w:vAlign w:val="bottom"/>
          </w:tcPr>
          <w:p>
            <w:pPr>
              <w:spacing w:after="0"/>
              <w:rPr>
                <w:sz w:val="20"/>
                <w:szCs w:val="20"/>
                <w:color w:val="auto"/>
              </w:rPr>
            </w:pPr>
            <w:r>
              <w:rPr>
                <w:rFonts w:ascii="Arial" w:cs="Arial" w:eastAsia="Arial" w:hAnsi="Arial"/>
                <w:sz w:val="17"/>
                <w:szCs w:val="17"/>
                <w:color w:val="auto"/>
              </w:rPr>
              <w:t>Expected share price volatility</w:t>
            </w:r>
          </w:p>
        </w:tc>
        <w:tc>
          <w:tcPr>
            <w:tcW w:w="680" w:type="dxa"/>
            <w:vAlign w:val="bottom"/>
          </w:tcPr>
          <w:p>
            <w:pPr>
              <w:jc w:val="right"/>
              <w:spacing w:after="0"/>
              <w:rPr>
                <w:sz w:val="20"/>
                <w:szCs w:val="20"/>
                <w:color w:val="auto"/>
              </w:rPr>
            </w:pPr>
            <w:r>
              <w:rPr>
                <w:rFonts w:ascii="Arial" w:cs="Arial" w:eastAsia="Arial" w:hAnsi="Arial"/>
                <w:sz w:val="17"/>
                <w:szCs w:val="17"/>
                <w:color w:val="auto"/>
              </w:rPr>
              <w:t>66.5%</w:t>
            </w:r>
          </w:p>
        </w:tc>
        <w:tc>
          <w:tcPr>
            <w:tcW w:w="900" w:type="dxa"/>
            <w:vAlign w:val="bottom"/>
            <w:gridSpan w:val="2"/>
          </w:tcPr>
          <w:p>
            <w:pPr>
              <w:ind w:left="20"/>
              <w:spacing w:after="0"/>
              <w:rPr>
                <w:sz w:val="20"/>
                <w:szCs w:val="20"/>
                <w:color w:val="auto"/>
              </w:rPr>
            </w:pPr>
            <w:r>
              <w:rPr>
                <w:rFonts w:ascii="Arial" w:cs="Arial" w:eastAsia="Arial" w:hAnsi="Arial"/>
                <w:sz w:val="17"/>
                <w:szCs w:val="17"/>
                <w:color w:val="auto"/>
              </w:rPr>
              <w:t>– 68.7%</w:t>
            </w:r>
          </w:p>
        </w:tc>
        <w:tc>
          <w:tcPr>
            <w:tcW w:w="680" w:type="dxa"/>
            <w:vAlign w:val="bottom"/>
          </w:tcPr>
          <w:p>
            <w:pPr>
              <w:jc w:val="right"/>
              <w:spacing w:after="0"/>
              <w:rPr>
                <w:sz w:val="20"/>
                <w:szCs w:val="20"/>
                <w:color w:val="auto"/>
              </w:rPr>
            </w:pPr>
            <w:r>
              <w:rPr>
                <w:rFonts w:ascii="Arial" w:cs="Arial" w:eastAsia="Arial" w:hAnsi="Arial"/>
                <w:sz w:val="17"/>
                <w:szCs w:val="17"/>
                <w:color w:val="auto"/>
              </w:rPr>
              <w:t>75.2%</w:t>
            </w:r>
          </w:p>
        </w:tc>
        <w:tc>
          <w:tcPr>
            <w:tcW w:w="14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ind w:left="20"/>
              <w:spacing w:after="0"/>
              <w:rPr>
                <w:sz w:val="20"/>
                <w:szCs w:val="20"/>
                <w:color w:val="auto"/>
              </w:rPr>
            </w:pPr>
            <w:r>
              <w:rPr>
                <w:rFonts w:ascii="Arial" w:cs="Arial" w:eastAsia="Arial" w:hAnsi="Arial"/>
                <w:sz w:val="17"/>
                <w:szCs w:val="17"/>
                <w:color w:val="auto"/>
              </w:rPr>
              <w:t>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2" w:lineRule="exact"/>
        <w:rPr>
          <w:sz w:val="20"/>
          <w:szCs w:val="20"/>
          <w:color w:val="auto"/>
        </w:rPr>
      </w:pPr>
    </w:p>
    <w:p>
      <w:pPr>
        <w:ind w:left="560" w:right="80"/>
        <w:spacing w:after="0" w:line="243"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the options represents the average period the share options are expected to remain outstanding.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w:t>
      </w:r>
    </w:p>
    <w:p>
      <w:pPr>
        <w:spacing w:after="0" w:line="126" w:lineRule="exact"/>
        <w:rPr>
          <w:sz w:val="20"/>
          <w:szCs w:val="20"/>
          <w:color w:val="auto"/>
        </w:rPr>
      </w:pPr>
    </w:p>
    <w:p>
      <w:pPr>
        <w:ind w:left="560" w:right="1120"/>
        <w:spacing w:after="0" w:line="265"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yield of U.S. Treasury notes as of the grant date with terms</w:t>
      </w:r>
      <w:r>
        <w:rPr>
          <w:rFonts w:ascii="Arial" w:cs="Arial" w:eastAsia="Arial" w:hAnsi="Arial"/>
          <w:sz w:val="17"/>
          <w:szCs w:val="17"/>
          <w:i w:val="1"/>
          <w:iCs w:val="1"/>
          <w:color w:val="auto"/>
        </w:rPr>
        <w:t xml:space="preserve"> </w:t>
      </w:r>
      <w:r>
        <w:rPr>
          <w:rFonts w:ascii="Arial" w:cs="Arial" w:eastAsia="Arial" w:hAnsi="Arial"/>
          <w:sz w:val="17"/>
          <w:szCs w:val="17"/>
          <w:color w:val="auto"/>
        </w:rPr>
        <w:t>commensurate with the expected term of the option.</w:t>
      </w:r>
    </w:p>
    <w:p>
      <w:pPr>
        <w:spacing w:after="0" w:line="108" w:lineRule="exact"/>
        <w:rPr>
          <w:sz w:val="20"/>
          <w:szCs w:val="20"/>
          <w:color w:val="auto"/>
        </w:rPr>
      </w:pPr>
    </w:p>
    <w:p>
      <w:pPr>
        <w:ind w:left="560" w:right="440"/>
        <w:spacing w:after="0" w:line="265" w:lineRule="auto"/>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expected dividends assumption is based on the Company’s expectation of not paying dividends in the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future.</w:t>
      </w:r>
    </w:p>
    <w:p>
      <w:pPr>
        <w:spacing w:after="0" w:line="108" w:lineRule="exact"/>
        <w:rPr>
          <w:sz w:val="20"/>
          <w:szCs w:val="20"/>
          <w:color w:val="auto"/>
        </w:rPr>
      </w:pPr>
    </w:p>
    <w:p>
      <w:pPr>
        <w:ind w:left="560" w:right="120"/>
        <w:spacing w:after="0" w:line="243" w:lineRule="auto"/>
        <w:rPr>
          <w:sz w:val="20"/>
          <w:szCs w:val="20"/>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Since the Company is private and does not have any trading history for its ordinary shares, the expected volatility is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volatilities of the common shares of comparable publicly traded companies. The Company selected companies with comparable characteristics, including enterprise value, risk profiles, position within the industry, and with historical share price information sufficient to meet the expected life of the Company’s share-based awards.</w:t>
      </w:r>
    </w:p>
    <w:p>
      <w:pPr>
        <w:spacing w:after="0" w:line="126" w:lineRule="exact"/>
        <w:rPr>
          <w:sz w:val="20"/>
          <w:szCs w:val="20"/>
          <w:color w:val="auto"/>
        </w:rPr>
      </w:pPr>
    </w:p>
    <w:p>
      <w:pPr>
        <w:ind w:left="560" w:right="80"/>
        <w:spacing w:after="0" w:line="238" w:lineRule="auto"/>
        <w:rPr>
          <w:sz w:val="20"/>
          <w:szCs w:val="20"/>
          <w:color w:val="auto"/>
        </w:rPr>
      </w:pPr>
      <w:r>
        <w:rPr>
          <w:rFonts w:ascii="Arial" w:cs="Arial" w:eastAsia="Arial" w:hAnsi="Arial"/>
          <w:sz w:val="17"/>
          <w:szCs w:val="17"/>
          <w:i w:val="1"/>
          <w:iCs w:val="1"/>
          <w:color w:val="auto"/>
        </w:rPr>
        <w:t>Estimated Fair Value</w:t>
      </w:r>
      <w:r>
        <w:rPr>
          <w:rFonts w:ascii="Arial" w:cs="Arial" w:eastAsia="Arial" w:hAnsi="Arial"/>
          <w:sz w:val="17"/>
          <w:szCs w:val="17"/>
          <w:color w:val="auto"/>
        </w:rPr>
        <w:t>. The estimated fair value of the shares of common stock underlying stock options was determined by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Because there was no public market for the Company’s common stock, the board of directors determined fair value of the common stock at the time of grant of the options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(b) Founder Stock Activity</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a summary of Founder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9"/>
              </w:rPr>
              <w:t>NUMBER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4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40" w:type="dxa"/>
            <w:vAlign w:val="bottom"/>
          </w:tcPr>
          <w:p>
            <w:pPr>
              <w:spacing w:after="0"/>
              <w:rPr>
                <w:sz w:val="15"/>
                <w:szCs w:val="15"/>
                <w:color w:val="auto"/>
              </w:rPr>
            </w:pPr>
          </w:p>
        </w:tc>
        <w:tc>
          <w:tcPr>
            <w:tcW w:w="3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Unvested at December 31, 2017</w:t>
            </w:r>
          </w:p>
        </w:tc>
        <w:tc>
          <w:tcPr>
            <w:tcW w:w="37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455,477</w:t>
            </w:r>
          </w:p>
        </w:tc>
        <w:tc>
          <w:tcPr>
            <w:tcW w:w="74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ind w:right="480"/>
              <w:spacing w:after="0" w:line="183" w:lineRule="exact"/>
              <w:rPr>
                <w:sz w:val="20"/>
                <w:szCs w:val="20"/>
                <w:color w:val="auto"/>
              </w:rPr>
            </w:pPr>
            <w:r>
              <w:rPr>
                <w:rFonts w:ascii="Arial" w:cs="Arial" w:eastAsia="Arial" w:hAnsi="Arial"/>
                <w:sz w:val="17"/>
                <w:szCs w:val="17"/>
                <w:color w:val="auto"/>
              </w:rPr>
              <w:t>$0.35</w:t>
            </w:r>
          </w:p>
        </w:tc>
      </w:tr>
      <w:tr>
        <w:trPr>
          <w:trHeight w:val="189"/>
        </w:trPr>
        <w:tc>
          <w:tcPr>
            <w:tcW w:w="440" w:type="dxa"/>
            <w:vAlign w:val="bottom"/>
          </w:tcPr>
          <w:p>
            <w:pPr>
              <w:spacing w:after="0"/>
              <w:rPr>
                <w:sz w:val="16"/>
                <w:szCs w:val="16"/>
                <w:color w:val="auto"/>
              </w:rPr>
            </w:pPr>
          </w:p>
        </w:tc>
        <w:tc>
          <w:tcPr>
            <w:tcW w:w="368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5360" w:type="dxa"/>
            <w:vAlign w:val="bottom"/>
            <w:gridSpan w:val="3"/>
          </w:tcPr>
          <w:p>
            <w:pPr>
              <w:jc w:val="right"/>
              <w:ind w:right="700"/>
              <w:spacing w:after="0" w:line="189" w:lineRule="exact"/>
              <w:rPr>
                <w:sz w:val="20"/>
                <w:szCs w:val="20"/>
                <w:color w:val="auto"/>
              </w:rPr>
            </w:pPr>
            <w:r>
              <w:rPr>
                <w:rFonts w:ascii="Arial" w:cs="Arial" w:eastAsia="Arial" w:hAnsi="Arial"/>
                <w:sz w:val="17"/>
                <w:szCs w:val="17"/>
                <w:color w:val="auto"/>
              </w:rPr>
              <w:t>(341,613)</w:t>
            </w:r>
          </w:p>
        </w:tc>
        <w:tc>
          <w:tcPr>
            <w:tcW w:w="1540" w:type="dxa"/>
            <w:vAlign w:val="bottom"/>
          </w:tcPr>
          <w:p>
            <w:pPr>
              <w:jc w:val="right"/>
              <w:ind w:right="460"/>
              <w:spacing w:after="0" w:line="189" w:lineRule="exact"/>
              <w:rPr>
                <w:sz w:val="20"/>
                <w:szCs w:val="20"/>
                <w:color w:val="auto"/>
              </w:rPr>
            </w:pPr>
            <w:r>
              <w:rPr>
                <w:rFonts w:ascii="Arial" w:cs="Arial" w:eastAsia="Arial" w:hAnsi="Arial"/>
                <w:sz w:val="17"/>
                <w:szCs w:val="17"/>
                <w:color w:val="auto"/>
              </w:rPr>
              <w:t>0.35</w:t>
            </w:r>
          </w:p>
        </w:tc>
      </w:tr>
      <w:tr>
        <w:trPr>
          <w:trHeight w:val="189"/>
        </w:trPr>
        <w:tc>
          <w:tcPr>
            <w:tcW w:w="44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2018</w:t>
            </w:r>
          </w:p>
        </w:tc>
        <w:tc>
          <w:tcPr>
            <w:tcW w:w="5360" w:type="dxa"/>
            <w:vAlign w:val="bottom"/>
            <w:gridSpan w:val="3"/>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113,864</w:t>
            </w:r>
          </w:p>
        </w:tc>
        <w:tc>
          <w:tcPr>
            <w:tcW w:w="1540" w:type="dxa"/>
            <w:vAlign w:val="bottom"/>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0.35</w:t>
            </w:r>
          </w:p>
        </w:tc>
      </w:tr>
      <w:tr>
        <w:trPr>
          <w:trHeight w:val="196"/>
        </w:trPr>
        <w:tc>
          <w:tcPr>
            <w:tcW w:w="440" w:type="dxa"/>
            <w:vAlign w:val="bottom"/>
          </w:tcPr>
          <w:p>
            <w:pPr>
              <w:spacing w:after="0"/>
              <w:rPr>
                <w:sz w:val="17"/>
                <w:szCs w:val="17"/>
                <w:color w:val="auto"/>
              </w:rPr>
            </w:pPr>
          </w:p>
        </w:tc>
        <w:tc>
          <w:tcPr>
            <w:tcW w:w="368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3740" w:type="dxa"/>
            <w:vAlign w:val="bottom"/>
          </w:tcPr>
          <w:p>
            <w:pPr>
              <w:spacing w:after="0"/>
              <w:rPr>
                <w:sz w:val="17"/>
                <w:szCs w:val="17"/>
                <w:color w:val="auto"/>
              </w:rPr>
            </w:pPr>
          </w:p>
        </w:tc>
        <w:tc>
          <w:tcPr>
            <w:tcW w:w="162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(113,864)</w:t>
            </w:r>
          </w:p>
        </w:tc>
        <w:tc>
          <w:tcPr>
            <w:tcW w:w="1540" w:type="dxa"/>
            <w:vAlign w:val="bottom"/>
          </w:tcPr>
          <w:p>
            <w:pPr>
              <w:jc w:val="right"/>
              <w:ind w:right="460"/>
              <w:spacing w:after="0" w:line="189" w:lineRule="exact"/>
              <w:rPr>
                <w:sz w:val="20"/>
                <w:szCs w:val="20"/>
                <w:color w:val="auto"/>
              </w:rPr>
            </w:pPr>
            <w:r>
              <w:rPr>
                <w:rFonts w:ascii="Arial" w:cs="Arial" w:eastAsia="Arial" w:hAnsi="Arial"/>
                <w:sz w:val="17"/>
                <w:szCs w:val="17"/>
                <w:color w:val="auto"/>
              </w:rPr>
              <w:t>0.35</w:t>
            </w:r>
          </w:p>
        </w:tc>
      </w:tr>
      <w:tr>
        <w:trPr>
          <w:trHeight w:val="189"/>
        </w:trPr>
        <w:tc>
          <w:tcPr>
            <w:tcW w:w="44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2019</w:t>
            </w:r>
          </w:p>
        </w:tc>
        <w:tc>
          <w:tcPr>
            <w:tcW w:w="3740" w:type="dxa"/>
            <w:vAlign w:val="bottom"/>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   —</w:t>
            </w:r>
          </w:p>
        </w:tc>
      </w:tr>
      <w:tr>
        <w:trPr>
          <w:trHeight w:val="20"/>
        </w:trPr>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gridSpan w:val="3"/>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379"/>
        </w:trPr>
        <w:tc>
          <w:tcPr>
            <w:tcW w:w="4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360" w:type="dxa"/>
            <w:vAlign w:val="bottom"/>
            <w:gridSpan w:val="3"/>
          </w:tcPr>
          <w:p>
            <w:pPr>
              <w:jc w:val="right"/>
              <w:ind w:right="3800"/>
              <w:spacing w:after="0"/>
              <w:rPr>
                <w:sz w:val="20"/>
                <w:szCs w:val="20"/>
                <w:color w:val="auto"/>
              </w:rPr>
            </w:pPr>
            <w:r>
              <w:rPr>
                <w:rFonts w:ascii="Arial" w:cs="Arial" w:eastAsia="Arial" w:hAnsi="Arial"/>
                <w:sz w:val="16"/>
                <w:szCs w:val="16"/>
                <w:color w:val="auto"/>
              </w:rPr>
              <w:t>F-24</w:t>
            </w:r>
          </w:p>
        </w:tc>
        <w:tc>
          <w:tcPr>
            <w:tcW w:w="15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00"/>
        <w:spacing w:after="0" w:line="243" w:lineRule="auto"/>
        <w:rPr>
          <w:sz w:val="20"/>
          <w:szCs w:val="20"/>
          <w:color w:val="auto"/>
        </w:rPr>
      </w:pPr>
      <w:r>
        <w:rPr>
          <w:rFonts w:ascii="Arial" w:cs="Arial" w:eastAsia="Arial" w:hAnsi="Arial"/>
          <w:sz w:val="17"/>
          <w:szCs w:val="17"/>
          <w:color w:val="auto"/>
        </w:rPr>
        <w:t>There were no Founder Stock granted during the years ended December 31, 2018 and December 31, 2019. The total fair value of Founder Stock that vested during the years ended December 31, 2018 and December 31, 2019 were $0.1 million and $40,000, respectively.</w:t>
      </w:r>
    </w:p>
    <w:p>
      <w:pPr>
        <w:spacing w:after="0" w:line="327"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75" w:lineRule="exact"/>
        <w:rPr>
          <w:rFonts w:ascii="Arial" w:cs="Arial" w:eastAsia="Arial" w:hAnsi="Arial"/>
          <w:sz w:val="17"/>
          <w:szCs w:val="17"/>
          <w:b w:val="1"/>
          <w:bCs w:val="1"/>
          <w:color w:val="auto"/>
        </w:rPr>
      </w:pPr>
    </w:p>
    <w:p>
      <w:pPr>
        <w:ind w:left="560" w:right="36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 domestic (Ireland) and foreign components of pre-tax loss for the years ending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720" w:type="dxa"/>
            <w:vAlign w:val="bottom"/>
            <w:gridSpan w:val="3"/>
          </w:tcPr>
          <w:p>
            <w:pPr>
              <w:jc w:val="right"/>
              <w:ind w:right="118"/>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Foreign</w:t>
            </w:r>
          </w:p>
        </w:tc>
        <w:tc>
          <w:tcPr>
            <w:tcW w:w="72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w w:val="90"/>
              </w:rPr>
              <w:t>$ (12,576)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w w:val="95"/>
              </w:rPr>
              <w:t>$ (16,803)</w:t>
            </w: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(1,110)</w:t>
            </w:r>
          </w:p>
        </w:tc>
        <w:tc>
          <w:tcPr>
            <w:tcW w:w="120" w:type="dxa"/>
            <w:vAlign w:val="bottom"/>
          </w:tcPr>
          <w:p>
            <w:pPr>
              <w:spacing w:after="0"/>
              <w:rPr>
                <w:sz w:val="16"/>
                <w:szCs w:val="16"/>
                <w:color w:val="auto"/>
              </w:rPr>
            </w:pPr>
          </w:p>
        </w:tc>
        <w:tc>
          <w:tcPr>
            <w:tcW w:w="88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(2,406)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8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98"/>
              </w:rPr>
              <w:t>$ (13,686)</w:t>
            </w:r>
          </w:p>
        </w:tc>
        <w:tc>
          <w:tcPr>
            <w:tcW w:w="12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 (19,209)</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1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9100" w:type="dxa"/>
            <w:vAlign w:val="bottom"/>
            <w:gridSpan w:val="2"/>
          </w:tcPr>
          <w:p>
            <w:pPr>
              <w:ind w:left="440"/>
              <w:spacing w:after="0"/>
              <w:rPr>
                <w:sz w:val="20"/>
                <w:szCs w:val="20"/>
                <w:color w:val="auto"/>
              </w:rPr>
            </w:pPr>
            <w:r>
              <w:rPr>
                <w:rFonts w:ascii="Arial" w:cs="Arial" w:eastAsia="Arial" w:hAnsi="Arial"/>
                <w:sz w:val="17"/>
                <w:szCs w:val="17"/>
                <w:color w:val="auto"/>
              </w:rPr>
              <w:t>The provision for income taxes consist of the following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0" w:type="dxa"/>
            <w:vAlign w:val="bottom"/>
            <w:tcBorders>
              <w:bottom w:val="single" w:sz="8" w:color="auto"/>
            </w:tcBorders>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gridSpan w:val="3"/>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4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8"/>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right"/>
              <w:ind w:right="3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86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Current</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State (U.S.)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Foreign/federal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current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b w:val="1"/>
                <w:bCs w:val="1"/>
                <w:color w:val="auto"/>
              </w:rPr>
              <w:t>Deferred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Domestic (Ireland)</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State (U.S.)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Foreign/federal</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deferred</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Provision for income taxes</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7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reconciliation of the Irish statutory income tax rate of 12.5% to the actual tax rate for the years ended December 31, 2018 and</w:t>
      </w:r>
    </w:p>
    <w:p>
      <w:pPr>
        <w:ind w:left="560"/>
        <w:spacing w:after="0"/>
        <w:rPr>
          <w:sz w:val="20"/>
          <w:szCs w:val="20"/>
          <w:color w:val="auto"/>
        </w:rPr>
      </w:pPr>
      <w:r>
        <w:rPr>
          <w:rFonts w:ascii="Arial" w:cs="Arial" w:eastAsia="Arial" w:hAnsi="Arial"/>
          <w:sz w:val="17"/>
          <w:szCs w:val="17"/>
          <w:color w:val="auto"/>
        </w:rPr>
        <w:t>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3820" w:type="dxa"/>
            <w:vAlign w:val="bottom"/>
            <w:tcBorders>
              <w:bottom w:val="single" w:sz="8" w:color="CCEEFF"/>
            </w:tcBorders>
          </w:tcPr>
          <w:p>
            <w:pPr>
              <w:spacing w:after="0"/>
              <w:rPr>
                <w:sz w:val="13"/>
                <w:szCs w:val="13"/>
                <w:color w:val="auto"/>
              </w:rPr>
            </w:pPr>
          </w:p>
        </w:tc>
        <w:tc>
          <w:tcPr>
            <w:tcW w:w="50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8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At statutory rate</w:t>
            </w:r>
          </w:p>
        </w:tc>
        <w:tc>
          <w:tcPr>
            <w:tcW w:w="50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(1,711)</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(2,401)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Foreign income tax at different rates</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1,404</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U.S. R&amp;D credits</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(499)</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Change in valuation allowance</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732</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3,733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Share-based compensation</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Prior period true ups</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(38)</w:t>
            </w:r>
          </w:p>
        </w:tc>
        <w:tc>
          <w:tcPr>
            <w:tcW w:w="12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440"/>
              <w:spacing w:after="0"/>
              <w:rPr>
                <w:sz w:val="20"/>
                <w:szCs w:val="20"/>
                <w:color w:val="auto"/>
              </w:rPr>
            </w:pPr>
            <w:r>
              <w:rPr>
                <w:rFonts w:ascii="Arial" w:cs="Arial" w:eastAsia="Arial" w:hAnsi="Arial"/>
                <w:sz w:val="17"/>
                <w:szCs w:val="17"/>
                <w:color w:val="auto"/>
              </w:rPr>
              <w:t>Provision for income taxes</w:t>
            </w:r>
          </w:p>
        </w:tc>
        <w:tc>
          <w:tcPr>
            <w:tcW w:w="5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2"/>
            <w:vMerge w:val="continue"/>
          </w:tcPr>
          <w:p>
            <w:pPr>
              <w:spacing w:after="0"/>
              <w:rPr>
                <w:sz w:val="17"/>
                <w:szCs w:val="17"/>
                <w:color w:val="auto"/>
              </w:rPr>
            </w:pPr>
          </w:p>
        </w:tc>
        <w:tc>
          <w:tcPr>
            <w:tcW w:w="5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45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160" w:type="dxa"/>
            <w:vAlign w:val="bottom"/>
            <w:gridSpan w:val="2"/>
          </w:tcPr>
          <w:p>
            <w:pPr>
              <w:jc w:val="right"/>
              <w:ind w:right="3655"/>
              <w:spacing w:after="0"/>
              <w:rPr>
                <w:sz w:val="20"/>
                <w:szCs w:val="20"/>
                <w:color w:val="auto"/>
              </w:rPr>
            </w:pPr>
            <w:r>
              <w:rPr>
                <w:rFonts w:ascii="Arial" w:cs="Arial" w:eastAsia="Arial" w:hAnsi="Arial"/>
                <w:sz w:val="16"/>
                <w:szCs w:val="16"/>
                <w:color w:val="auto"/>
              </w:rPr>
              <w:t>F-25</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760"/>
        <w:spacing w:after="0" w:line="243" w:lineRule="auto"/>
        <w:rPr>
          <w:sz w:val="20"/>
          <w:szCs w:val="20"/>
          <w:color w:val="auto"/>
        </w:rPr>
      </w:pPr>
      <w:r>
        <w:rPr>
          <w:rFonts w:ascii="Arial" w:cs="Arial" w:eastAsia="Arial" w:hAnsi="Arial"/>
          <w:sz w:val="17"/>
          <w:szCs w:val="17"/>
          <w:color w:val="auto"/>
        </w:rPr>
        <w:t>Significant components of the Company’s deferred tax assets as of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5780" w:type="dxa"/>
            <w:vAlign w:val="bottom"/>
            <w:tcBorders>
              <w:bottom w:val="single" w:sz="8" w:color="CCEEFF"/>
            </w:tcBorders>
          </w:tcPr>
          <w:p>
            <w:pPr>
              <w:spacing w:after="0"/>
              <w:rPr>
                <w:sz w:val="13"/>
                <w:szCs w:val="13"/>
                <w:color w:val="auto"/>
              </w:rPr>
            </w:pPr>
          </w:p>
        </w:tc>
        <w:tc>
          <w:tcPr>
            <w:tcW w:w="30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57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Deferred tax assets:</w:t>
            </w: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tcPr>
          <w:p>
            <w:pPr>
              <w:ind w:left="260"/>
              <w:spacing w:after="0" w:line="189" w:lineRule="exact"/>
              <w:rPr>
                <w:sz w:val="20"/>
                <w:szCs w:val="20"/>
                <w:color w:val="auto"/>
              </w:rPr>
            </w:pPr>
            <w:r>
              <w:rPr>
                <w:rFonts w:ascii="Arial" w:cs="Arial" w:eastAsia="Arial" w:hAnsi="Arial"/>
                <w:sz w:val="17"/>
                <w:szCs w:val="17"/>
                <w:color w:val="auto"/>
              </w:rPr>
              <w:t>Net operating loss carryforwards</w:t>
            </w:r>
          </w:p>
        </w:tc>
        <w:tc>
          <w:tcPr>
            <w:tcW w:w="32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363</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3,259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Research &amp; other credits</w:t>
            </w:r>
          </w:p>
        </w:tc>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1,701</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3,260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tcPr>
          <w:p>
            <w:pPr>
              <w:ind w:left="260"/>
              <w:spacing w:after="0" w:line="189" w:lineRule="exact"/>
              <w:rPr>
                <w:sz w:val="20"/>
                <w:szCs w:val="20"/>
                <w:color w:val="auto"/>
              </w:rPr>
            </w:pPr>
            <w:r>
              <w:rPr>
                <w:rFonts w:ascii="Arial" w:cs="Arial" w:eastAsia="Arial" w:hAnsi="Arial"/>
                <w:sz w:val="17"/>
                <w:szCs w:val="17"/>
                <w:color w:val="auto"/>
              </w:rPr>
              <w:t>Other</w:t>
            </w: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208</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gross DTA</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2,272</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6,852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80" w:type="dxa"/>
            <w:vAlign w:val="bottom"/>
            <w:vMerge w:val="restart"/>
          </w:tcPr>
          <w:p>
            <w:pPr>
              <w:ind w:left="260"/>
              <w:spacing w:after="0"/>
              <w:rPr>
                <w:sz w:val="20"/>
                <w:szCs w:val="20"/>
                <w:color w:val="auto"/>
              </w:rPr>
            </w:pPr>
            <w:r>
              <w:rPr>
                <w:rFonts w:ascii="Arial" w:cs="Arial" w:eastAsia="Arial" w:hAnsi="Arial"/>
                <w:sz w:val="17"/>
                <w:szCs w:val="17"/>
                <w:color w:val="auto"/>
              </w:rPr>
              <w:t>Less: Val. Allowance</w:t>
            </w:r>
          </w:p>
        </w:tc>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(2,181)</w:t>
            </w:r>
          </w:p>
        </w:tc>
        <w:tc>
          <w:tcPr>
            <w:tcW w:w="1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(6,686)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deferred tax assets</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96"/>
        </w:trPr>
        <w:tc>
          <w:tcPr>
            <w:tcW w:w="6220" w:type="dxa"/>
            <w:vAlign w:val="bottom"/>
            <w:gridSpan w:val="2"/>
          </w:tcPr>
          <w:p>
            <w:pPr>
              <w:ind w:left="440"/>
              <w:spacing w:after="0"/>
              <w:rPr>
                <w:sz w:val="20"/>
                <w:szCs w:val="20"/>
                <w:color w:val="auto"/>
              </w:rPr>
            </w:pPr>
            <w:r>
              <w:rPr>
                <w:rFonts w:ascii="Arial" w:cs="Arial" w:eastAsia="Arial" w:hAnsi="Arial"/>
                <w:sz w:val="17"/>
                <w:szCs w:val="17"/>
                <w:b w:val="1"/>
                <w:bCs w:val="1"/>
                <w:color w:val="auto"/>
              </w:rPr>
              <w:t>Deferred tax liabilities:</w:t>
            </w:r>
          </w:p>
        </w:tc>
        <w:tc>
          <w:tcPr>
            <w:tcW w:w="3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Fixed assets</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80" w:type="dxa"/>
            <w:vAlign w:val="bottom"/>
            <w:vMerge w:val="restart"/>
          </w:tcPr>
          <w:p>
            <w:pPr>
              <w:ind w:left="260"/>
              <w:spacing w:after="0"/>
              <w:rPr>
                <w:sz w:val="20"/>
                <w:szCs w:val="20"/>
                <w:color w:val="auto"/>
              </w:rPr>
            </w:pPr>
            <w:r>
              <w:rPr>
                <w:rFonts w:ascii="Arial" w:cs="Arial" w:eastAsia="Arial" w:hAnsi="Arial"/>
                <w:sz w:val="17"/>
                <w:szCs w:val="17"/>
                <w:color w:val="auto"/>
              </w:rPr>
              <w:t>Total gross DTL</w:t>
            </w:r>
          </w:p>
        </w:tc>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3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(91)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deferred tax assets</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7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240"/>
        <w:spacing w:after="0" w:line="238" w:lineRule="auto"/>
        <w:rPr>
          <w:sz w:val="20"/>
          <w:szCs w:val="20"/>
          <w:color w:val="auto"/>
        </w:rPr>
      </w:pPr>
      <w:r>
        <w:rPr>
          <w:rFonts w:ascii="Arial" w:cs="Arial" w:eastAsia="Arial" w:hAnsi="Arial"/>
          <w:sz w:val="17"/>
          <w:szCs w:val="17"/>
          <w:color w:val="auto"/>
        </w:rPr>
        <w:t>Realization of deferred tax assets is dependent upon the Company generating future taxable income, the timing and amount of which are uncertain. Accordingly, the deferred tax assets have been largely offset by a valuation allowance. The valuation allowance increased by approximately $0.8 million and $4.5 million for the years ended December 31, 2018 and December 31, 2019, respectively.</w:t>
      </w:r>
    </w:p>
    <w:p>
      <w:pPr>
        <w:spacing w:after="0" w:line="147" w:lineRule="exact"/>
        <w:rPr>
          <w:sz w:val="20"/>
          <w:szCs w:val="20"/>
          <w:color w:val="auto"/>
        </w:rPr>
      </w:pPr>
    </w:p>
    <w:p>
      <w:pPr>
        <w:ind w:left="560" w:right="380"/>
        <w:spacing w:after="0" w:line="236" w:lineRule="auto"/>
        <w:rPr>
          <w:sz w:val="20"/>
          <w:szCs w:val="20"/>
          <w:color w:val="auto"/>
        </w:rPr>
      </w:pPr>
      <w:r>
        <w:rPr>
          <w:rFonts w:ascii="Arial" w:cs="Arial" w:eastAsia="Arial" w:hAnsi="Arial"/>
          <w:sz w:val="17"/>
          <w:szCs w:val="17"/>
          <w:color w:val="auto"/>
        </w:rPr>
        <w:t>As of December 31, 2019, the Company had a net operating loss carryforwards for U.S. state income tax purposes of approximately $30.9 million, that expire in the year 2038, and for Ireland income tax purposes of approximately $4.0 million that never expire. As of December 31, 2019, the Company had U.S. federal research and development credit carryforwards of approximately $1.5 million, that expire in the year 2038, and U.S. state research and development credit carryforwards of approximately $2.4 million, that do not expire.</w:t>
      </w:r>
    </w:p>
    <w:p>
      <w:pPr>
        <w:spacing w:after="0" w:line="149"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Utilization of the Company’s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81"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The Company’s policy is to include interest and penalties related to unrecognized tax benefits, if any, within the provision for taxes in the consolidated statements of operations and comprehensive loss. If the Company is eventually able to recognize its uncertain tax positions, the Company’s effective tax rate would be reduced. The Company currently has a full valuation allowance against its net deferred tax asset which would impact the timing of the effective tax rate benefit should any of these uncertain tax positions be favorably settled in the future.</w:t>
      </w:r>
    </w:p>
    <w:p>
      <w:pPr>
        <w:spacing w:after="0" w:line="149" w:lineRule="exact"/>
        <w:rPr>
          <w:sz w:val="20"/>
          <w:szCs w:val="20"/>
          <w:color w:val="auto"/>
        </w:rPr>
      </w:pPr>
    </w:p>
    <w:p>
      <w:pPr>
        <w:ind w:left="560" w:right="940"/>
        <w:spacing w:after="0" w:line="243" w:lineRule="auto"/>
        <w:rPr>
          <w:sz w:val="20"/>
          <w:szCs w:val="20"/>
          <w:color w:val="auto"/>
        </w:rPr>
      </w:pPr>
      <w:r>
        <w:rPr>
          <w:rFonts w:ascii="Arial" w:cs="Arial" w:eastAsia="Arial" w:hAnsi="Arial"/>
          <w:sz w:val="17"/>
          <w:szCs w:val="17"/>
          <w:color w:val="auto"/>
        </w:rPr>
        <w:t>The Company files income tax returns in Ireland, the U.S., and Malta. All of the Company’s tax years since 2015 remain open to examination.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has the following activity relating to unrecognized tax benefits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626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62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Beginning balance</w:t>
            </w:r>
          </w:p>
        </w:tc>
        <w:tc>
          <w:tcPr>
            <w:tcW w:w="26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247</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increase—tax positions in prior periods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decreases—tax positions in prior periods</w:t>
            </w:r>
          </w:p>
        </w:tc>
        <w:tc>
          <w:tcPr>
            <w:tcW w:w="2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increases—tax positions in prior periods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160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Ending balance</w:t>
            </w:r>
          </w:p>
        </w:tc>
        <w:tc>
          <w:tcPr>
            <w:tcW w:w="2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692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6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280"/>
        <w:spacing w:after="0" w:line="235" w:lineRule="auto"/>
        <w:rPr>
          <w:sz w:val="20"/>
          <w:szCs w:val="20"/>
          <w:color w:val="auto"/>
        </w:rPr>
      </w:pPr>
      <w:r>
        <w:rPr>
          <w:rFonts w:ascii="Arial" w:cs="Arial" w:eastAsia="Arial" w:hAnsi="Arial"/>
          <w:sz w:val="17"/>
          <w:szCs w:val="17"/>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2018 and December 31, 2019, no interest or penalties were required to be recognized relating to unrecognized tax benefits.</w:t>
      </w:r>
    </w:p>
    <w:p>
      <w:pPr>
        <w:spacing w:after="0" w:line="332"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&amp; CONTINGENCIES</w:t>
      </w:r>
    </w:p>
    <w:p>
      <w:pPr>
        <w:spacing w:after="0" w:line="175" w:lineRule="exact"/>
        <w:rPr>
          <w:rFonts w:ascii="Arial" w:cs="Arial" w:eastAsia="Arial" w:hAnsi="Arial"/>
          <w:sz w:val="17"/>
          <w:szCs w:val="17"/>
          <w:b w:val="1"/>
          <w:bCs w:val="1"/>
          <w:color w:val="auto"/>
        </w:rPr>
      </w:pPr>
    </w:p>
    <w:p>
      <w:pPr>
        <w:ind w:left="560" w:right="10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2018 and December 31, 2019.</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Legal Proceedings</w:t>
      </w:r>
    </w:p>
    <w:p>
      <w:pPr>
        <w:spacing w:after="0" w:line="79" w:lineRule="exact"/>
        <w:rPr>
          <w:rFonts w:ascii="Arial" w:cs="Arial" w:eastAsia="Arial" w:hAnsi="Arial"/>
          <w:sz w:val="17"/>
          <w:szCs w:val="17"/>
          <w:b w:val="1"/>
          <w:bCs w:val="1"/>
          <w:color w:val="auto"/>
        </w:rPr>
      </w:pPr>
    </w:p>
    <w:p>
      <w:pPr>
        <w:ind w:left="560" w:right="10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2018 and December 31, 2019, the Company had no pending or threatened litigation.</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Contractual Obligations and Other Commitments</w:t>
      </w:r>
    </w:p>
    <w:p>
      <w:pPr>
        <w:spacing w:after="0" w:line="9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Company’s commitments and contractual obligations as of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OPERATING</w:t>
            </w:r>
          </w:p>
        </w:tc>
        <w:tc>
          <w:tcPr>
            <w:tcW w:w="19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MANUFACTURING</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LEASE</w:t>
            </w:r>
          </w:p>
        </w:tc>
        <w:tc>
          <w:tcPr>
            <w:tcW w:w="120" w:type="dxa"/>
            <w:vAlign w:val="bottom"/>
          </w:tcPr>
          <w:p>
            <w:pPr>
              <w:spacing w:after="0"/>
              <w:rPr>
                <w:sz w:val="14"/>
                <w:szCs w:val="14"/>
                <w:color w:val="auto"/>
              </w:rPr>
            </w:pPr>
          </w:p>
        </w:tc>
        <w:tc>
          <w:tcPr>
            <w:tcW w:w="18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AND SERVICE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04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OBLIGATIONS</w:t>
            </w:r>
          </w:p>
        </w:tc>
        <w:tc>
          <w:tcPr>
            <w:tcW w:w="120" w:type="dxa"/>
            <w:vAlign w:val="bottom"/>
          </w:tcPr>
          <w:p>
            <w:pPr>
              <w:spacing w:after="0"/>
              <w:rPr>
                <w:sz w:val="14"/>
                <w:szCs w:val="14"/>
                <w:color w:val="auto"/>
              </w:rPr>
            </w:pPr>
          </w:p>
        </w:tc>
        <w:tc>
          <w:tcPr>
            <w:tcW w:w="18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CONTRACTS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182"/>
        </w:trPr>
        <w:tc>
          <w:tcPr>
            <w:tcW w:w="2060" w:type="dxa"/>
            <w:vAlign w:val="bottom"/>
            <w:gridSpan w:val="2"/>
            <w:vMerge w:val="continue"/>
          </w:tcPr>
          <w:p>
            <w:pPr>
              <w:spacing w:after="0"/>
              <w:rPr>
                <w:sz w:val="15"/>
                <w:szCs w:val="15"/>
                <w:color w:val="auto"/>
              </w:rPr>
            </w:pPr>
          </w:p>
        </w:tc>
        <w:tc>
          <w:tcPr>
            <w:tcW w:w="4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78"/>
              <w:spacing w:after="0"/>
              <w:rPr>
                <w:sz w:val="20"/>
                <w:szCs w:val="20"/>
                <w:color w:val="auto"/>
              </w:rPr>
            </w:pPr>
            <w:r>
              <w:rPr>
                <w:rFonts w:ascii="Arial" w:cs="Arial" w:eastAsia="Arial" w:hAnsi="Arial"/>
                <w:sz w:val="14"/>
                <w:szCs w:val="14"/>
                <w:b w:val="1"/>
                <w:bCs w:val="1"/>
                <w:color w:val="auto"/>
              </w:rPr>
              <w:t>(1)</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(2)</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257"/>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2020</w:t>
            </w:r>
          </w:p>
        </w:tc>
        <w:tc>
          <w:tcPr>
            <w:tcW w:w="40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
              <w:spacing w:after="0" w:line="176"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544</w:t>
            </w: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926</w:t>
            </w:r>
          </w:p>
        </w:tc>
        <w:tc>
          <w:tcPr>
            <w:tcW w:w="6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401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560</w:t>
            </w:r>
          </w:p>
        </w:tc>
        <w:tc>
          <w:tcPr>
            <w:tcW w:w="120" w:type="dxa"/>
            <w:vAlign w:val="bottom"/>
          </w:tcPr>
          <w:p>
            <w:pPr>
              <w:spacing w:after="0"/>
              <w:rPr>
                <w:sz w:val="16"/>
                <w:szCs w:val="16"/>
                <w:color w:val="auto"/>
              </w:rPr>
            </w:pPr>
          </w:p>
        </w:tc>
        <w:tc>
          <w:tcPr>
            <w:tcW w:w="180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5,805</w:t>
            </w: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3,743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4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577</w:t>
            </w:r>
          </w:p>
        </w:tc>
        <w:tc>
          <w:tcPr>
            <w:tcW w:w="1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2023</w:t>
            </w:r>
          </w:p>
        </w:tc>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247</w:t>
            </w:r>
          </w:p>
        </w:tc>
        <w:tc>
          <w:tcPr>
            <w:tcW w:w="120" w:type="dxa"/>
            <w:vAlign w:val="bottom"/>
          </w:tcPr>
          <w:p>
            <w:pPr>
              <w:spacing w:after="0"/>
              <w:rPr>
                <w:sz w:val="16"/>
                <w:szCs w:val="16"/>
                <w:color w:val="auto"/>
              </w:rPr>
            </w:pPr>
          </w:p>
        </w:tc>
        <w:tc>
          <w:tcPr>
            <w:tcW w:w="180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0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
              <w:spacing w:after="0" w:line="189" w:lineRule="exact"/>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1,928</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80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6,731</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4" w:lineRule="exact"/>
        <w:rPr>
          <w:sz w:val="20"/>
          <w:szCs w:val="20"/>
          <w:color w:val="auto"/>
        </w:rPr>
      </w:pPr>
    </w:p>
    <w:p>
      <w:pPr>
        <w:ind w:left="880" w:hanging="292"/>
        <w:spacing w:after="0"/>
        <w:tabs>
          <w:tab w:leader="none" w:pos="880" w:val="left"/>
        </w:tabs>
        <w:numPr>
          <w:ilvl w:val="0"/>
          <w:numId w:val="123"/>
        </w:numPr>
        <w:rPr>
          <w:rFonts w:ascii="Arial" w:cs="Arial" w:eastAsia="Arial" w:hAnsi="Arial"/>
          <w:sz w:val="14"/>
          <w:szCs w:val="14"/>
          <w:i w:val="1"/>
          <w:iCs w:val="1"/>
          <w:color w:val="auto"/>
        </w:rPr>
      </w:pPr>
      <w:r>
        <w:rPr>
          <w:rFonts w:ascii="Arial" w:cs="Arial" w:eastAsia="Arial" w:hAnsi="Arial"/>
          <w:sz w:val="14"/>
          <w:szCs w:val="14"/>
          <w:i w:val="1"/>
          <w:iCs w:val="1"/>
          <w:color w:val="auto"/>
        </w:rPr>
        <w:t>Payments due for the office and laboratory space in Burlingame, California under a single operating lease agreement that expires in 2023.</w:t>
      </w:r>
    </w:p>
    <w:p>
      <w:pPr>
        <w:spacing w:after="0" w:line="15" w:lineRule="exact"/>
        <w:rPr>
          <w:rFonts w:ascii="Arial" w:cs="Arial" w:eastAsia="Arial" w:hAnsi="Arial"/>
          <w:sz w:val="14"/>
          <w:szCs w:val="14"/>
          <w:i w:val="1"/>
          <w:iCs w:val="1"/>
          <w:color w:val="auto"/>
        </w:rPr>
      </w:pPr>
    </w:p>
    <w:p>
      <w:pPr>
        <w:ind w:left="880" w:right="40" w:hanging="292"/>
        <w:spacing w:after="0" w:line="241" w:lineRule="auto"/>
        <w:tabs>
          <w:tab w:leader="none" w:pos="880" w:val="left"/>
        </w:tabs>
        <w:numPr>
          <w:ilvl w:val="0"/>
          <w:numId w:val="123"/>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based on non-cancellable commitments and forecasts that include estimates of future market demand, quantity discounts and manufacturing efficiencies that may impact timing of purchases.</w:t>
      </w:r>
    </w:p>
    <w:p>
      <w:pPr>
        <w:ind w:left="880" w:hanging="292"/>
        <w:spacing w:after="0"/>
        <w:tabs>
          <w:tab w:leader="none" w:pos="880" w:val="left"/>
        </w:tabs>
        <w:numPr>
          <w:ilvl w:val="0"/>
          <w:numId w:val="123"/>
        </w:numPr>
        <w:rPr>
          <w:rFonts w:ascii="Arial" w:cs="Arial" w:eastAsia="Arial" w:hAnsi="Arial"/>
          <w:sz w:val="14"/>
          <w:szCs w:val="14"/>
          <w:i w:val="1"/>
          <w:iCs w:val="1"/>
          <w:color w:val="auto"/>
        </w:rPr>
      </w:pPr>
      <w:r>
        <w:rPr>
          <w:rFonts w:ascii="Arial" w:cs="Arial" w:eastAsia="Arial" w:hAnsi="Arial"/>
          <w:sz w:val="14"/>
          <w:szCs w:val="14"/>
          <w:i w:val="1"/>
          <w:iCs w:val="1"/>
          <w:color w:val="auto"/>
        </w:rPr>
        <w:t>In December 2019, the Company entered into a term loan pursuant to the Loan Agreement as described above in Note 4.</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Facilities</w:t>
      </w:r>
    </w:p>
    <w:p>
      <w:pPr>
        <w:spacing w:after="0" w:line="79" w:lineRule="exact"/>
        <w:rPr>
          <w:sz w:val="20"/>
          <w:szCs w:val="20"/>
          <w:color w:val="auto"/>
        </w:rPr>
      </w:pPr>
    </w:p>
    <w:p>
      <w:pPr>
        <w:ind w:left="560" w:right="160"/>
        <w:spacing w:after="0" w:line="243" w:lineRule="auto"/>
        <w:rPr>
          <w:sz w:val="20"/>
          <w:szCs w:val="20"/>
          <w:color w:val="auto"/>
        </w:rPr>
      </w:pPr>
      <w:r>
        <w:rPr>
          <w:rFonts w:ascii="Arial" w:cs="Arial" w:eastAsia="Arial" w:hAnsi="Arial"/>
          <w:sz w:val="17"/>
          <w:szCs w:val="17"/>
          <w:color w:val="auto"/>
        </w:rPr>
        <w:t>In 2015, the Company entered into a noncancelable lease for office space for a period of three years and two months, commencing March 2015 and ending May 31, 2018.</w:t>
      </w:r>
    </w:p>
    <w:p>
      <w:pPr>
        <w:spacing w:after="0" w:line="90" w:lineRule="exact"/>
        <w:rPr>
          <w:sz w:val="20"/>
          <w:szCs w:val="20"/>
          <w:color w:val="auto"/>
        </w:rPr>
      </w:pPr>
    </w:p>
    <w:p>
      <w:pPr>
        <w:ind w:left="560" w:right="300"/>
        <w:spacing w:after="0" w:line="243" w:lineRule="auto"/>
        <w:rPr>
          <w:sz w:val="20"/>
          <w:szCs w:val="20"/>
          <w:color w:val="auto"/>
        </w:rPr>
      </w:pPr>
      <w:r>
        <w:rPr>
          <w:rFonts w:ascii="Arial" w:cs="Arial" w:eastAsia="Arial" w:hAnsi="Arial"/>
          <w:sz w:val="17"/>
          <w:szCs w:val="17"/>
          <w:color w:val="auto"/>
        </w:rPr>
        <w:t>In 2016, the Company entered into a sublease agreement for office space for a period of four years, commencing June 2016 and ending May 31, 2020. This sublease was terminated early in May 2018 without any fees and penalties.</w:t>
      </w:r>
    </w:p>
    <w:p>
      <w:pPr>
        <w:spacing w:after="0" w:line="90" w:lineRule="exact"/>
        <w:rPr>
          <w:sz w:val="20"/>
          <w:szCs w:val="20"/>
          <w:color w:val="auto"/>
        </w:rPr>
      </w:pPr>
    </w:p>
    <w:p>
      <w:pPr>
        <w:ind w:left="560" w:right="140"/>
        <w:spacing w:after="0" w:line="243" w:lineRule="auto"/>
        <w:rPr>
          <w:sz w:val="20"/>
          <w:szCs w:val="20"/>
          <w:color w:val="auto"/>
        </w:rPr>
      </w:pPr>
      <w:r>
        <w:rPr>
          <w:rFonts w:ascii="Arial" w:cs="Arial" w:eastAsia="Arial" w:hAnsi="Arial"/>
          <w:sz w:val="17"/>
          <w:szCs w:val="17"/>
          <w:color w:val="auto"/>
        </w:rPr>
        <w:t>In 2017, the Company entered into a lease agreement for office space for a period of five years and four months, commencing February 1, 2018 and ending May 31, 2023.</w:t>
      </w:r>
    </w:p>
    <w:p>
      <w:pPr>
        <w:spacing w:after="0" w:line="90"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Minimum rent payments under operating leases are recognized on a straight-line basis over the term of the lease including any periods of free rent. Rent expense for years ended December 31, 2018 and December 31, 2019 were $1.0 million and $0.8 million, respectively.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Manufacturing and Service Contracts</w:t>
      </w:r>
    </w:p>
    <w:p>
      <w:pPr>
        <w:spacing w:after="0" w:line="93" w:lineRule="exact"/>
        <w:rPr>
          <w:sz w:val="20"/>
          <w:szCs w:val="20"/>
          <w:color w:val="auto"/>
        </w:rPr>
      </w:pPr>
    </w:p>
    <w:p>
      <w:pPr>
        <w:ind w:left="560" w:right="20"/>
        <w:spacing w:after="0" w:line="238" w:lineRule="auto"/>
        <w:rPr>
          <w:sz w:val="20"/>
          <w:szCs w:val="20"/>
          <w:color w:val="auto"/>
        </w:rPr>
      </w:pPr>
      <w:r>
        <w:rPr>
          <w:rFonts w:ascii="Arial" w:cs="Arial" w:eastAsia="Arial" w:hAnsi="Arial"/>
          <w:sz w:val="17"/>
          <w:szCs w:val="17"/>
          <w:color w:val="auto"/>
        </w:rPr>
        <w:t>In November 2015, the Company entered into a Master Service Agreement, or MSA, with KBI Biopharma, Inc, or KBI, relating to formulation development, process development and cGMP manufacturing of ALX148 for use in clinical trials on a project basis. The MSA had an initial term of three years which the Company subsequently extended. See table above for future committed purchases with KBI.</w:t>
      </w:r>
    </w:p>
    <w:p>
      <w:pPr>
        <w:spacing w:after="0" w:line="147" w:lineRule="exact"/>
        <w:rPr>
          <w:sz w:val="20"/>
          <w:szCs w:val="20"/>
          <w:color w:val="auto"/>
        </w:rPr>
      </w:pPr>
    </w:p>
    <w:p>
      <w:pPr>
        <w:ind w:left="560" w:right="20"/>
        <w:spacing w:after="0" w:line="238" w:lineRule="auto"/>
        <w:rPr>
          <w:sz w:val="20"/>
          <w:szCs w:val="20"/>
          <w:color w:val="auto"/>
        </w:rPr>
      </w:pPr>
      <w:r>
        <w:rPr>
          <w:rFonts w:ascii="Arial" w:cs="Arial" w:eastAsia="Arial" w:hAnsi="Arial"/>
          <w:sz w:val="17"/>
          <w:szCs w:val="17"/>
          <w:color w:val="auto"/>
        </w:rPr>
        <w:t>The Company also enters into other contracts in the normal course of business with CROs, contract development and manufacturing organizations and other service providers and vendors. These contracts generally provide for termination on short notice and are cancelable contracts and, accordingly, are not included in the contractual obligations and disclosures summarized above.</w:t>
      </w:r>
    </w:p>
    <w:p>
      <w:pPr>
        <w:spacing w:after="0" w:line="330"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LICENSE AGREEMENT</w:t>
      </w:r>
    </w:p>
    <w:p>
      <w:pPr>
        <w:spacing w:after="0" w:line="15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79" w:lineRule="exact"/>
        <w:rPr>
          <w:rFonts w:ascii="Arial" w:cs="Arial" w:eastAsia="Arial" w:hAnsi="Arial"/>
          <w:sz w:val="17"/>
          <w:szCs w:val="17"/>
          <w:b w:val="1"/>
          <w:bCs w:val="1"/>
          <w:color w:val="auto"/>
        </w:rPr>
      </w:pPr>
    </w:p>
    <w:p>
      <w:pPr>
        <w:ind w:left="560" w:right="40"/>
        <w:spacing w:after="0"/>
        <w:rPr>
          <w:rFonts w:ascii="Arial" w:cs="Arial" w:eastAsia="Arial" w:hAnsi="Arial"/>
          <w:sz w:val="17"/>
          <w:szCs w:val="17"/>
          <w:b w:val="1"/>
          <w:bCs w:val="1"/>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50"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ordinary shares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December 31, 2019.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93"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50"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51" w:lineRule="exact"/>
        <w:rPr>
          <w:sz w:val="20"/>
          <w:szCs w:val="20"/>
          <w:color w:val="auto"/>
        </w:rPr>
      </w:pPr>
    </w:p>
    <w:p>
      <w:pPr>
        <w:jc w:val="both"/>
        <w:ind w:left="560" w:right="80"/>
        <w:spacing w:after="0" w:line="236"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40"/>
        <w:spacing w:after="0" w:line="243" w:lineRule="auto"/>
        <w:rPr>
          <w:sz w:val="20"/>
          <w:szCs w:val="20"/>
          <w:color w:val="auto"/>
        </w:rPr>
      </w:pPr>
      <w:r>
        <w:rPr>
          <w:rFonts w:ascii="Arial" w:cs="Arial" w:eastAsia="Arial" w:hAnsi="Arial"/>
          <w:sz w:val="17"/>
          <w:szCs w:val="17"/>
          <w:color w:val="auto"/>
        </w:rPr>
        <w:t>certain circumstances the licenses granted under the agreement will terminate unless they have become fully paid up as described in the previous paragraph.</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93" w:lineRule="exact"/>
        <w:rPr>
          <w:sz w:val="20"/>
          <w:szCs w:val="20"/>
          <w:color w:val="auto"/>
        </w:rPr>
      </w:pPr>
    </w:p>
    <w:p>
      <w:pPr>
        <w:ind w:left="560" w:right="120"/>
        <w:spacing w:after="0" w:line="239"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SIRPa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7"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51"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The Company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560" w:right="160"/>
        <w:spacing w:after="0" w:line="236" w:lineRule="auto"/>
        <w:rPr>
          <w:sz w:val="20"/>
          <w:szCs w:val="20"/>
          <w:color w:val="auto"/>
        </w:rPr>
      </w:pPr>
      <w:r>
        <w:rPr>
          <w:rFonts w:ascii="Arial" w:cs="Arial" w:eastAsia="Arial" w:hAnsi="Arial"/>
          <w:sz w:val="17"/>
          <w:szCs w:val="17"/>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332"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DEFINED CONTRIBUTION PLAN</w:t>
      </w:r>
    </w:p>
    <w:p>
      <w:pPr>
        <w:spacing w:after="0" w:line="175" w:lineRule="exact"/>
        <w:rPr>
          <w:rFonts w:ascii="Arial" w:cs="Arial" w:eastAsia="Arial" w:hAnsi="Arial"/>
          <w:sz w:val="17"/>
          <w:szCs w:val="17"/>
          <w:b w:val="1"/>
          <w:bCs w:val="1"/>
          <w:color w:val="auto"/>
        </w:rPr>
      </w:pPr>
    </w:p>
    <w:p>
      <w:pPr>
        <w:ind w:left="560" w:right="50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 Company has a qualified 401(k) Savings and Investment Plan, or the Plan, whereby employees may contribute up to the Federal annual limits. The Company does not match employee contributions.</w:t>
      </w:r>
    </w:p>
    <w:p>
      <w:pPr>
        <w:spacing w:after="0" w:line="326" w:lineRule="exact"/>
        <w:rPr>
          <w:rFonts w:ascii="Arial" w:cs="Arial" w:eastAsia="Arial" w:hAnsi="Arial"/>
          <w:sz w:val="17"/>
          <w:szCs w:val="17"/>
          <w:b w:val="1"/>
          <w:bCs w:val="1"/>
          <w:color w:val="auto"/>
        </w:rPr>
      </w:pPr>
    </w:p>
    <w:p>
      <w:pPr>
        <w:ind w:left="560" w:right="7740" w:hanging="444"/>
        <w:spacing w:after="0" w:line="435" w:lineRule="auto"/>
        <w:tabs>
          <w:tab w:leader="none" w:pos="552"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RELATED-PARTY TRANSACTIONS </w:t>
      </w:r>
      <w:r>
        <w:rPr>
          <w:rFonts w:ascii="Arial" w:cs="Arial" w:eastAsia="Arial" w:hAnsi="Arial"/>
          <w:sz w:val="16"/>
          <w:szCs w:val="16"/>
          <w:i w:val="1"/>
          <w:iCs w:val="1"/>
          <w:color w:val="auto"/>
        </w:rPr>
        <w:t>Related-Party Revenue</w:t>
      </w:r>
    </w:p>
    <w:p>
      <w:pPr>
        <w:spacing w:after="0" w:line="1" w:lineRule="exact"/>
        <w:rPr>
          <w:rFonts w:ascii="Arial" w:cs="Arial" w:eastAsia="Arial" w:hAnsi="Arial"/>
          <w:sz w:val="16"/>
          <w:szCs w:val="16"/>
          <w:b w:val="1"/>
          <w:bCs w:val="1"/>
          <w:color w:val="auto"/>
        </w:rPr>
      </w:pPr>
    </w:p>
    <w:p>
      <w:pPr>
        <w:ind w:left="560" w:right="60"/>
        <w:spacing w:after="0" w:line="234" w:lineRule="auto"/>
        <w:rPr>
          <w:rFonts w:ascii="Arial" w:cs="Arial" w:eastAsia="Arial" w:hAnsi="Arial"/>
          <w:sz w:val="16"/>
          <w:szCs w:val="16"/>
          <w:b w:val="1"/>
          <w:bCs w:val="1"/>
          <w:color w:val="auto"/>
        </w:rPr>
      </w:pPr>
      <w:r>
        <w:rPr>
          <w:rFonts w:ascii="Arial" w:cs="Arial" w:eastAsia="Arial" w:hAnsi="Arial"/>
          <w:sz w:val="17"/>
          <w:szCs w:val="17"/>
          <w:color w:val="auto"/>
        </w:rPr>
        <w:t>In June 2018, the Company entered into a Research and Development Services Agreement, or Tollnine Agreement, with Tollnine, Inc., or Tollnine, a related-party of the Company, to provide research and development services to Tollnine. The Company’s Chief Executive Officer is also the Chief Executive Officer of Tollnine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our customer, obtains control of promised goods or services, in an amount that reflects the consideration which the Company expects to receive in exchange for those goods or services. For the years ended December 31, 2018 and December 31, 2019, the Company recognized related-party revenues of $2.1 million and $4.8 million, respectively, under the Tollnine Agreement.</w:t>
      </w:r>
    </w:p>
    <w:p>
      <w:pPr>
        <w:spacing w:after="0" w:line="129"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7"/>
          <w:szCs w:val="17"/>
          <w:i w:val="1"/>
          <w:iCs w:val="1"/>
          <w:color w:val="auto"/>
        </w:rPr>
        <w:t>Receivables due from Related-Party</w:t>
      </w:r>
    </w:p>
    <w:p>
      <w:pPr>
        <w:spacing w:after="0" w:line="119" w:lineRule="exact"/>
        <w:rPr>
          <w:rFonts w:ascii="Arial" w:cs="Arial" w:eastAsia="Arial" w:hAnsi="Arial"/>
          <w:sz w:val="16"/>
          <w:szCs w:val="16"/>
          <w:b w:val="1"/>
          <w:bCs w:val="1"/>
          <w:color w:val="auto"/>
        </w:rPr>
      </w:pPr>
    </w:p>
    <w:p>
      <w:pPr>
        <w:ind w:left="560" w:right="120"/>
        <w:spacing w:after="0" w:line="243" w:lineRule="auto"/>
        <w:rPr>
          <w:rFonts w:ascii="Arial" w:cs="Arial" w:eastAsia="Arial" w:hAnsi="Arial"/>
          <w:sz w:val="16"/>
          <w:szCs w:val="16"/>
          <w:b w:val="1"/>
          <w:bCs w:val="1"/>
          <w:color w:val="auto"/>
        </w:rPr>
      </w:pPr>
      <w:r>
        <w:rPr>
          <w:rFonts w:ascii="Arial" w:cs="Arial" w:eastAsia="Arial" w:hAnsi="Arial"/>
          <w:sz w:val="17"/>
          <w:szCs w:val="17"/>
          <w:color w:val="auto"/>
        </w:rPr>
        <w:t>As of December 31, 2018, and 2019, the Company had outstanding related-party receivables from Tollnine of $0.9 million and $0.5 million, respectively.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ORDINARY SHAREHOLDERS AND UNAUDITED PRO FORMA NET LOSS PER SHARE</w:t>
      </w:r>
    </w:p>
    <w:p>
      <w:pPr>
        <w:spacing w:after="0" w:line="94" w:lineRule="exact"/>
        <w:rPr>
          <w:rFonts w:ascii="Arial" w:cs="Arial" w:eastAsia="Arial" w:hAnsi="Arial"/>
          <w:sz w:val="17"/>
          <w:szCs w:val="17"/>
          <w:b w:val="1"/>
          <w:bCs w:val="1"/>
          <w:color w:val="auto"/>
        </w:rPr>
      </w:pPr>
    </w:p>
    <w:p>
      <w:pPr>
        <w:ind w:left="560" w:right="4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 following table sets forth the computation of the basic and diluted net loss per share attributable to ordinary shareholders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0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806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060" w:type="dxa"/>
            <w:vAlign w:val="bottom"/>
          </w:tcPr>
          <w:p>
            <w:pPr>
              <w:ind w:left="260"/>
              <w:spacing w:after="0" w:line="189" w:lineRule="exact"/>
              <w:rPr>
                <w:sz w:val="20"/>
                <w:szCs w:val="20"/>
                <w:color w:val="auto"/>
              </w:rPr>
            </w:pPr>
            <w:r>
              <w:rPr>
                <w:rFonts w:ascii="Arial" w:cs="Arial" w:eastAsia="Arial" w:hAnsi="Arial"/>
                <w:sz w:val="17"/>
                <w:szCs w:val="17"/>
                <w:color w:val="auto"/>
              </w:rPr>
              <w:t>Net loss</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(13,731)</w:t>
            </w:r>
          </w:p>
        </w:tc>
        <w:tc>
          <w:tcPr>
            <w:tcW w:w="3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(19,243)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0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Less: cumulative dividends allocated to preferred shareholders</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(3,671)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60" w:type="dxa"/>
            <w:vAlign w:val="bottom"/>
            <w:vMerge w:val="restart"/>
          </w:tcPr>
          <w:p>
            <w:pPr>
              <w:ind w:left="260"/>
              <w:spacing w:after="0"/>
              <w:rPr>
                <w:sz w:val="20"/>
                <w:szCs w:val="20"/>
                <w:color w:val="auto"/>
              </w:rPr>
            </w:pPr>
            <w:r>
              <w:rPr>
                <w:rFonts w:ascii="Arial" w:cs="Arial" w:eastAsia="Arial" w:hAnsi="Arial"/>
                <w:sz w:val="17"/>
                <w:szCs w:val="17"/>
                <w:color w:val="auto"/>
              </w:rPr>
              <w:t>Net loss attributable to ordinary shareholders</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0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(17,402)</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(23,271)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8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Denominator:</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060" w:type="dxa"/>
            <w:vAlign w:val="bottom"/>
          </w:tcPr>
          <w:p>
            <w:pPr>
              <w:ind w:left="260"/>
              <w:spacing w:after="0" w:line="189" w:lineRule="exact"/>
              <w:rPr>
                <w:sz w:val="20"/>
                <w:szCs w:val="20"/>
                <w:color w:val="auto"/>
              </w:rPr>
            </w:pPr>
            <w:r>
              <w:rPr>
                <w:rFonts w:ascii="Arial" w:cs="Arial" w:eastAsia="Arial" w:hAnsi="Arial"/>
                <w:sz w:val="17"/>
                <w:szCs w:val="17"/>
                <w:color w:val="auto"/>
              </w:rPr>
              <w:t>Weighted-average ordinary shares outstanding</w:t>
            </w:r>
          </w:p>
        </w:tc>
        <w:tc>
          <w:tcPr>
            <w:tcW w:w="140" w:type="dxa"/>
            <w:vAlign w:val="bottom"/>
          </w:tcPr>
          <w:p>
            <w:pPr>
              <w:spacing w:after="0"/>
              <w:rPr>
                <w:sz w:val="16"/>
                <w:szCs w:val="16"/>
                <w:color w:val="auto"/>
              </w:rPr>
            </w:pPr>
          </w:p>
        </w:tc>
        <w:tc>
          <w:tcPr>
            <w:tcW w:w="10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2,750,838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3,076,461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8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7"/>
                <w:szCs w:val="17"/>
                <w:color w:val="auto"/>
              </w:rPr>
              <w:t>(6.33)</w:t>
            </w:r>
          </w:p>
        </w:tc>
        <w:tc>
          <w:tcPr>
            <w:tcW w:w="3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560" w:right="20"/>
        <w:spacing w:after="0" w:line="236" w:lineRule="auto"/>
        <w:rPr>
          <w:sz w:val="20"/>
          <w:szCs w:val="20"/>
          <w:color w:val="auto"/>
        </w:rPr>
      </w:pPr>
      <w:r>
        <w:rPr>
          <w:rFonts w:ascii="Arial" w:cs="Arial" w:eastAsia="Arial" w:hAnsi="Arial"/>
          <w:sz w:val="17"/>
          <w:szCs w:val="17"/>
          <w:color w:val="auto"/>
        </w:rPr>
        <w:t>Since the Company was in a loss position for all periods presented, basic net loss per share is the same as diluted net loss per share for all periods as the inclusion of all potential ordinary shares outstanding would have been anti-dilutive. Potentially dilutive securities that were not included in the diluted per share calculations as of December 31, 2018 and December 31, 2019 because they would be anti-dilutive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14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124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1,016,727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to purchase convertible preferred shares</w:t>
            </w:r>
          </w:p>
        </w:tc>
        <w:tc>
          <w:tcPr>
            <w:tcW w:w="12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61,292</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Ordinary shares subject to repurchase</w:t>
            </w:r>
          </w:p>
        </w:tc>
        <w:tc>
          <w:tcPr>
            <w:tcW w:w="11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229,912</w:t>
            </w:r>
          </w:p>
        </w:tc>
        <w:tc>
          <w:tcPr>
            <w:tcW w:w="140" w:type="dxa"/>
            <w:vAlign w:val="bottom"/>
          </w:tcPr>
          <w:p>
            <w:pPr>
              <w:spacing w:after="0"/>
              <w:rPr>
                <w:sz w:val="16"/>
                <w:szCs w:val="16"/>
                <w:color w:val="auto"/>
              </w:rPr>
            </w:pP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34,024</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issued and outstanding</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864,819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1,183,745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vMerge w:val="restart"/>
          </w:tcPr>
          <w:p>
            <w:pPr>
              <w:ind w:left="260"/>
              <w:spacing w:after="0"/>
              <w:rPr>
                <w:sz w:val="20"/>
                <w:szCs w:val="20"/>
                <w:color w:val="auto"/>
              </w:rPr>
            </w:pPr>
            <w:r>
              <w:rPr>
                <w:rFonts w:ascii="Arial" w:cs="Arial" w:eastAsia="Arial" w:hAnsi="Arial"/>
                <w:sz w:val="17"/>
                <w:szCs w:val="17"/>
                <w:color w:val="auto"/>
              </w:rPr>
              <w:t>Total</w:t>
            </w: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14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10,391,812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11,592,869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340"/>
        <w:spacing w:after="0" w:line="243" w:lineRule="auto"/>
        <w:rPr>
          <w:sz w:val="20"/>
          <w:szCs w:val="20"/>
          <w:color w:val="auto"/>
        </w:rPr>
      </w:pPr>
      <w:r>
        <w:rPr>
          <w:rFonts w:ascii="Arial" w:cs="Arial" w:eastAsia="Arial" w:hAnsi="Arial"/>
          <w:sz w:val="17"/>
          <w:szCs w:val="17"/>
          <w:color w:val="auto"/>
        </w:rPr>
        <w:t>The following table sets forth the computation of the Company’s unaudited pro forma basic and diluted net loss per share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-119380</wp:posOffset>
            </wp:positionV>
            <wp:extent cx="6711950"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11950" cy="128905"/>
                    </a:xfrm>
                    <a:prstGeom prst="rect">
                      <a:avLst/>
                    </a:prstGeom>
                    <a:noFill/>
                  </pic:spPr>
                </pic:pic>
              </a:graphicData>
            </a:graphic>
          </wp:anchor>
        </w:drawing>
      </w:r>
    </w:p>
    <w:p>
      <w:pPr>
        <w:spacing w:after="0" w:line="41" w:lineRule="exact"/>
        <w:rPr>
          <w:sz w:val="20"/>
          <w:szCs w:val="20"/>
          <w:color w:val="auto"/>
        </w:rPr>
      </w:pPr>
    </w:p>
    <w:p>
      <w:pPr>
        <w:ind w:left="1060" w:right="137" w:hanging="250"/>
        <w:spacing w:after="0" w:line="232" w:lineRule="auto"/>
        <w:rPr>
          <w:sz w:val="20"/>
          <w:szCs w:val="20"/>
          <w:color w:val="auto"/>
        </w:rPr>
      </w:pPr>
      <w:r>
        <w:rPr>
          <w:rFonts w:ascii="Arial" w:cs="Arial" w:eastAsia="Arial" w:hAnsi="Arial"/>
          <w:sz w:val="17"/>
          <w:szCs w:val="17"/>
          <w:color w:val="auto"/>
        </w:rPr>
        <w:t>Weighted-average ordinary shares used in computing net loss per share attributable to ordinary shareholders, basic and diluted</w:t>
      </w:r>
    </w:p>
    <w:p>
      <w:pPr>
        <w:ind w:left="1060" w:right="317" w:hanging="250"/>
        <w:spacing w:after="0" w:line="243" w:lineRule="auto"/>
        <w:rPr>
          <w:sz w:val="20"/>
          <w:szCs w:val="20"/>
          <w:color w:val="auto"/>
        </w:rPr>
      </w:pPr>
      <w:r>
        <w:rPr>
          <w:rFonts w:ascii="Arial" w:cs="Arial" w:eastAsia="Arial" w:hAnsi="Arial"/>
          <w:sz w:val="17"/>
          <w:szCs w:val="17"/>
          <w:color w:val="auto"/>
        </w:rPr>
        <w:t>Pro forma adjustment to reflect assumed conversion of preferred shares and accrued dividends allocable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-247015</wp:posOffset>
            </wp:positionV>
            <wp:extent cx="6711950" cy="2400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11950" cy="240030"/>
                    </a:xfrm>
                    <a:prstGeom prst="rect">
                      <a:avLst/>
                    </a:prstGeom>
                    <a:noFill/>
                  </pic:spPr>
                </pic:pic>
              </a:graphicData>
            </a:graphic>
          </wp:anchor>
        </w:drawing>
      </w:r>
    </w:p>
    <w:p>
      <w:pPr>
        <w:ind w:left="560" w:right="1177"/>
        <w:spacing w:after="0" w:line="309" w:lineRule="auto"/>
        <w:rPr>
          <w:sz w:val="20"/>
          <w:szCs w:val="20"/>
          <w:color w:val="auto"/>
        </w:rPr>
      </w:pPr>
      <w:r>
        <w:rPr>
          <w:rFonts w:ascii="Arial" w:cs="Arial" w:eastAsia="Arial" w:hAnsi="Arial"/>
          <w:sz w:val="17"/>
          <w:szCs w:val="17"/>
          <w:color w:val="auto"/>
        </w:rPr>
        <w:t>Weighted-average ordinary shares used to compute pro forma net loss per share, basic and diluted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-160655</wp:posOffset>
            </wp:positionV>
            <wp:extent cx="6711950" cy="1200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1195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ind w:left="3" w:right="117"/>
        <w:spacing w:after="0" w:line="251" w:lineRule="auto"/>
        <w:rPr>
          <w:sz w:val="20"/>
          <w:szCs w:val="20"/>
          <w:color w:val="auto"/>
        </w:rPr>
      </w:pPr>
      <w:r>
        <w:rPr>
          <w:rFonts w:ascii="Arial" w:cs="Arial" w:eastAsia="Arial" w:hAnsi="Arial"/>
          <w:sz w:val="14"/>
          <w:szCs w:val="14"/>
          <w:b w:val="1"/>
          <w:bCs w:val="1"/>
          <w:color w:val="auto"/>
        </w:rPr>
        <w:t>YEAR ENDED DECEMBER 31, 2019</w:t>
      </w:r>
    </w:p>
    <w:p>
      <w:pPr>
        <w:spacing w:after="0" w:line="1" w:lineRule="exact"/>
        <w:rPr>
          <w:sz w:val="20"/>
          <w:szCs w:val="20"/>
          <w:color w:val="auto"/>
        </w:rPr>
      </w:pPr>
    </w:p>
    <w:p>
      <w:pPr>
        <w:ind w:left="483" w:hanging="483"/>
        <w:spacing w:after="0"/>
        <w:tabs>
          <w:tab w:leader="none" w:pos="48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(19,243)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7754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17" w:lineRule="exact"/>
        <w:rPr>
          <w:sz w:val="20"/>
          <w:szCs w:val="20"/>
          <w:color w:val="auto"/>
        </w:rPr>
      </w:pPr>
    </w:p>
    <w:p>
      <w:pPr>
        <w:ind w:left="303"/>
        <w:spacing w:after="0"/>
        <w:rPr>
          <w:sz w:val="20"/>
          <w:szCs w:val="20"/>
          <w:color w:val="auto"/>
        </w:rPr>
      </w:pPr>
      <w:r>
        <w:rPr>
          <w:rFonts w:ascii="Arial" w:cs="Arial" w:eastAsia="Arial" w:hAnsi="Arial"/>
          <w:sz w:val="17"/>
          <w:szCs w:val="17"/>
          <w:color w:val="auto"/>
        </w:rPr>
        <w:t>3,076,461</w:t>
      </w:r>
    </w:p>
    <w:p>
      <w:pPr>
        <w:spacing w:after="0" w:line="183" w:lineRule="exact"/>
        <w:rPr>
          <w:sz w:val="20"/>
          <w:szCs w:val="20"/>
          <w:color w:val="auto"/>
        </w:rPr>
      </w:pPr>
    </w:p>
    <w:p>
      <w:pPr>
        <w:ind w:left="203"/>
        <w:spacing w:after="0"/>
        <w:rPr>
          <w:sz w:val="20"/>
          <w:szCs w:val="20"/>
          <w:color w:val="auto"/>
        </w:rPr>
      </w:pPr>
      <w:r>
        <w:rPr>
          <w:rFonts w:ascii="Arial" w:cs="Arial" w:eastAsia="Arial" w:hAnsi="Arial"/>
          <w:sz w:val="17"/>
          <w:szCs w:val="17"/>
          <w:color w:val="auto"/>
        </w:rPr>
        <w:t>11,253,839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 w:lineRule="exact"/>
        <w:rPr>
          <w:sz w:val="20"/>
          <w:szCs w:val="20"/>
          <w:color w:val="auto"/>
        </w:rPr>
      </w:pPr>
    </w:p>
    <w:p>
      <w:pPr>
        <w:ind w:left="203"/>
        <w:spacing w:after="0"/>
        <w:rPr>
          <w:sz w:val="20"/>
          <w:szCs w:val="20"/>
          <w:color w:val="auto"/>
        </w:rPr>
      </w:pPr>
      <w:r>
        <w:rPr>
          <w:rFonts w:ascii="Arial" w:cs="Arial" w:eastAsia="Arial" w:hAnsi="Arial"/>
          <w:sz w:val="17"/>
          <w:szCs w:val="17"/>
          <w:color w:val="auto"/>
        </w:rPr>
        <w:t>14,330,300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7754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8" w:lineRule="exact"/>
        <w:rPr>
          <w:sz w:val="20"/>
          <w:szCs w:val="20"/>
          <w:color w:val="auto"/>
        </w:rPr>
      </w:pPr>
    </w:p>
    <w:p>
      <w:pPr>
        <w:ind w:left="683" w:hanging="683"/>
        <w:spacing w:after="0"/>
        <w:tabs>
          <w:tab w:leader="none" w:pos="68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7754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6775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9237" w:space="720"/>
            <w:col w:w="1183"/>
          </w:cols>
          <w:pgMar w:left="320" w:top="459" w:right="439" w:bottom="1440" w:gutter="0" w:footer="0" w:header="0"/>
          <w:type w:val="continuous"/>
        </w:sect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140"/>
          </w:cols>
          <w:pgMar w:left="320" w:top="459" w:right="439" w:bottom="1440" w:gutter="0" w:footer="0" w:header="0"/>
          <w:type w:val="continuous"/>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55"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Series C Preferred Share Issuance</w:t>
      </w:r>
    </w:p>
    <w:p>
      <w:pPr>
        <w:spacing w:after="0" w:line="94" w:lineRule="exact"/>
        <w:rPr>
          <w:rFonts w:ascii="Arial" w:cs="Arial" w:eastAsia="Arial" w:hAnsi="Arial"/>
          <w:sz w:val="17"/>
          <w:szCs w:val="17"/>
          <w:b w:val="1"/>
          <w:bCs w:val="1"/>
          <w:color w:val="auto"/>
        </w:rPr>
      </w:pPr>
    </w:p>
    <w:p>
      <w:pPr>
        <w:ind w:left="560" w:right="22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In February 2020, the Company entered into a Series C Preferred Share Purchase Agreement, or the Series C Agreement, with certain existing investors, employees and new investors, or collectively, the Series C Investors. Under the terms of the Series C Agreement, the Company authorized the sale and issuance of up to 11,055,981 Series C convertible preferred shares at a purchase price of $9.4972 per share. To date, all authorized Series C convertible preferred shares have been purchased with gross proceeds of $105.0 million.</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Reorganization</w:t>
      </w:r>
    </w:p>
    <w:p>
      <w:pPr>
        <w:spacing w:after="0" w:line="121" w:lineRule="exact"/>
        <w:rPr>
          <w:rFonts w:ascii="Arial" w:cs="Arial" w:eastAsia="Arial" w:hAnsi="Arial"/>
          <w:sz w:val="17"/>
          <w:szCs w:val="17"/>
          <w:b w:val="1"/>
          <w:bCs w:val="1"/>
          <w:color w:val="auto"/>
        </w:rPr>
      </w:pPr>
    </w:p>
    <w:p>
      <w:pPr>
        <w:ind w:left="5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On April 1, 2020, the Company completed an internal reorganization transaction pursuant to which ALX Oncology Limited became a wholly-owned subsidiary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Reverse Stock Split</w:t>
      </w:r>
    </w:p>
    <w:p>
      <w:pPr>
        <w:spacing w:after="0" w:line="81" w:lineRule="exact"/>
        <w:rPr>
          <w:rFonts w:ascii="Arial" w:cs="Arial" w:eastAsia="Arial" w:hAnsi="Arial"/>
          <w:sz w:val="17"/>
          <w:szCs w:val="17"/>
          <w:b w:val="1"/>
          <w:bCs w:val="1"/>
          <w:color w:val="auto"/>
        </w:rPr>
      </w:pPr>
    </w:p>
    <w:p>
      <w:pPr>
        <w:ind w:left="560" w:right="12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On July 8, 2020, the Company’s board of directors approved an amendment to ALX Oncology Holdings Inc.’s certificate of incorporation to effect a 1-for-6.5806 reverse split of its ordinary shares and convertible preferred shares. The par values of the ordinary and convertible preferred shares were not adjusted as a result of the reverse stock split. All authorized, issued and outstanding ordinary shares and convertible preferred shares and related per share amounts contained in the consolidated financial statements have been retroactively adjusted to reflect this reverse stock split for all periods presented. The reverse stock split was effected on July 9, 2020.</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jc w:val="center"/>
        <w:ind w:right="-99"/>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80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8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9,017</w:t>
            </w:r>
          </w:p>
        </w:tc>
        <w:tc>
          <w:tcPr>
            <w:tcW w:w="54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259,484</w:t>
            </w: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Receivables due from related-party</w:t>
            </w:r>
          </w:p>
        </w:tc>
        <w:tc>
          <w:tcPr>
            <w:tcW w:w="2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536</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256</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2,393</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500"/>
              <w:spacing w:after="0"/>
              <w:rPr>
                <w:sz w:val="20"/>
                <w:szCs w:val="20"/>
                <w:color w:val="auto"/>
              </w:rPr>
            </w:pPr>
            <w:r>
              <w:rPr>
                <w:rFonts w:ascii="Arial" w:cs="Arial" w:eastAsia="Arial" w:hAnsi="Arial"/>
                <w:sz w:val="17"/>
                <w:szCs w:val="17"/>
                <w:color w:val="auto"/>
              </w:rPr>
              <w:t>Total current assets</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9,809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262,404</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860</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9"/>
        </w:trPr>
        <w:tc>
          <w:tcPr>
            <w:tcW w:w="808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16"/>
                <w:szCs w:val="16"/>
                <w:color w:val="auto"/>
              </w:rPr>
            </w:pPr>
          </w:p>
        </w:tc>
        <w:tc>
          <w:tcPr>
            <w:tcW w:w="11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7</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0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assets</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10,676</w:t>
            </w:r>
          </w:p>
        </w:tc>
        <w:tc>
          <w:tcPr>
            <w:tcW w:w="3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262,449</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stock and stockholders’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2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3,748</w:t>
            </w:r>
          </w:p>
        </w:tc>
        <w:tc>
          <w:tcPr>
            <w:tcW w:w="54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1,421</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1,236</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3,205</w:t>
            </w: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Term loan—current</w:t>
            </w:r>
          </w:p>
        </w:tc>
        <w:tc>
          <w:tcPr>
            <w:tcW w:w="240" w:type="dxa"/>
            <w:vAlign w:val="bottom"/>
          </w:tcPr>
          <w:p>
            <w:pPr>
              <w:spacing w:after="0"/>
              <w:rPr>
                <w:sz w:val="16"/>
                <w:szCs w:val="16"/>
                <w:color w:val="auto"/>
              </w:rPr>
            </w:pPr>
          </w:p>
        </w:tc>
        <w:tc>
          <w:tcPr>
            <w:tcW w:w="11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2,571</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0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current liabilities</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4,984</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7,197</w:t>
            </w:r>
          </w:p>
        </w:tc>
        <w:tc>
          <w:tcPr>
            <w:tcW w:w="0" w:type="dxa"/>
            <w:vAlign w:val="bottom"/>
          </w:tcPr>
          <w:p>
            <w:pPr>
              <w:spacing w:after="0"/>
              <w:rPr>
                <w:sz w:val="1"/>
                <w:szCs w:val="1"/>
                <w:color w:val="auto"/>
              </w:rPr>
            </w:pPr>
          </w:p>
        </w:tc>
      </w:tr>
      <w:tr>
        <w:trPr>
          <w:trHeight w:val="189"/>
        </w:trPr>
        <w:tc>
          <w:tcPr>
            <w:tcW w:w="8080" w:type="dxa"/>
            <w:vAlign w:val="bottom"/>
          </w:tcPr>
          <w:p>
            <w:pPr>
              <w:spacing w:after="0" w:line="189" w:lineRule="exact"/>
              <w:rPr>
                <w:sz w:val="20"/>
                <w:szCs w:val="20"/>
                <w:color w:val="auto"/>
              </w:rPr>
            </w:pPr>
            <w:r>
              <w:rPr>
                <w:rFonts w:ascii="Arial" w:cs="Arial" w:eastAsia="Arial" w:hAnsi="Arial"/>
                <w:sz w:val="17"/>
                <w:szCs w:val="17"/>
                <w:color w:val="auto"/>
              </w:rPr>
              <w:t>Term loan—non-current</w:t>
            </w:r>
          </w:p>
        </w:tc>
        <w:tc>
          <w:tcPr>
            <w:tcW w:w="240" w:type="dxa"/>
            <w:vAlign w:val="bottom"/>
          </w:tcPr>
          <w:p>
            <w:pPr>
              <w:spacing w:after="0"/>
              <w:rPr>
                <w:sz w:val="16"/>
                <w:szCs w:val="16"/>
                <w:color w:val="auto"/>
              </w:rPr>
            </w:pPr>
          </w:p>
        </w:tc>
        <w:tc>
          <w:tcPr>
            <w:tcW w:w="11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5,421</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3,189</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non-current liabilities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547</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500"/>
              <w:spacing w:after="0"/>
              <w:rPr>
                <w:sz w:val="20"/>
                <w:szCs w:val="20"/>
                <w:color w:val="auto"/>
              </w:rPr>
            </w:pPr>
            <w:r>
              <w:rPr>
                <w:rFonts w:ascii="Arial" w:cs="Arial" w:eastAsia="Arial" w:hAnsi="Arial"/>
                <w:sz w:val="17"/>
                <w:szCs w:val="17"/>
                <w:color w:val="auto"/>
              </w:rPr>
              <w:t>Total liabilities</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10,952</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10,433</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(Note 11)</w:t>
            </w: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80" w:type="dxa"/>
            <w:vAlign w:val="bottom"/>
          </w:tcPr>
          <w:p>
            <w:pPr>
              <w:spacing w:after="0" w:line="183" w:lineRule="exact"/>
              <w:rPr>
                <w:sz w:val="20"/>
                <w:szCs w:val="20"/>
                <w:color w:val="auto"/>
              </w:rPr>
            </w:pPr>
            <w:r>
              <w:rPr>
                <w:rFonts w:ascii="Arial" w:cs="Arial" w:eastAsia="Arial" w:hAnsi="Arial"/>
                <w:sz w:val="17"/>
                <w:szCs w:val="17"/>
                <w:color w:val="auto"/>
              </w:rPr>
              <w:t>Series A convertible preferred stock, $0.001 par value; 9,421,633 shares authorized as of</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December 31, 2019; 9,297,081 shares issued and outstanding as of December 31, 2019;</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aggregate liquidation preference of $73,571 as of December 31, 2019; zero shares authorized,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40"/>
              <w:spacing w:after="0"/>
              <w:rPr>
                <w:sz w:val="20"/>
                <w:szCs w:val="20"/>
                <w:color w:val="auto"/>
              </w:rPr>
            </w:pPr>
            <w:r>
              <w:rPr>
                <w:rFonts w:ascii="Arial" w:cs="Arial" w:eastAsia="Arial" w:hAnsi="Arial"/>
                <w:sz w:val="17"/>
                <w:szCs w:val="17"/>
                <w:color w:val="auto"/>
              </w:rPr>
              <w:t>issued and outstanding as of September 30, 2020</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60,933</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B convertible preferred stock, $0.001 par value; 2,145,370 shares authorized as of</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December 31, 2019; 1,016,727 shares issued and outstanding as of December 31, 2019;</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aggregate liquidation preference of $10,014 as of December 31, 2019; zero shares authorized,</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issued and outstanding as of September 30, 2020</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9,430</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8080" w:type="dxa"/>
            <w:vAlign w:val="bottom"/>
          </w:tcPr>
          <w:p>
            <w:pPr>
              <w:spacing w:after="0" w:line="189" w:lineRule="exact"/>
              <w:rPr>
                <w:sz w:val="20"/>
                <w:szCs w:val="20"/>
                <w:color w:val="auto"/>
              </w:rPr>
            </w:pPr>
            <w:r>
              <w:rPr>
                <w:rFonts w:ascii="Arial" w:cs="Arial" w:eastAsia="Arial" w:hAnsi="Arial"/>
                <w:sz w:val="17"/>
                <w:szCs w:val="17"/>
                <w:color w:val="auto"/>
              </w:rPr>
              <w:t>Stockholders’ equity (deficit)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Preferred stock, $0.001 par value; 100,000,000 shares authorized, no shares issued or outstanding</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8080" w:type="dxa"/>
            <w:vAlign w:val="bottom"/>
          </w:tcPr>
          <w:p>
            <w:pPr>
              <w:spacing w:after="0" w:line="183" w:lineRule="exact"/>
              <w:rPr>
                <w:sz w:val="20"/>
                <w:szCs w:val="20"/>
                <w:color w:val="auto"/>
              </w:rPr>
            </w:pPr>
            <w:r>
              <w:rPr>
                <w:rFonts w:ascii="Arial" w:cs="Arial" w:eastAsia="Arial" w:hAnsi="Arial"/>
                <w:sz w:val="17"/>
                <w:szCs w:val="17"/>
                <w:color w:val="auto"/>
              </w:rPr>
              <w:t>Common stock, $0.001 par value; 1,519,618,271 and 1,000,000,000 shares authorized as of</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December 31, 2019 and September 30, 2020, respectively; 3,166,946 and 37,107,522 shares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40"/>
              <w:spacing w:after="0"/>
              <w:rPr>
                <w:sz w:val="20"/>
                <w:szCs w:val="20"/>
                <w:color w:val="auto"/>
              </w:rPr>
            </w:pPr>
            <w:r>
              <w:rPr>
                <w:rFonts w:ascii="Arial" w:cs="Arial" w:eastAsia="Arial" w:hAnsi="Arial"/>
                <w:sz w:val="17"/>
                <w:szCs w:val="17"/>
                <w:color w:val="auto"/>
              </w:rPr>
              <w:t>issued and outstanding as of December 31, 2019 and September 30, 2020, respectively</w:t>
            </w:r>
          </w:p>
        </w:tc>
        <w:tc>
          <w:tcPr>
            <w:tcW w:w="24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2,140</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351,727</w:t>
            </w: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240" w:type="dxa"/>
            <w:vAlign w:val="bottom"/>
          </w:tcPr>
          <w:p>
            <w:pPr>
              <w:spacing w:after="0"/>
              <w:rPr>
                <w:sz w:val="16"/>
                <w:szCs w:val="16"/>
                <w:color w:val="auto"/>
              </w:rPr>
            </w:pPr>
          </w:p>
        </w:tc>
        <w:tc>
          <w:tcPr>
            <w:tcW w:w="116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(72,782)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(99,748)</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0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stockholders’ equity (deficit)</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(70,639)</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252,016</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500"/>
              <w:spacing w:after="0"/>
              <w:rPr>
                <w:sz w:val="20"/>
                <w:szCs w:val="20"/>
                <w:color w:val="auto"/>
              </w:rPr>
            </w:pPr>
            <w:r>
              <w:rPr>
                <w:rFonts w:ascii="Arial" w:cs="Arial" w:eastAsia="Arial" w:hAnsi="Arial"/>
                <w:sz w:val="17"/>
                <w:szCs w:val="17"/>
                <w:color w:val="auto"/>
              </w:rPr>
              <w:t>Total liabilities, convertible preferred stock and stockholders’ equity (deficit)</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80" w:type="dxa"/>
            <w:vAlign w:val="bottom"/>
            <w:vMerge w:val="continue"/>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10,676</w:t>
            </w:r>
          </w:p>
        </w:tc>
        <w:tc>
          <w:tcPr>
            <w:tcW w:w="340" w:type="dxa"/>
            <w:vAlign w:val="bottom"/>
          </w:tcPr>
          <w:p>
            <w:pPr>
              <w:spacing w:after="0"/>
              <w:rPr>
                <w:sz w:val="17"/>
                <w:szCs w:val="17"/>
                <w:color w:val="auto"/>
              </w:rPr>
            </w:pPr>
          </w:p>
        </w:tc>
        <w:tc>
          <w:tcPr>
            <w:tcW w:w="54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262,449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 (unaudited).</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(unaudited)</w:t>
      </w: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55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Related-party revenue</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1,256</w:t>
            </w:r>
          </w:p>
        </w:tc>
        <w:tc>
          <w:tcPr>
            <w:tcW w:w="32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3,583</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1,182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2,210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5,328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9,571</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16,819</w:t>
            </w: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6"/>
                <w:szCs w:val="16"/>
                <w:color w:val="auto"/>
              </w:rPr>
            </w:pPr>
          </w:p>
        </w:tc>
        <w:tc>
          <w:tcPr>
            <w:tcW w:w="7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938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4,481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2,205</w:t>
            </w:r>
          </w:p>
        </w:tc>
        <w:tc>
          <w:tcPr>
            <w:tcW w:w="10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9,126</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1,142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3,257</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50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7"/>
                <w:szCs w:val="17"/>
                <w:color w:val="auto"/>
              </w:rPr>
              <w:t>4,290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9,809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7"/>
                <w:szCs w:val="17"/>
                <w:color w:val="auto"/>
              </w:rPr>
              <w:t>15,033</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27,020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(3,034)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(9,809)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(11,450)</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(25,838)</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(226)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(660)</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net</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rPr>
              <w:t>(3,036)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(10,146)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7"/>
                <w:szCs w:val="17"/>
                <w:color w:val="auto"/>
              </w:rPr>
              <w:t>(11,454)</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(26,907)</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(35)</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rPr>
              <w:t>(3,044)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(10,181)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7"/>
                <w:szCs w:val="17"/>
                <w:color w:val="auto"/>
              </w:rPr>
              <w:t>(11,479)</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(26,966)</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stockholders</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(1,071)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(578)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(2,957)</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(5,202)</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rPr>
              <w:t>(4,115)</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(10,759)</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7"/>
                <w:szCs w:val="17"/>
                <w:color w:val="auto"/>
              </w:rPr>
              <w:t>(14,436)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(32,168)</w:t>
            </w:r>
          </w:p>
        </w:tc>
        <w:tc>
          <w:tcPr>
            <w:tcW w:w="0" w:type="dxa"/>
            <w:vAlign w:val="bottom"/>
          </w:tcPr>
          <w:p>
            <w:pPr>
              <w:spacing w:after="0"/>
              <w:rPr>
                <w:sz w:val="1"/>
                <w:szCs w:val="1"/>
                <w:color w:val="auto"/>
              </w:rPr>
            </w:pPr>
          </w:p>
        </w:tc>
      </w:tr>
      <w:tr>
        <w:trPr>
          <w:trHeight w:val="183"/>
        </w:trPr>
        <w:tc>
          <w:tcPr>
            <w:tcW w:w="5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common stockholders, basic and</w:t>
            </w: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Weighted-average shares of common stock used to compute net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line="189" w:lineRule="exact"/>
              <w:rPr>
                <w:sz w:val="20"/>
                <w:szCs w:val="20"/>
                <w:color w:val="auto"/>
              </w:rPr>
            </w:pPr>
            <w:r>
              <w:rPr>
                <w:rFonts w:ascii="Arial" w:cs="Arial" w:eastAsia="Arial" w:hAnsi="Arial"/>
                <w:sz w:val="17"/>
                <w:szCs w:val="17"/>
                <w:color w:val="auto"/>
              </w:rPr>
              <w:t>loss per share attributable to common stockholders, basic and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00" w:type="dxa"/>
            <w:vAlign w:val="bottom"/>
          </w:tcPr>
          <w:p>
            <w:pPr>
              <w:ind w:left="24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3,100,544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w w:val="98"/>
              </w:rPr>
              <w:t>29,664,122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7"/>
                <w:szCs w:val="17"/>
                <w:color w:val="auto"/>
                <w:w w:val="97"/>
              </w:rPr>
              <w:t>3,061,082</w:t>
            </w: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12,052,876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 (unaudited).</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Consolidated Statements of Convertible Preferred Stock and Stockholders’ Equity (Deficit)</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(unaudited)</w:t>
      </w:r>
    </w:p>
    <w:p>
      <w:pPr>
        <w:jc w:val="center"/>
        <w:ind w:right="-159"/>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64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6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09"/>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2018</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0"/>
        </w:trPr>
        <w:tc>
          <w:tcPr>
            <w:tcW w:w="322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9,297,081</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2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3220" w:type="dxa"/>
            <w:vAlign w:val="bottom"/>
          </w:tcPr>
          <w:p>
            <w:pPr>
              <w:spacing w:after="0"/>
              <w:rPr>
                <w:sz w:val="20"/>
                <w:szCs w:val="20"/>
                <w:color w:val="auto"/>
              </w:rPr>
            </w:pPr>
            <w:r>
              <w:rPr>
                <w:rFonts w:ascii="Arial" w:cs="Arial" w:eastAsia="Arial" w:hAnsi="Arial"/>
                <w:sz w:val="14"/>
                <w:szCs w:val="14"/>
                <w:b w:val="1"/>
                <w:bCs w:val="1"/>
                <w:color w:val="auto"/>
              </w:rPr>
              <w:t>Balance as of March 31, 2019</w:t>
            </w:r>
          </w:p>
        </w:tc>
        <w:tc>
          <w:tcPr>
            <w:tcW w:w="780" w:type="dxa"/>
            <w:vAlign w:val="bottom"/>
          </w:tcPr>
          <w:p>
            <w:pPr>
              <w:jc w:val="right"/>
              <w:spacing w:after="0"/>
              <w:rPr>
                <w:sz w:val="20"/>
                <w:szCs w:val="20"/>
                <w:color w:val="auto"/>
              </w:rPr>
            </w:pPr>
            <w:r>
              <w:rPr>
                <w:rFonts w:ascii="Arial" w:cs="Arial" w:eastAsia="Arial" w:hAnsi="Arial"/>
                <w:sz w:val="14"/>
                <w:szCs w:val="14"/>
                <w:color w:val="auto"/>
              </w:rPr>
              <w:t>9,297,081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Issuance of convertible preferred stock, net of</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20" w:type="dxa"/>
            <w:vAlign w:val="bottom"/>
          </w:tcPr>
          <w:p>
            <w:pPr>
              <w:ind w:left="140"/>
              <w:spacing w:after="0" w:line="157" w:lineRule="exact"/>
              <w:rPr>
                <w:sz w:val="20"/>
                <w:szCs w:val="20"/>
                <w:color w:val="auto"/>
              </w:rPr>
            </w:pPr>
            <w:r>
              <w:rPr>
                <w:rFonts w:ascii="Arial" w:cs="Arial" w:eastAsia="Arial" w:hAnsi="Arial"/>
                <w:sz w:val="14"/>
                <w:szCs w:val="14"/>
                <w:color w:val="auto"/>
              </w:rPr>
              <w:t>issuance costs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1,016,727</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9,430</w:t>
            </w:r>
          </w:p>
        </w:tc>
        <w:tc>
          <w:tcPr>
            <w:tcW w:w="0" w:type="dxa"/>
            <w:vAlign w:val="bottom"/>
          </w:tcPr>
          <w:p>
            <w:pPr>
              <w:spacing w:after="0"/>
              <w:rPr>
                <w:sz w:val="1"/>
                <w:szCs w:val="1"/>
                <w:color w:val="auto"/>
              </w:rPr>
            </w:pPr>
          </w:p>
        </w:tc>
      </w:tr>
      <w:tr>
        <w:trPr>
          <w:trHeight w:val="174"/>
        </w:trPr>
        <w:tc>
          <w:tcPr>
            <w:tcW w:w="3220" w:type="dxa"/>
            <w:vAlign w:val="bottom"/>
          </w:tcPr>
          <w:p>
            <w:pPr>
              <w:spacing w:after="0"/>
              <w:rPr>
                <w:sz w:val="20"/>
                <w:szCs w:val="20"/>
                <w:color w:val="auto"/>
              </w:rPr>
            </w:pPr>
            <w:r>
              <w:rPr>
                <w:rFonts w:ascii="Arial" w:cs="Arial" w:eastAsia="Arial" w:hAnsi="Arial"/>
                <w:sz w:val="14"/>
                <w:szCs w:val="14"/>
                <w:b w:val="1"/>
                <w:bCs w:val="1"/>
                <w:color w:val="auto"/>
              </w:rPr>
              <w:t>Balance as of June 30, 2019</w:t>
            </w:r>
          </w:p>
        </w:tc>
        <w:tc>
          <w:tcPr>
            <w:tcW w:w="780" w:type="dxa"/>
            <w:vAlign w:val="bottom"/>
          </w:tcPr>
          <w:p>
            <w:pPr>
              <w:jc w:val="right"/>
              <w:spacing w:after="0"/>
              <w:rPr>
                <w:sz w:val="20"/>
                <w:szCs w:val="20"/>
                <w:color w:val="auto"/>
              </w:rPr>
            </w:pPr>
            <w:r>
              <w:rPr>
                <w:rFonts w:ascii="Arial" w:cs="Arial" w:eastAsia="Arial" w:hAnsi="Arial"/>
                <w:sz w:val="14"/>
                <w:szCs w:val="14"/>
                <w:color w:val="auto"/>
              </w:rPr>
              <w:t>10,313,808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2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220" w:type="dxa"/>
            <w:vAlign w:val="bottom"/>
          </w:tcPr>
          <w:p>
            <w:pPr>
              <w:spacing w:after="0"/>
              <w:rPr>
                <w:sz w:val="20"/>
                <w:szCs w:val="20"/>
                <w:color w:val="auto"/>
              </w:rPr>
            </w:pPr>
            <w:r>
              <w:rPr>
                <w:rFonts w:ascii="Arial" w:cs="Arial" w:eastAsia="Arial" w:hAnsi="Arial"/>
                <w:sz w:val="14"/>
                <w:szCs w:val="14"/>
                <w:b w:val="1"/>
                <w:bCs w:val="1"/>
                <w:color w:val="auto"/>
              </w:rPr>
              <w:t>Balance as of September 30, 2019</w:t>
            </w:r>
          </w:p>
        </w:tc>
        <w:tc>
          <w:tcPr>
            <w:tcW w:w="780" w:type="dxa"/>
            <w:vAlign w:val="bottom"/>
          </w:tcPr>
          <w:p>
            <w:pPr>
              <w:jc w:val="right"/>
              <w:spacing w:after="0"/>
              <w:rPr>
                <w:sz w:val="20"/>
                <w:szCs w:val="20"/>
                <w:color w:val="auto"/>
              </w:rPr>
            </w:pPr>
            <w:r>
              <w:rPr>
                <w:rFonts w:ascii="Arial" w:cs="Arial" w:eastAsia="Arial" w:hAnsi="Arial"/>
                <w:sz w:val="14"/>
                <w:szCs w:val="14"/>
                <w:color w:val="auto"/>
              </w:rPr>
              <w:t>10,313,808</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62"/>
        </w:trPr>
        <w:tc>
          <w:tcPr>
            <w:tcW w:w="14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gridSpan w:val="3"/>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PAID-IN</w:t>
            </w: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9"/>
                <w:szCs w:val="9"/>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0" w:type="dxa"/>
            <w:vAlign w:val="bottom"/>
          </w:tcPr>
          <w:p>
            <w:pPr>
              <w:jc w:val="right"/>
              <w:spacing w:after="0"/>
              <w:rPr>
                <w:sz w:val="20"/>
                <w:szCs w:val="20"/>
                <w:color w:val="auto"/>
              </w:rPr>
            </w:pPr>
            <w:r>
              <w:rPr>
                <w:rFonts w:ascii="Arial" w:cs="Arial" w:eastAsia="Arial" w:hAnsi="Arial"/>
                <w:sz w:val="14"/>
                <w:szCs w:val="14"/>
                <w:color w:val="auto"/>
              </w:rPr>
              <w:t>3,161,747</w:t>
            </w:r>
          </w:p>
        </w:tc>
        <w:tc>
          <w:tcPr>
            <w:tcW w:w="7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1,758</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(53,539)</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(51,778)</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76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57"/>
        </w:trPr>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(4,238)</w:t>
            </w:r>
          </w:p>
        </w:tc>
        <w:tc>
          <w:tcPr>
            <w:tcW w:w="200" w:type="dxa"/>
            <w:vAlign w:val="bottom"/>
          </w:tcPr>
          <w:p>
            <w:pPr>
              <w:spacing w:after="0"/>
              <w:rPr>
                <w:sz w:val="13"/>
                <w:szCs w:val="13"/>
                <w:color w:val="auto"/>
              </w:rPr>
            </w:pPr>
          </w:p>
        </w:tc>
        <w:tc>
          <w:tcPr>
            <w:tcW w:w="11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jc w:val="right"/>
              <w:spacing w:after="0"/>
              <w:rPr>
                <w:sz w:val="20"/>
                <w:szCs w:val="20"/>
                <w:color w:val="auto"/>
              </w:rPr>
            </w:pPr>
            <w:r>
              <w:rPr>
                <w:rFonts w:ascii="Arial" w:cs="Arial" w:eastAsia="Arial" w:hAnsi="Arial"/>
                <w:sz w:val="14"/>
                <w:szCs w:val="14"/>
                <w:color w:val="auto"/>
              </w:rPr>
              <w:t>3,161,747</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1,855</w:t>
            </w:r>
          </w:p>
        </w:tc>
        <w:tc>
          <w:tcPr>
            <w:tcW w:w="1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(57,777)</w:t>
            </w:r>
          </w:p>
        </w:tc>
        <w:tc>
          <w:tcPr>
            <w:tcW w:w="2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(55,919)</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60</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(4,197)</w:t>
            </w:r>
          </w:p>
        </w:tc>
        <w:tc>
          <w:tcPr>
            <w:tcW w:w="2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(4,197)</w:t>
            </w:r>
          </w:p>
        </w:tc>
        <w:tc>
          <w:tcPr>
            <w:tcW w:w="0" w:type="dxa"/>
            <w:vAlign w:val="bottom"/>
          </w:tcPr>
          <w:p>
            <w:pPr>
              <w:spacing w:after="0"/>
              <w:rPr>
                <w:sz w:val="1"/>
                <w:szCs w:val="1"/>
                <w:color w:val="auto"/>
              </w:rPr>
            </w:pPr>
          </w:p>
        </w:tc>
      </w:tr>
      <w:tr>
        <w:trPr>
          <w:trHeight w:val="309"/>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jc w:val="right"/>
              <w:spacing w:after="0"/>
              <w:rPr>
                <w:sz w:val="20"/>
                <w:szCs w:val="20"/>
                <w:color w:val="auto"/>
              </w:rPr>
            </w:pPr>
            <w:r>
              <w:rPr>
                <w:rFonts w:ascii="Arial" w:cs="Arial" w:eastAsia="Arial" w:hAnsi="Arial"/>
                <w:sz w:val="14"/>
                <w:szCs w:val="14"/>
                <w:color w:val="auto"/>
              </w:rPr>
              <w:t>3,161,747</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1,935</w:t>
            </w:r>
          </w:p>
        </w:tc>
        <w:tc>
          <w:tcPr>
            <w:tcW w:w="1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(61,974)</w:t>
            </w:r>
          </w:p>
        </w:tc>
        <w:tc>
          <w:tcPr>
            <w:tcW w:w="2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(60,036)</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86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7"/>
        </w:trPr>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(3,044)</w:t>
            </w:r>
          </w:p>
        </w:tc>
        <w:tc>
          <w:tcPr>
            <w:tcW w:w="200" w:type="dxa"/>
            <w:vAlign w:val="bottom"/>
          </w:tcPr>
          <w:p>
            <w:pPr>
              <w:spacing w:after="0"/>
              <w:rPr>
                <w:sz w:val="13"/>
                <w:szCs w:val="13"/>
                <w:color w:val="auto"/>
              </w:rPr>
            </w:pPr>
          </w:p>
        </w:tc>
        <w:tc>
          <w:tcPr>
            <w:tcW w:w="11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(3,044)</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jc w:val="right"/>
              <w:spacing w:after="0"/>
              <w:rPr>
                <w:sz w:val="20"/>
                <w:szCs w:val="20"/>
                <w:color w:val="auto"/>
              </w:rPr>
            </w:pPr>
            <w:r>
              <w:rPr>
                <w:rFonts w:ascii="Arial" w:cs="Arial" w:eastAsia="Arial" w:hAnsi="Arial"/>
                <w:sz w:val="14"/>
                <w:szCs w:val="14"/>
                <w:color w:val="auto"/>
              </w:rPr>
              <w:t>3,161,747</w:t>
            </w:r>
          </w:p>
        </w:tc>
        <w:tc>
          <w:tcPr>
            <w:tcW w:w="7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2,039</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(65,018)</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(62,976)</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-1773555</wp:posOffset>
            </wp:positionV>
            <wp:extent cx="6995160" cy="19291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9291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500"/>
            <w:col w:w="5600"/>
          </w:cols>
          <w:pgMar w:left="320" w:top="459" w:right="49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080"/>
          </w:cols>
          <w:pgMar w:left="320" w:top="459" w:right="499" w:bottom="1440" w:gutter="0" w:footer="0" w:header="0"/>
          <w:type w:val="continuous"/>
        </w:sectPr>
      </w:pPr>
    </w:p>
    <w:bookmarkStart w:id="211" w:name="page212"/>
    <w:bookmarkEnd w:id="2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800" w:type="dxa"/>
            <w:vAlign w:val="bottom"/>
            <w:gridSpan w:val="5"/>
          </w:tcPr>
          <w:p>
            <w:pPr>
              <w:ind w:left="36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7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2"/>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2019</w:t>
            </w: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820" w:type="dxa"/>
            <w:vAlign w:val="bottom"/>
            <w:vMerge w:val="continue"/>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10,313,808</w:t>
            </w:r>
          </w:p>
        </w:tc>
        <w:tc>
          <w:tcPr>
            <w:tcW w:w="3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Issuance of convertible preferred stock,</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20" w:type="dxa"/>
            <w:vAlign w:val="bottom"/>
          </w:tcPr>
          <w:p>
            <w:pPr>
              <w:ind w:left="140"/>
              <w:spacing w:after="0" w:line="157" w:lineRule="exact"/>
              <w:rPr>
                <w:sz w:val="20"/>
                <w:szCs w:val="20"/>
                <w:color w:val="auto"/>
              </w:rPr>
            </w:pPr>
            <w:r>
              <w:rPr>
                <w:rFonts w:ascii="Arial" w:cs="Arial" w:eastAsia="Arial" w:hAnsi="Arial"/>
                <w:sz w:val="14"/>
                <w:szCs w:val="14"/>
                <w:color w:val="auto"/>
              </w:rPr>
              <w:t>net of issuance costs</w:t>
            </w:r>
          </w:p>
        </w:tc>
        <w:tc>
          <w:tcPr>
            <w:tcW w:w="800" w:type="dxa"/>
            <w:vAlign w:val="bottom"/>
            <w:tcBorders>
              <w:bottom w:val="single" w:sz="8" w:color="auto"/>
            </w:tcBorders>
          </w:tcPr>
          <w:p>
            <w:pPr>
              <w:ind w:left="80"/>
              <w:spacing w:after="0" w:line="157" w:lineRule="exact"/>
              <w:rPr>
                <w:sz w:val="20"/>
                <w:szCs w:val="20"/>
                <w:color w:val="auto"/>
              </w:rPr>
            </w:pPr>
            <w:r>
              <w:rPr>
                <w:rFonts w:ascii="Arial" w:cs="Arial" w:eastAsia="Arial" w:hAnsi="Arial"/>
                <w:sz w:val="14"/>
                <w:szCs w:val="14"/>
                <w:color w:val="auto"/>
                <w:w w:val="99"/>
              </w:rPr>
              <w:t>11,055,966</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104,680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20" w:type="dxa"/>
            <w:vAlign w:val="bottom"/>
          </w:tcPr>
          <w:p>
            <w:pPr>
              <w:spacing w:after="0"/>
              <w:rPr>
                <w:sz w:val="20"/>
                <w:szCs w:val="20"/>
                <w:color w:val="auto"/>
              </w:rPr>
            </w:pPr>
            <w:r>
              <w:rPr>
                <w:rFonts w:ascii="Arial" w:cs="Arial" w:eastAsia="Arial" w:hAnsi="Arial"/>
                <w:sz w:val="14"/>
                <w:szCs w:val="14"/>
                <w:b w:val="1"/>
                <w:bCs w:val="1"/>
                <w:color w:val="auto"/>
              </w:rPr>
              <w:t>Balance as of March 31, 2020</w:t>
            </w:r>
          </w:p>
        </w:tc>
        <w:tc>
          <w:tcPr>
            <w:tcW w:w="800" w:type="dxa"/>
            <w:vAlign w:val="bottom"/>
          </w:tcPr>
          <w:p>
            <w:pPr>
              <w:ind w:left="80"/>
              <w:spacing w:after="0"/>
              <w:rPr>
                <w:sz w:val="20"/>
                <w:szCs w:val="20"/>
                <w:color w:val="auto"/>
              </w:rPr>
            </w:pPr>
            <w:r>
              <w:rPr>
                <w:rFonts w:ascii="Arial" w:cs="Arial" w:eastAsia="Arial" w:hAnsi="Arial"/>
                <w:sz w:val="14"/>
                <w:szCs w:val="14"/>
                <w:color w:val="auto"/>
                <w:w w:val="99"/>
              </w:rPr>
              <w:t>21,369,774</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82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820" w:type="dxa"/>
            <w:vAlign w:val="bottom"/>
          </w:tcPr>
          <w:p>
            <w:pPr>
              <w:spacing w:after="0"/>
              <w:rPr>
                <w:sz w:val="20"/>
                <w:szCs w:val="20"/>
                <w:color w:val="auto"/>
              </w:rPr>
            </w:pPr>
            <w:r>
              <w:rPr>
                <w:rFonts w:ascii="Arial" w:cs="Arial" w:eastAsia="Arial" w:hAnsi="Arial"/>
                <w:sz w:val="14"/>
                <w:szCs w:val="14"/>
                <w:b w:val="1"/>
                <w:bCs w:val="1"/>
                <w:color w:val="auto"/>
              </w:rPr>
              <w:t>Balance as of June 30, 2020</w:t>
            </w:r>
          </w:p>
        </w:tc>
        <w:tc>
          <w:tcPr>
            <w:tcW w:w="80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w w:val="99"/>
              </w:rPr>
              <w:t>21,369,774</w:t>
            </w:r>
          </w:p>
        </w:tc>
        <w:tc>
          <w:tcPr>
            <w:tcW w:w="3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175,043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Reclassification of warrants from liability</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to equity</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Conversion of convertible preferred stock</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into common stock</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(21,369,774)</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Cumulative dividends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Issuance of common stock in connection</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with initial public offering, net of</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underwriter discounts and issuance</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costs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Issuance of common stock under equity</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incentive plans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Issuance of common stock upon net</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20" w:type="dxa"/>
            <w:vAlign w:val="bottom"/>
          </w:tcPr>
          <w:p>
            <w:pPr>
              <w:ind w:left="140"/>
              <w:spacing w:after="0" w:line="157" w:lineRule="exact"/>
              <w:rPr>
                <w:sz w:val="20"/>
                <w:szCs w:val="20"/>
                <w:color w:val="auto"/>
              </w:rPr>
            </w:pPr>
            <w:r>
              <w:rPr>
                <w:rFonts w:ascii="Arial" w:cs="Arial" w:eastAsia="Arial" w:hAnsi="Arial"/>
                <w:sz w:val="14"/>
                <w:szCs w:val="14"/>
                <w:color w:val="auto"/>
              </w:rPr>
              <w:t>exercise of warrants</w:t>
            </w:r>
          </w:p>
        </w:tc>
        <w:tc>
          <w:tcPr>
            <w:tcW w:w="11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September 30, 2020</w:t>
            </w: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vMerge w:val="continue"/>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-3394075</wp:posOffset>
            </wp:positionV>
            <wp:extent cx="260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260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260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8890</wp:posOffset>
            </wp:positionV>
            <wp:extent cx="6995160" cy="33604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33604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150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128"/>
              <w:spacing w:after="0" w:line="143" w:lineRule="exact"/>
              <w:rPr>
                <w:sz w:val="20"/>
                <w:szCs w:val="20"/>
                <w:color w:val="auto"/>
              </w:rPr>
            </w:pPr>
            <w:r>
              <w:rPr>
                <w:rFonts w:ascii="Arial" w:cs="Arial" w:eastAsia="Arial" w:hAnsi="Arial"/>
                <w:sz w:val="14"/>
                <w:szCs w:val="14"/>
                <w:b w:val="1"/>
                <w:bCs w:val="1"/>
                <w:color w:val="auto"/>
                <w:w w:val="98"/>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0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60"/>
              <w:spacing w:after="0" w:line="143" w:lineRule="exact"/>
              <w:rPr>
                <w:sz w:val="20"/>
                <w:szCs w:val="20"/>
                <w:color w:val="auto"/>
              </w:rPr>
            </w:pPr>
            <w:r>
              <w:rPr>
                <w:rFonts w:ascii="Arial" w:cs="Arial" w:eastAsia="Arial" w:hAnsi="Arial"/>
                <w:sz w:val="14"/>
                <w:szCs w:val="14"/>
                <w:b w:val="1"/>
                <w:bCs w:val="1"/>
                <w:color w:val="auto"/>
              </w:rPr>
              <w:t>PAID-IN</w:t>
            </w:r>
          </w:p>
        </w:tc>
        <w:tc>
          <w:tcPr>
            <w:tcW w:w="14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10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60" w:type="dxa"/>
            <w:vAlign w:val="bottom"/>
          </w:tcPr>
          <w:p>
            <w:pPr>
              <w:jc w:val="right"/>
              <w:spacing w:after="0"/>
              <w:rPr>
                <w:sz w:val="20"/>
                <w:szCs w:val="20"/>
                <w:color w:val="auto"/>
              </w:rPr>
            </w:pPr>
            <w:r>
              <w:rPr>
                <w:rFonts w:ascii="Arial" w:cs="Arial" w:eastAsia="Arial" w:hAnsi="Arial"/>
                <w:sz w:val="14"/>
                <w:szCs w:val="14"/>
                <w:color w:val="auto"/>
              </w:rPr>
              <w:t>3,166,946</w:t>
            </w:r>
          </w:p>
        </w:tc>
        <w:tc>
          <w:tcPr>
            <w:tcW w:w="120" w:type="dxa"/>
            <w:vAlign w:val="bottom"/>
          </w:tcPr>
          <w:p>
            <w:pPr>
              <w:spacing w:after="0"/>
              <w:rPr>
                <w:sz w:val="13"/>
                <w:szCs w:val="13"/>
                <w:color w:val="auto"/>
              </w:rPr>
            </w:pPr>
          </w:p>
        </w:tc>
        <w:tc>
          <w:tcPr>
            <w:tcW w:w="6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2,140</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(72,782)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(70,639)</w:t>
            </w:r>
          </w:p>
        </w:tc>
        <w:tc>
          <w:tcPr>
            <w:tcW w:w="0" w:type="dxa"/>
            <w:vAlign w:val="bottom"/>
          </w:tcPr>
          <w:p>
            <w:pPr>
              <w:spacing w:after="0"/>
              <w:rPr>
                <w:sz w:val="1"/>
                <w:szCs w:val="1"/>
                <w:color w:val="auto"/>
              </w:rPr>
            </w:pPr>
          </w:p>
        </w:tc>
      </w:tr>
      <w:tr>
        <w:trPr>
          <w:trHeight w:val="16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151</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7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(5,454)</w:t>
            </w:r>
          </w:p>
        </w:tc>
        <w:tc>
          <w:tcPr>
            <w:tcW w:w="2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(5,454)</w:t>
            </w:r>
          </w:p>
        </w:tc>
        <w:tc>
          <w:tcPr>
            <w:tcW w:w="0" w:type="dxa"/>
            <w:vAlign w:val="bottom"/>
          </w:tcPr>
          <w:p>
            <w:pPr>
              <w:spacing w:after="0"/>
              <w:rPr>
                <w:sz w:val="1"/>
                <w:szCs w:val="1"/>
                <w:color w:val="auto"/>
              </w:rPr>
            </w:pPr>
          </w:p>
        </w:tc>
      </w:tr>
      <w:tr>
        <w:trPr>
          <w:trHeight w:val="309"/>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0" w:type="dxa"/>
            <w:vAlign w:val="bottom"/>
          </w:tcPr>
          <w:p>
            <w:pPr>
              <w:jc w:val="right"/>
              <w:spacing w:after="0"/>
              <w:rPr>
                <w:sz w:val="20"/>
                <w:szCs w:val="20"/>
                <w:color w:val="auto"/>
              </w:rPr>
            </w:pPr>
            <w:r>
              <w:rPr>
                <w:rFonts w:ascii="Arial" w:cs="Arial" w:eastAsia="Arial" w:hAnsi="Arial"/>
                <w:sz w:val="14"/>
                <w:szCs w:val="14"/>
                <w:color w:val="auto"/>
              </w:rPr>
              <w:t>3,166,946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(78,236)</w:t>
            </w:r>
          </w:p>
        </w:tc>
        <w:tc>
          <w:tcPr>
            <w:tcW w:w="2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(75,926)</w:t>
            </w:r>
          </w:p>
        </w:tc>
        <w:tc>
          <w:tcPr>
            <w:tcW w:w="0" w:type="dxa"/>
            <w:vAlign w:val="bottom"/>
          </w:tcPr>
          <w:p>
            <w:pPr>
              <w:spacing w:after="0"/>
              <w:rPr>
                <w:sz w:val="1"/>
                <w:szCs w:val="1"/>
                <w:color w:val="auto"/>
              </w:rPr>
            </w:pPr>
          </w:p>
        </w:tc>
      </w:tr>
      <w:tr>
        <w:trPr>
          <w:trHeight w:val="16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2,853</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2,853</w:t>
            </w:r>
          </w:p>
        </w:tc>
        <w:tc>
          <w:tcPr>
            <w:tcW w:w="0" w:type="dxa"/>
            <w:vAlign w:val="bottom"/>
          </w:tcPr>
          <w:p>
            <w:pPr>
              <w:spacing w:after="0"/>
              <w:rPr>
                <w:sz w:val="1"/>
                <w:szCs w:val="1"/>
                <w:color w:val="auto"/>
              </w:rPr>
            </w:pPr>
          </w:p>
        </w:tc>
      </w:tr>
      <w:tr>
        <w:trPr>
          <w:trHeight w:val="157"/>
        </w:trPr>
        <w:tc>
          <w:tcPr>
            <w:tcW w:w="8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(11,331)</w:t>
            </w:r>
          </w:p>
        </w:tc>
        <w:tc>
          <w:tcPr>
            <w:tcW w:w="200" w:type="dxa"/>
            <w:vAlign w:val="bottom"/>
          </w:tcPr>
          <w:p>
            <w:pPr>
              <w:spacing w:after="0"/>
              <w:rPr>
                <w:sz w:val="13"/>
                <w:szCs w:val="13"/>
                <w:color w:val="auto"/>
              </w:rPr>
            </w:pPr>
          </w:p>
        </w:tc>
        <w:tc>
          <w:tcPr>
            <w:tcW w:w="11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(11,331)</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0" w:type="dxa"/>
            <w:vAlign w:val="bottom"/>
          </w:tcPr>
          <w:p>
            <w:pPr>
              <w:jc w:val="right"/>
              <w:spacing w:after="0"/>
              <w:rPr>
                <w:sz w:val="20"/>
                <w:szCs w:val="20"/>
                <w:color w:val="auto"/>
              </w:rPr>
            </w:pPr>
            <w:r>
              <w:rPr>
                <w:rFonts w:ascii="Arial" w:cs="Arial" w:eastAsia="Arial" w:hAnsi="Arial"/>
                <w:sz w:val="14"/>
                <w:szCs w:val="14"/>
                <w:color w:val="auto"/>
              </w:rPr>
              <w:t>3,166,946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5,166</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(89,567)</w:t>
            </w:r>
          </w:p>
        </w:tc>
        <w:tc>
          <w:tcPr>
            <w:tcW w:w="2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(84,398)</w:t>
            </w:r>
          </w:p>
        </w:tc>
        <w:tc>
          <w:tcPr>
            <w:tcW w:w="0" w:type="dxa"/>
            <w:vAlign w:val="bottom"/>
          </w:tcPr>
          <w:p>
            <w:pPr>
              <w:spacing w:after="0"/>
              <w:rPr>
                <w:sz w:val="1"/>
                <w:szCs w:val="1"/>
                <w:color w:val="auto"/>
              </w:rPr>
            </w:pPr>
          </w:p>
        </w:tc>
      </w:tr>
      <w:tr>
        <w:trPr>
          <w:trHeight w:val="16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689</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7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(10,181)</w:t>
            </w:r>
          </w:p>
        </w:tc>
        <w:tc>
          <w:tcPr>
            <w:tcW w:w="2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(10,181)</w:t>
            </w:r>
          </w:p>
        </w:tc>
        <w:tc>
          <w:tcPr>
            <w:tcW w:w="0" w:type="dxa"/>
            <w:vAlign w:val="bottom"/>
          </w:tcPr>
          <w:p>
            <w:pPr>
              <w:spacing w:after="0"/>
              <w:rPr>
                <w:sz w:val="1"/>
                <w:szCs w:val="1"/>
                <w:color w:val="auto"/>
              </w:rPr>
            </w:pPr>
          </w:p>
        </w:tc>
      </w:tr>
      <w:tr>
        <w:trPr>
          <w:trHeight w:val="324"/>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1,019</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314"/>
        </w:trPr>
        <w:tc>
          <w:tcPr>
            <w:tcW w:w="760" w:type="dxa"/>
            <w:vAlign w:val="bottom"/>
          </w:tcPr>
          <w:p>
            <w:pPr>
              <w:jc w:val="right"/>
              <w:spacing w:after="0"/>
              <w:rPr>
                <w:sz w:val="20"/>
                <w:szCs w:val="20"/>
                <w:color w:val="auto"/>
              </w:rPr>
            </w:pPr>
            <w:r>
              <w:rPr>
                <w:rFonts w:ascii="Arial" w:cs="Arial" w:eastAsia="Arial" w:hAnsi="Arial"/>
                <w:sz w:val="14"/>
                <w:szCs w:val="14"/>
                <w:color w:val="auto"/>
              </w:rPr>
              <w:t>21,369,774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175,022</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172"/>
        </w:trPr>
        <w:tc>
          <w:tcPr>
            <w:tcW w:w="760" w:type="dxa"/>
            <w:vAlign w:val="bottom"/>
          </w:tcPr>
          <w:p>
            <w:pPr>
              <w:jc w:val="right"/>
              <w:spacing w:after="0"/>
              <w:rPr>
                <w:sz w:val="20"/>
                <w:szCs w:val="20"/>
                <w:color w:val="auto"/>
              </w:rPr>
            </w:pPr>
            <w:r>
              <w:rPr>
                <w:rFonts w:ascii="Arial" w:cs="Arial" w:eastAsia="Arial" w:hAnsi="Arial"/>
                <w:sz w:val="14"/>
                <w:szCs w:val="14"/>
                <w:color w:val="auto"/>
              </w:rPr>
              <w:t>2,564,759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48"/>
        </w:trPr>
        <w:tc>
          <w:tcPr>
            <w:tcW w:w="760" w:type="dxa"/>
            <w:vAlign w:val="bottom"/>
          </w:tcPr>
          <w:p>
            <w:pPr>
              <w:jc w:val="right"/>
              <w:spacing w:after="0"/>
              <w:rPr>
                <w:sz w:val="20"/>
                <w:szCs w:val="20"/>
                <w:color w:val="auto"/>
              </w:rPr>
            </w:pPr>
            <w:r>
              <w:rPr>
                <w:rFonts w:ascii="Arial" w:cs="Arial" w:eastAsia="Arial" w:hAnsi="Arial"/>
                <w:sz w:val="14"/>
                <w:szCs w:val="14"/>
                <w:color w:val="auto"/>
              </w:rPr>
              <w:t>9,775,000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169,531</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169,541</w:t>
            </w:r>
          </w:p>
        </w:tc>
        <w:tc>
          <w:tcPr>
            <w:tcW w:w="0" w:type="dxa"/>
            <w:vAlign w:val="bottom"/>
          </w:tcPr>
          <w:p>
            <w:pPr>
              <w:spacing w:after="0"/>
              <w:rPr>
                <w:sz w:val="1"/>
                <w:szCs w:val="1"/>
                <w:color w:val="auto"/>
              </w:rPr>
            </w:pPr>
          </w:p>
        </w:tc>
      </w:tr>
      <w:tr>
        <w:trPr>
          <w:trHeight w:val="324"/>
        </w:trPr>
        <w:tc>
          <w:tcPr>
            <w:tcW w:w="760" w:type="dxa"/>
            <w:vAlign w:val="bottom"/>
          </w:tcPr>
          <w:p>
            <w:pPr>
              <w:jc w:val="right"/>
              <w:spacing w:after="0"/>
              <w:rPr>
                <w:sz w:val="20"/>
                <w:szCs w:val="20"/>
                <w:color w:val="auto"/>
              </w:rPr>
            </w:pPr>
            <w:r>
              <w:rPr>
                <w:rFonts w:ascii="Arial" w:cs="Arial" w:eastAsia="Arial" w:hAnsi="Arial"/>
                <w:sz w:val="14"/>
                <w:szCs w:val="14"/>
                <w:color w:val="auto"/>
              </w:rPr>
              <w:t>182,111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299</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309"/>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48,932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tcPr>
          <w:p>
            <w:pPr>
              <w:jc w:val="right"/>
              <w:spacing w:after="0"/>
              <w:rPr>
                <w:sz w:val="20"/>
                <w:szCs w:val="20"/>
                <w:color w:val="auto"/>
              </w:rPr>
            </w:pPr>
            <w:r>
              <w:rPr>
                <w:rFonts w:ascii="Arial" w:cs="Arial" w:eastAsia="Arial" w:hAnsi="Arial"/>
                <w:sz w:val="14"/>
                <w:szCs w:val="14"/>
                <w:color w:val="auto"/>
              </w:rPr>
              <w:t>37,107,522</w:t>
            </w:r>
          </w:p>
        </w:tc>
        <w:tc>
          <w:tcPr>
            <w:tcW w:w="120" w:type="dxa"/>
            <w:vAlign w:val="bottom"/>
          </w:tcPr>
          <w:p>
            <w:pPr>
              <w:spacing w:after="0"/>
              <w:rPr>
                <w:sz w:val="14"/>
                <w:szCs w:val="14"/>
                <w:color w:val="auto"/>
              </w:rPr>
            </w:pPr>
          </w:p>
        </w:tc>
        <w:tc>
          <w:tcPr>
            <w:tcW w:w="6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351,727</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(99,748)</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252,016</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146050</wp:posOffset>
            </wp:positionV>
            <wp:extent cx="69951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40" w:space="520"/>
            <w:col w:w="5820"/>
          </w:cols>
          <w:pgMar w:left="320" w:top="459" w:right="499" w:bottom="1440" w:gutter="0" w:footer="0" w:header="0"/>
          <w:type w:val="continuous"/>
        </w:sectPr>
      </w:pPr>
    </w:p>
    <w:p>
      <w:pPr>
        <w:spacing w:after="0" w:line="19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See accompanying notes to these condensed consolidated financial statements (unaudited).</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080"/>
          </w:cols>
          <w:pgMar w:left="320" w:top="459" w:right="499" w:bottom="1440" w:gutter="0" w:footer="0" w:header="0"/>
          <w:type w:val="continuous"/>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(unaudited)</w:t>
      </w:r>
    </w:p>
    <w:p>
      <w:pPr>
        <w:jc w:val="center"/>
        <w:ind w:right="-99"/>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75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5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Operating activities</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(11,479)</w:t>
            </w:r>
          </w:p>
        </w:tc>
        <w:tc>
          <w:tcPr>
            <w:tcW w:w="68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(26,966)</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317</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Stock-based compensation</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222</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3,693</w:t>
            </w:r>
          </w:p>
        </w:tc>
        <w:tc>
          <w:tcPr>
            <w:tcW w:w="0" w:type="dxa"/>
            <w:vAlign w:val="bottom"/>
          </w:tcPr>
          <w:p>
            <w:pPr>
              <w:spacing w:after="0"/>
              <w:rPr>
                <w:sz w:val="1"/>
                <w:szCs w:val="1"/>
                <w:color w:val="auto"/>
              </w:rPr>
            </w:pPr>
          </w:p>
        </w:tc>
      </w:tr>
      <w:tr>
        <w:trPr>
          <w:trHeight w:val="189"/>
        </w:trPr>
        <w:tc>
          <w:tcPr>
            <w:tcW w:w="7580" w:type="dxa"/>
            <w:vAlign w:val="bottom"/>
          </w:tcPr>
          <w:p>
            <w:pPr>
              <w:ind w:left="240"/>
              <w:spacing w:after="0" w:line="189" w:lineRule="exact"/>
              <w:rPr>
                <w:sz w:val="20"/>
                <w:szCs w:val="20"/>
                <w:color w:val="auto"/>
              </w:rPr>
            </w:pPr>
            <w:r>
              <w:rPr>
                <w:rFonts w:ascii="Arial" w:cs="Arial" w:eastAsia="Arial" w:hAnsi="Arial"/>
                <w:sz w:val="17"/>
                <w:szCs w:val="17"/>
                <w:color w:val="auto"/>
              </w:rPr>
              <w:t>Amortization of term loan discount and issuance costs</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fair value of compound derivative liability and warrants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189"/>
        </w:trPr>
        <w:tc>
          <w:tcPr>
            <w:tcW w:w="7580" w:type="dxa"/>
            <w:vAlign w:val="bottom"/>
          </w:tcPr>
          <w:p>
            <w:pPr>
              <w:ind w:left="240"/>
              <w:spacing w:after="0" w:line="189" w:lineRule="exact"/>
              <w:rPr>
                <w:sz w:val="20"/>
                <w:szCs w:val="20"/>
                <w:color w:val="auto"/>
              </w:rPr>
            </w:pPr>
            <w:r>
              <w:rPr>
                <w:rFonts w:ascii="Arial" w:cs="Arial" w:eastAsia="Arial" w:hAnsi="Arial"/>
                <w:sz w:val="17"/>
                <w:szCs w:val="17"/>
                <w:color w:val="auto"/>
              </w:rPr>
              <w:t>Gain on assignment of lease</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tcPr>
          <w:p>
            <w:pPr>
              <w:ind w:left="500"/>
              <w:spacing w:after="0" w:line="189" w:lineRule="exact"/>
              <w:rPr>
                <w:sz w:val="20"/>
                <w:szCs w:val="20"/>
                <w:color w:val="auto"/>
              </w:rPr>
            </w:pPr>
            <w:r>
              <w:rPr>
                <w:rFonts w:ascii="Arial" w:cs="Arial" w:eastAsia="Arial" w:hAnsi="Arial"/>
                <w:sz w:val="17"/>
                <w:szCs w:val="17"/>
                <w:color w:val="auto"/>
              </w:rPr>
              <w:t>Receivables due from related-party</w:t>
            </w:r>
          </w:p>
        </w:tc>
        <w:tc>
          <w:tcPr>
            <w:tcW w:w="200" w:type="dxa"/>
            <w:vAlign w:val="bottom"/>
          </w:tcPr>
          <w:p>
            <w:pPr>
              <w:spacing w:after="0"/>
              <w:rPr>
                <w:sz w:val="16"/>
                <w:szCs w:val="16"/>
                <w:color w:val="auto"/>
              </w:rPr>
            </w:pPr>
          </w:p>
        </w:tc>
        <w:tc>
          <w:tcPr>
            <w:tcW w:w="14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(414)</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360</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(2,137)</w:t>
            </w:r>
          </w:p>
        </w:tc>
        <w:tc>
          <w:tcPr>
            <w:tcW w:w="0" w:type="dxa"/>
            <w:vAlign w:val="bottom"/>
          </w:tcPr>
          <w:p>
            <w:pPr>
              <w:spacing w:after="0"/>
              <w:rPr>
                <w:sz w:val="1"/>
                <w:szCs w:val="1"/>
                <w:color w:val="auto"/>
              </w:rPr>
            </w:pPr>
          </w:p>
        </w:tc>
      </w:tr>
      <w:tr>
        <w:trPr>
          <w:trHeight w:val="189"/>
        </w:trPr>
        <w:tc>
          <w:tcPr>
            <w:tcW w:w="7580" w:type="dxa"/>
            <w:vAlign w:val="bottom"/>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16"/>
                <w:szCs w:val="16"/>
                <w:color w:val="auto"/>
              </w:rPr>
            </w:pPr>
          </w:p>
        </w:tc>
        <w:tc>
          <w:tcPr>
            <w:tcW w:w="14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(91)</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(2,323)</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(291)</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1,995</w:t>
            </w:r>
          </w:p>
        </w:tc>
        <w:tc>
          <w:tcPr>
            <w:tcW w:w="0" w:type="dxa"/>
            <w:vAlign w:val="bottom"/>
          </w:tcPr>
          <w:p>
            <w:pPr>
              <w:spacing w:after="0"/>
              <w:rPr>
                <w:sz w:val="1"/>
                <w:szCs w:val="1"/>
                <w:color w:val="auto"/>
              </w:rPr>
            </w:pPr>
          </w:p>
        </w:tc>
      </w:tr>
      <w:tr>
        <w:trPr>
          <w:trHeight w:val="189"/>
        </w:trPr>
        <w:tc>
          <w:tcPr>
            <w:tcW w:w="7580" w:type="dxa"/>
            <w:vAlign w:val="bottom"/>
          </w:tcPr>
          <w:p>
            <w:pPr>
              <w:ind w:left="500"/>
              <w:spacing w:after="0" w:line="189" w:lineRule="exact"/>
              <w:rPr>
                <w:sz w:val="20"/>
                <w:szCs w:val="20"/>
                <w:color w:val="auto"/>
              </w:rPr>
            </w:pPr>
            <w:r>
              <w:rPr>
                <w:rFonts w:ascii="Arial" w:cs="Arial" w:eastAsia="Arial" w:hAnsi="Arial"/>
                <w:sz w:val="17"/>
                <w:szCs w:val="17"/>
                <w:color w:val="auto"/>
              </w:rPr>
              <w:t>Other non-current liabilities</w:t>
            </w:r>
          </w:p>
        </w:tc>
        <w:tc>
          <w:tcPr>
            <w:tcW w:w="2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8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Net cash used in operating activities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(11,375)</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(24,674)</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b w:val="1"/>
                <w:bCs w:val="1"/>
                <w:color w:val="auto"/>
              </w:rPr>
              <w:t>Investing activities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(415)</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Proceeds from assets held for sale</w:t>
            </w:r>
          </w:p>
        </w:tc>
        <w:tc>
          <w:tcPr>
            <w:tcW w:w="2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 investing activities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(415)</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621</w:t>
            </w:r>
          </w:p>
        </w:tc>
        <w:tc>
          <w:tcPr>
            <w:tcW w:w="0" w:type="dxa"/>
            <w:vAlign w:val="bottom"/>
          </w:tcPr>
          <w:p>
            <w:pPr>
              <w:spacing w:after="0"/>
              <w:rPr>
                <w:sz w:val="1"/>
                <w:szCs w:val="1"/>
                <w:color w:val="auto"/>
              </w:rPr>
            </w:pPr>
          </w:p>
        </w:tc>
      </w:tr>
      <w:tr>
        <w:trPr>
          <w:trHeight w:val="196"/>
        </w:trPr>
        <w:tc>
          <w:tcPr>
            <w:tcW w:w="758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equity offerings, net</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172,724</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Payments of offering costs</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(3,183)</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exercise of common stock under equity incentive plans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Proceeds from related parties for issuance of convertible preferred stock, net</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6,829</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68,452</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convertible preferred stock, net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2,601</w:t>
            </w: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36,228</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7"/>
                <w:szCs w:val="17"/>
                <w:color w:val="auto"/>
              </w:rPr>
              <w:t>Net cash provided by financing activities</w:t>
            </w: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9,430</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274,520</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increase (decrease) in cash and cash equivalents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(2,360)</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250,467</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Cash and cash equivalents at beginning of period</w:t>
            </w:r>
          </w:p>
        </w:tc>
        <w:tc>
          <w:tcPr>
            <w:tcW w:w="2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8,262</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 at end of period</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5,902</w:t>
            </w: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259,484</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paid for interest</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Cash paid for taxes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Vesting of early exercised stock options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59</w:t>
            </w:r>
          </w:p>
        </w:tc>
        <w:tc>
          <w:tcPr>
            <w:tcW w:w="68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Acquisition of property and equipment in accounts payable</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3"/>
        </w:trPr>
        <w:tc>
          <w:tcPr>
            <w:tcW w:w="7580" w:type="dxa"/>
            <w:vAlign w:val="bottom"/>
          </w:tcPr>
          <w:p>
            <w:pPr>
              <w:spacing w:after="0" w:line="183" w:lineRule="exact"/>
              <w:rPr>
                <w:sz w:val="20"/>
                <w:szCs w:val="20"/>
                <w:color w:val="auto"/>
              </w:rPr>
            </w:pPr>
            <w:r>
              <w:rPr>
                <w:rFonts w:ascii="Arial" w:cs="Arial" w:eastAsia="Arial" w:hAnsi="Arial"/>
                <w:sz w:val="17"/>
                <w:szCs w:val="17"/>
                <w:color w:val="auto"/>
              </w:rPr>
              <w:t>Conversion of convertible preferred stock into common stock upon closing of initial public</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580" w:type="dxa"/>
            <w:vAlign w:val="bottom"/>
          </w:tcPr>
          <w:p>
            <w:pPr>
              <w:ind w:left="240"/>
              <w:spacing w:after="0"/>
              <w:rPr>
                <w:sz w:val="20"/>
                <w:szCs w:val="20"/>
                <w:color w:val="auto"/>
              </w:rPr>
            </w:pPr>
            <w:r>
              <w:rPr>
                <w:rFonts w:ascii="Arial" w:cs="Arial" w:eastAsia="Arial" w:hAnsi="Arial"/>
                <w:sz w:val="17"/>
                <w:szCs w:val="17"/>
                <w:color w:val="auto"/>
              </w:rPr>
              <w:t>offering</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175,043</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dividend on convertible preferred stock</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 (unaudited).</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(unaudited)</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Organization</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After Inception, ALX Oncology Limited became a wholly-owned subsidiary of the Company as a result of the internal reorganization. As part of the internal reorganization, all of the equity, option and warrant holders of ALX Oncology Limited became equity, option and warrant holders of the Company, holding the same number of corresponding shares, options and/or warrants in the Company as they did in ALX Oncology Limited immediately prior to the internal reorganization. The information included herein is presented as that of ALX Oncology Holdings Inc. unless such information refers to a date prior to April 1, 2020, in which case it will reflect that of ALX Oncology Limited, the predecessor company. The Company is a clinical-stage immuno-oncology company focused on helping patients fight cancer by developing therapies that block the CD47 checkpoint pathway and bridge the innate and adaptive immune system.</w:t>
      </w:r>
    </w:p>
    <w:p>
      <w:pPr>
        <w:spacing w:after="0" w:line="14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Company owns subsidiaries, consisting of ALX Oncology Limited, incorporated in Ireland; ALX Oncology Inc., incorporated in the United States, and Alexo International Holdings Ltd, incorporated in Malta; Alexo Therapeutics International, incorporated in the Cayman Islands, which is a wholly-owned subsidiary of Alexo International Holdings Ltd. and Sirpant Therapeutics, incorporated in the Cayman Islands, which is a wholly-owned subsidiary of Alexo Therapeutics International, or collectively, the Subsidiaries.</w:t>
      </w:r>
    </w:p>
    <w:p>
      <w:pPr>
        <w:spacing w:after="0" w:line="149"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As of September 30, 2020, the Company has devoted substantially all of its efforts to the formation and financing of the Company, as well as product development, and has not realized product revenues from its planned principal operations. The Company has no manufacturing facilities and all manufacturing related activities are contracted out to third-party service providers.</w:t>
      </w:r>
    </w:p>
    <w:p>
      <w:pPr>
        <w:spacing w:after="0" w:line="147" w:lineRule="exact"/>
        <w:rPr>
          <w:sz w:val="20"/>
          <w:szCs w:val="20"/>
          <w:color w:val="auto"/>
        </w:rPr>
      </w:pPr>
    </w:p>
    <w:p>
      <w:pPr>
        <w:ind w:left="120" w:right="720"/>
        <w:spacing w:after="0" w:line="232" w:lineRule="auto"/>
        <w:rPr>
          <w:sz w:val="20"/>
          <w:szCs w:val="20"/>
          <w:color w:val="auto"/>
        </w:rPr>
      </w:pPr>
      <w:r>
        <w:rPr>
          <w:rFonts w:ascii="Arial" w:cs="Arial" w:eastAsia="Arial" w:hAnsi="Arial"/>
          <w:sz w:val="17"/>
          <w:szCs w:val="17"/>
          <w:color w:val="auto"/>
        </w:rPr>
        <w:t>In July 2020, the Company consummated its initial public offering and issued 9,775,000 shares of common stock for net proceeds of approximately $169.5 million, after deducting underwriting discounts and commissions of $13.0 million and offering-related expenses of</w:t>
      </w:r>
    </w:p>
    <w:p>
      <w:pPr>
        <w:ind w:left="120" w:right="40"/>
        <w:spacing w:after="0" w:line="243" w:lineRule="auto"/>
        <w:rPr>
          <w:sz w:val="20"/>
          <w:szCs w:val="20"/>
          <w:color w:val="auto"/>
        </w:rPr>
      </w:pPr>
      <w:r>
        <w:rPr>
          <w:rFonts w:ascii="Arial" w:cs="Arial" w:eastAsia="Arial" w:hAnsi="Arial"/>
          <w:sz w:val="17"/>
          <w:szCs w:val="17"/>
          <w:color w:val="auto"/>
        </w:rPr>
        <w:t>$3.2 million. Upon the closing of the initial public offering, all shares of convertible preferred stock outstanding and accrued cumulative dividends were automatically converted into 23,934,533 shares of common stock.</w:t>
      </w:r>
    </w:p>
    <w:p>
      <w:pPr>
        <w:spacing w:after="0" w:line="14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On July 21, 2020, the Company’s amended and restated certificate of incorporation became effective, authorizing 1,000,000,000 shares of common stock and 100,000,000 shares of undesignated preferred stock.</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41"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As of September 30, 2020, the Company had cash and cash equivalents of $259.5 million, which will be sufficient to fund its planned operations for a period of at least twelve months following the issuance of these condensed consolidated financial statements.</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040"/>
          </w:cols>
          <w:pgMar w:left="320" w:top="459" w:right="5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SIGNIFICANT ACCOUNTING POLICIES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of Preparation</w:t>
      </w:r>
    </w:p>
    <w:p>
      <w:pPr>
        <w:spacing w:after="0" w:line="41"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These condensed consolidated financial statements have been prepared in accordance with accounting principles generally accepted in the United States of America, or U.S. GAAP, and the applicable rules and regulations of the U.S. Securities and Exchange Commission, or SEC, for interim reporting.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 intercompany balances and transactions have been eliminated in consolidation.</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Unaudited Condensed Consolidated Financial Statements</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condensed consolidated balance sheet as of September 30, 2020, the condensed consolidated statements of operations and comprehensive loss for the three and nine months ended September 30, 2019 and 2020, the condensed consolidated statements of convertible preferred stock and stockholders’ equity (deficit) for the three and nine months ended September 30, 2019 and 2020, and the condensed consolidated statements of cash flows for the nine months ended September 30, 2019 and 2020, are unaudited. These unaudited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September 30, 2020, and its results of operations for the periods presented. The results of operations for the three and nine months ended September 30, 2020, are not necessarily indicative of the results to be expected for any subsequent periods, including the year ended December 31, 2020, and therefore should not be relied upon as an indicator of future results. The condensed consolidated balance sheet as of December 31, 2019 included herein was derived from the audited consolidated financial statements as of that date. The accompanying condensed consolidated financial statements and related notes should be read in conjunction with the audited consolidated financial statements for the year ended December 31, 2019 and the notes thereto, which are included in the Company’s final prospectus for the Company’s initial public offering filed pursuant to Rule 424(b)(4) under the Securities Act of 1933, as amended, with the SEC on July 17, 2020.</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On July 8, 2020, the Company’s board of directors approved an amendment to the Company’s certificate of incorporation to effect a 1-for-6.5806 reverse split of its common stock and convertible preferred stock. The par values of the common and convertible preferred stock were not adjusted as a result of the reverse stock split. All authorized, issued and outstanding common stock, convertible preferred stock, stock options, warrants, and related per share amounts contained in the condensed consolidated financial statements have been retroactively adjusted to reflect this reverse stock split for all periods presented. The reverse stock split was effected on July 9, 2020.</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stock warrant liability, term loan compound derivative liability, term loan, valuation of the Company’s common stock, income taxes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4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accounts and are stated at fair value.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Concentration of Credit Risk and Other Risks and Uncertainties</w:t>
      </w:r>
    </w:p>
    <w:p>
      <w:pPr>
        <w:spacing w:after="0" w:line="5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The Company maintains deposits in federally insured financial institutions in excess of federally insured limits, and invests in money market funds. The Company is exposed to credit risk in the event of default by the financial institutions holding its cash and cash equivalents. The Company has not experienced any losses on its deposits of cash and cash equivalents.</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50" w:lineRule="exact"/>
        <w:rPr>
          <w:sz w:val="20"/>
          <w:szCs w:val="20"/>
          <w:color w:val="auto"/>
        </w:rPr>
      </w:pPr>
    </w:p>
    <w:p>
      <w:pPr>
        <w:ind w:left="120" w:right="260"/>
        <w:spacing w:after="0" w:line="236" w:lineRule="auto"/>
        <w:rPr>
          <w:sz w:val="20"/>
          <w:szCs w:val="20"/>
          <w:color w:val="auto"/>
        </w:rPr>
      </w:pPr>
      <w:r>
        <w:rPr>
          <w:rFonts w:ascii="Arial" w:cs="Arial" w:eastAsia="Arial" w:hAnsi="Arial"/>
          <w:sz w:val="17"/>
          <w:szCs w:val="17"/>
          <w:color w:val="auto"/>
        </w:rPr>
        <w:t>The Company’s product candidates require approvals from the U.S. Food and Drug Administration, or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Upon sale or retirement of assets, the cost and related accumulated depreciation or amortization are removed from the condensed consolidated balance sheet and the resulting gain or loss is reflected in the condensed consolidated statement of operations and comprehensive loss. Maintenance and repairs are charged to the condensed consolidated statement of operations and comprehensive loss as incurred.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54" w:lineRule="exact"/>
        <w:rPr>
          <w:sz w:val="20"/>
          <w:szCs w:val="20"/>
          <w:color w:val="auto"/>
        </w:rPr>
      </w:pPr>
    </w:p>
    <w:p>
      <w:pPr>
        <w:ind w:left="120" w:right="520"/>
        <w:spacing w:after="0" w:line="238"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additional paid-in capital generated as a result of the equity financing.</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three and nine months ended September 30, 2019 and 2020.</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required to be recognized or disclosed at fair value in the condensed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48"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The Company’s financial instruments consist of cash and cash equivalents, receivables due from related-party, accounts payable, the term loan compound derivative liability and the Series B convertible preferred stock warrant liability. The term loan compound derivative liability and the Series B convertible preferred stock warrant liability are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re-measured at the end of every period and carried at fair value (Note 3). The recorded value of the Company’s receivables due from related-party and accounts payable approximates its current fair value due to the relatively short-term nature of these items.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 Loan</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as amended, with Silicon Valley Bank, or SVB, and WestRiver Innovation Lending Fund VIII, LP, or WestRiver, collectively as lenders, and SVB,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41"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The Company records convertible preferred stock net of issuance costs on the dates of issuance, which represents the carrying value. In the event of a change of control of the Company, proceeds will be distributed in accordance with the liquidation preferences set forth in its organization documents unless the holders of convertible preferred stock have converted their convertible preferred stock into common stock. Convertible preferred stock are classified outside of stockholders’ equity (deficit) on the accompanying condensed consolidated balance sheets as events triggering the liquidation preferences are not solely within the Company’s control. The Company has elected not to adjust the carrying values of the convertible preferred stock to the liquidation preferences of such shares because of the uncertainty of whether or when such an event would occur. Upon the consummation of the Company’s initial public offering in July 2020, all shares of convertible preferred stock outstanding and accrued cumulative dividends automatically converted into 23,934,533 shares of common stock.</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B Convertible Preferred Stock Warrant Liability</w:t>
      </w:r>
    </w:p>
    <w:p>
      <w:pPr>
        <w:spacing w:after="0" w:line="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The Company has issued freestanding warrants to purchase its Series B convertible preferred stock. Freestanding warrants for the Company’s convertible preferred stock that are classified outside of permanent equity are recorded at fair value, and are subject to re-measurement at the end of every period until the earlier of the exercise of the warrants or the completion of a liquidation event, including the completion of an initial public offering. Upon exercise, the Series B convertible preferred stock warrant liability would be reclassified to additional paid-in capital, with any change in fair value recognized as a component of other expense, net. Following the Company’s initial public offering, the warrants were automatically converted to warrants to purchase shares of common stock (Note 5). The Company revalued the Series B convertible preferred stock warrants as of the completion of the initial public offering and reclassified the outstanding preferred stock warrant liability balance to additional paid-in capital with no further re-measurement required as common stock warrants are considered permanent equity.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date, the Company has derived revenue from providing research and development services on a time and materials basis to a related-party.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recognizes such revenues over time as services are delivered, and invoices the customer as the work is incurred in arrears.</w:t>
      </w:r>
    </w:p>
    <w:p>
      <w:pPr>
        <w:spacing w:after="0" w:line="156"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The Company recognizes revenue when its customer obtains control of promised goods or services, in an amount that reflects the consideration which the Company expects to receive in exchange for those goods or services.</w:t>
      </w:r>
    </w:p>
    <w:p>
      <w:pPr>
        <w:spacing w:after="0" w:line="144"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49" w:lineRule="exact"/>
        <w:rPr>
          <w:sz w:val="20"/>
          <w:szCs w:val="20"/>
          <w:color w:val="auto"/>
        </w:rPr>
      </w:pPr>
    </w:p>
    <w:p>
      <w:pPr>
        <w:jc w:val="both"/>
        <w:ind w:left="120" w:right="620"/>
        <w:spacing w:after="0" w:line="238"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60"/>
        <w:spacing w:after="0" w:line="238" w:lineRule="auto"/>
        <w:rPr>
          <w:sz w:val="20"/>
          <w:szCs w:val="20"/>
          <w:color w:val="auto"/>
        </w:rPr>
      </w:pPr>
      <w:r>
        <w:rPr>
          <w:rFonts w:ascii="Arial" w:cs="Arial" w:eastAsia="Arial" w:hAnsi="Arial"/>
          <w:sz w:val="17"/>
          <w:szCs w:val="17"/>
          <w:color w:val="auto"/>
        </w:rPr>
        <w:t>within each contract that falls under the scope of Topic 606,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41"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7"/>
          <w:szCs w:val="17"/>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condensed consolidated statements of operations and comprehensive loss.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41"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Research and development costs are expensed as incurred and consist primarily of salaries and benefits, stock-based compensation expense, lab supplies and facility costs, as well as fees paid to nonemployees and entities that conduct certain research and development activities on behalf of the Company and expenses incurred in connection with license agreements (Note 8).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and Manufacturing Accruals</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its clinical and non-clinical studies and other third-party vendors. Through September 30, 2020,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accounts for stock-based compensation by measuring and recognizing compensation expense for all stock-based payments made to employees, directors and non-employees based on estimated grant-date fair values. The Company uses the straight-line method to allocate compensation expense to reporting periods over each optionee’s requisite service period, which is generally the vesting period, and estimates the fair value of stock-based awards to employees and directors using the Black-Scholes option-pricing model. The Black-Scholes model requires the input of subjective assumptions, including expected volatility, expected dividend yield, expected term, risk-free rate of return and the estimated fair value of the underlying common stock on the date of grant. The Company accounts for the effect of forfeitures as they occur.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5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comprehensive loss and recorded in other expense, net, and were immaterial for the three and nine months ended September 30, 2019 and 2020, respectively.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Income Taxes</w:t>
      </w:r>
    </w:p>
    <w:p>
      <w:pPr>
        <w:spacing w:after="0" w:line="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condensed consolidated financial statements. Under this method, deferred tax assets and liabilities are determined on the basis of the differences between the condensed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condensed consolidated statements of operations and comprehensive loss in the period that includes the enactment date. 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 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Comprehensive loss is equal to net loss for all periods presented.</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5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Basic net loss per share is calculated by dividing the net loss attributable to common stockholders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w:t>
      </w:r>
    </w:p>
    <w:p>
      <w:pPr>
        <w:spacing w:after="0" w:line="147"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common stock and participating securities according to dividends declared or accumulated and participation rights in undistributed earnings. The two-class method requires net loss available to common stockholders for the period to be allocated between common and participating securities based upon their respective rights to share in the earnings as if all net loss for the period had been distributed. The Company’s convertible preferred stock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36"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business entities, including smaller reporting companies, to fiscal years beginning after December 15, 2021. The new standard is effective for the Company beginning January 1, 2022 (or earlier if the Company ceases to be an emerging growth company). Early adoption is permitted. The Company is currently evaluating the effects of the adoption of this guidance on its condensed consolidated financial statements and related disclosures.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condensed consolidated financial statements.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New Accounting Pronouncements Recently Adopted</w:t>
      </w:r>
    </w:p>
    <w:p>
      <w:pPr>
        <w:spacing w:after="0" w:line="41"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In June 2016, the FASB issued ASU No.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The Company early adopted this guidance on January 1, 2020. The adoption of this guidance did not have a material impact on the Company’s condensed consolidated financial statements.</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September 2018, the FASB issued ASU No. 2018-13, Fair Value Measurement (Topic 820): Disclosure Framework—Changes to the Disclosure Requirements for Fair Value Measurement. The FASB issued final guidance that eliminates, adds and modifies certain disclosure requirements for fair value measurements as part of its disclosure framework project. Under the ASU, entities will no longer be required to disclose the amount of transfers between Level 1 and Level 2 of the fair value hierarchy. Public companies will be required to disclose changes in unrealized gains and losses for the period included in other comprehensive income for recurring Level 3 fair value measurements held at the end of the reporting period and the range and weighted average used to develop significant unobservable inputs for Level 3 fair value measurements. ASU 2018-13 is effective for public business entities for annual reporting periods, and interim periods within those annual periods, beginning after December 15, 2019, with early adoption permitted. The Company adopted this guidance on January 1, 2020. The adoption of ASU 2018-13 did not have a material impact on its condensed consolidated financial statements.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9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fair value of the Company’s financial assets and liabilities are determined in accordance with the fair value hierarchy established in ASC Topic 820, Fair Value Measurements and Disclosures.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1—Observable inputs, such as quoted prices in active markets</w:t>
      </w:r>
    </w:p>
    <w:p>
      <w:pPr>
        <w:spacing w:after="0" w:line="156" w:lineRule="exact"/>
        <w:rPr>
          <w:sz w:val="20"/>
          <w:szCs w:val="20"/>
          <w:color w:val="auto"/>
        </w:rPr>
      </w:pPr>
    </w:p>
    <w:p>
      <w:pPr>
        <w:ind w:left="560" w:right="200"/>
        <w:spacing w:after="0" w:line="238" w:lineRule="auto"/>
        <w:rPr>
          <w:sz w:val="20"/>
          <w:szCs w:val="20"/>
          <w:color w:val="auto"/>
        </w:rPr>
      </w:pPr>
      <w:r>
        <w:rPr>
          <w:rFonts w:ascii="Arial" w:cs="Arial" w:eastAsia="Arial" w:hAnsi="Arial"/>
          <w:sz w:val="17"/>
          <w:szCs w:val="17"/>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156"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The Company’s financial instruments consist of cash and cash equivalents, receivables due from related-party, accounts payable, the term loan compound derivative liability and the Series B convertible preferred stock warrant liability.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Cash and cash equivalents are reported at their respective fair values on the Company’s condensed consolidated balance sheets. Where quoted prices are available in an active market, securities are classified as Level 1. The Company classifies money market funds as Level 1. When quoted market prices are not available for the specific security, then the Company estimates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14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The Company measures its Series B convertible preferred stock warrant liability and term loan compound derivative liability at fair value on a recurring basis and these are classified as Level 3 liabilities. The fair value of the Series B convertible preferred stock warrant liability was determined using an option-pricing model. The Company revalued the Series B convertible preferred stock warrants as of the completion of the initial public offering and reclassified the outstanding preferred stock warrant liability balance to additional paid-in capital with no further re-measurement required as the common stock warrants are considered permanent equity effective with the completion of the initial public offering. The Company calculated the fair value of the term loan compound derivative liability by computing the difference between the fair value of the term loan with the compound derivative using the “with and without” method under the income approach, and the fair value of the term loan without the compound derivative. The valuation methodology and underlying assumptions are discussed further in Note 5.</w:t>
      </w:r>
    </w:p>
    <w:p>
      <w:pPr>
        <w:spacing w:after="0" w:line="149"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The following table sets forth the Company’s financial liabilities that are measured at fair value on a recurring basis by level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AS OF DECEMBER 31, 2019</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4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10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8"/>
              </w:rPr>
              <w:t>LEVEL 2</w:t>
            </w: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LEVEL 3</w:t>
            </w:r>
          </w:p>
        </w:tc>
        <w:tc>
          <w:tcPr>
            <w:tcW w:w="8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6900" w:type="dxa"/>
            <w:vAlign w:val="bottom"/>
            <w:tcBorders>
              <w:top w:val="single" w:sz="8" w:color="CCEEFF"/>
            </w:tcBorders>
            <w:gridSpan w:val="4"/>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Financial liabilities</w:t>
            </w:r>
          </w:p>
        </w:tc>
        <w:tc>
          <w:tcPr>
            <w:tcW w:w="2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2"/>
        </w:trPr>
        <w:tc>
          <w:tcPr>
            <w:tcW w:w="240" w:type="dxa"/>
            <w:vAlign w:val="bottom"/>
          </w:tcPr>
          <w:p>
            <w:pPr>
              <w:spacing w:after="0"/>
              <w:rPr>
                <w:sz w:val="14"/>
                <w:szCs w:val="14"/>
                <w:color w:val="auto"/>
              </w:rPr>
            </w:pPr>
          </w:p>
        </w:tc>
        <w:tc>
          <w:tcPr>
            <w:tcW w:w="6660" w:type="dxa"/>
            <w:vAlign w:val="bottom"/>
            <w:gridSpan w:val="3"/>
          </w:tcPr>
          <w:p>
            <w:pPr>
              <w:spacing w:after="0" w:line="162" w:lineRule="exact"/>
              <w:rPr>
                <w:sz w:val="20"/>
                <w:szCs w:val="20"/>
                <w:color w:val="auto"/>
              </w:rPr>
            </w:pPr>
            <w:r>
              <w:rPr>
                <w:rFonts w:ascii="Arial" w:cs="Arial" w:eastAsia="Arial" w:hAnsi="Arial"/>
                <w:sz w:val="17"/>
                <w:szCs w:val="17"/>
                <w:color w:val="auto"/>
              </w:rPr>
              <w:t>Non-current liabilities</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
        </w:trPr>
        <w:tc>
          <w:tcPr>
            <w:tcW w:w="2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40" w:type="dxa"/>
            <w:vAlign w:val="bottom"/>
            <w:shd w:val="clear" w:color="auto" w:fill="CCEEFF"/>
          </w:tcPr>
          <w:p>
            <w:pPr>
              <w:spacing w:after="0"/>
              <w:rPr>
                <w:sz w:val="16"/>
                <w:szCs w:val="16"/>
                <w:color w:val="auto"/>
              </w:rPr>
            </w:pPr>
          </w:p>
        </w:tc>
        <w:tc>
          <w:tcPr>
            <w:tcW w:w="666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Compound derivative liability</w:t>
            </w:r>
          </w:p>
        </w:tc>
        <w:tc>
          <w:tcPr>
            <w:tcW w:w="280" w:type="dxa"/>
            <w:vAlign w:val="bottom"/>
            <w:shd w:val="clear" w:color="auto" w:fill="CCEEFF"/>
          </w:tcPr>
          <w:p>
            <w:pPr>
              <w:jc w:val="right"/>
              <w:ind w:right="99"/>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51</w:t>
            </w:r>
          </w:p>
        </w:tc>
        <w:tc>
          <w:tcPr>
            <w:tcW w:w="30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205"/>
        </w:trPr>
        <w:tc>
          <w:tcPr>
            <w:tcW w:w="240" w:type="dxa"/>
            <w:vAlign w:val="bottom"/>
          </w:tcPr>
          <w:p>
            <w:pPr>
              <w:spacing w:after="0"/>
              <w:rPr>
                <w:sz w:val="17"/>
                <w:szCs w:val="17"/>
                <w:color w:val="auto"/>
              </w:rPr>
            </w:pPr>
          </w:p>
        </w:tc>
        <w:tc>
          <w:tcPr>
            <w:tcW w:w="6660" w:type="dxa"/>
            <w:vAlign w:val="bottom"/>
            <w:gridSpan w:val="3"/>
          </w:tcPr>
          <w:p>
            <w:pPr>
              <w:spacing w:after="0"/>
              <w:rPr>
                <w:sz w:val="20"/>
                <w:szCs w:val="20"/>
                <w:color w:val="auto"/>
              </w:rPr>
            </w:pPr>
            <w:r>
              <w:rPr>
                <w:rFonts w:ascii="Arial" w:cs="Arial" w:eastAsia="Arial" w:hAnsi="Arial"/>
                <w:sz w:val="17"/>
                <w:szCs w:val="17"/>
                <w:color w:val="auto"/>
              </w:rPr>
              <w:t>Warrant liability</w:t>
            </w:r>
          </w:p>
        </w:tc>
        <w:tc>
          <w:tcPr>
            <w:tcW w:w="280" w:type="dxa"/>
            <w:vAlign w:val="bottom"/>
          </w:tcPr>
          <w:p>
            <w:pPr>
              <w:jc w:val="right"/>
              <w:ind w:right="99"/>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361</w:t>
            </w:r>
          </w:p>
        </w:tc>
        <w:tc>
          <w:tcPr>
            <w:tcW w:w="3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361</w:t>
            </w:r>
          </w:p>
        </w:tc>
      </w:tr>
      <w:tr>
        <w:trPr>
          <w:trHeight w:val="308"/>
        </w:trPr>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AS OF SEPTEMBER 30, 2020</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4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10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8"/>
              </w:rPr>
              <w:t>LEVEL 2</w:t>
            </w: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LEVEL 3</w:t>
            </w:r>
          </w:p>
        </w:tc>
        <w:tc>
          <w:tcPr>
            <w:tcW w:w="8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6900" w:type="dxa"/>
            <w:vAlign w:val="bottom"/>
            <w:tcBorders>
              <w:top w:val="single" w:sz="8" w:color="CCEEFF"/>
            </w:tcBorders>
            <w:gridSpan w:val="4"/>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9"/>
        </w:trPr>
        <w:tc>
          <w:tcPr>
            <w:tcW w:w="240" w:type="dxa"/>
            <w:vAlign w:val="bottom"/>
          </w:tcPr>
          <w:p>
            <w:pPr>
              <w:spacing w:after="0"/>
              <w:rPr>
                <w:sz w:val="14"/>
                <w:szCs w:val="14"/>
                <w:color w:val="auto"/>
              </w:rPr>
            </w:pPr>
          </w:p>
        </w:tc>
        <w:tc>
          <w:tcPr>
            <w:tcW w:w="1320" w:type="dxa"/>
            <w:vAlign w:val="bottom"/>
            <w:tcBorders>
              <w:bottom w:val="single" w:sz="8" w:color="auto"/>
            </w:tcBorders>
          </w:tcPr>
          <w:p>
            <w:pPr>
              <w:spacing w:after="0" w:line="162" w:lineRule="exact"/>
              <w:rPr>
                <w:sz w:val="20"/>
                <w:szCs w:val="20"/>
                <w:color w:val="auto"/>
              </w:rPr>
            </w:pPr>
            <w:r>
              <w:rPr>
                <w:rFonts w:ascii="Arial" w:cs="Arial" w:eastAsia="Arial" w:hAnsi="Arial"/>
                <w:sz w:val="17"/>
                <w:szCs w:val="17"/>
                <w:color w:val="auto"/>
                <w:w w:val="99"/>
              </w:rPr>
              <w:t>Cash equivalents</w:t>
            </w:r>
          </w:p>
        </w:tc>
        <w:tc>
          <w:tcPr>
            <w:tcW w:w="53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240" w:type="dxa"/>
            <w:vAlign w:val="bottom"/>
            <w:shd w:val="clear" w:color="auto" w:fill="CCEEFF"/>
          </w:tcPr>
          <w:p>
            <w:pPr>
              <w:spacing w:after="0"/>
              <w:rPr>
                <w:sz w:val="16"/>
                <w:szCs w:val="16"/>
                <w:color w:val="auto"/>
              </w:rPr>
            </w:pPr>
          </w:p>
        </w:tc>
        <w:tc>
          <w:tcPr>
            <w:tcW w:w="666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Money market funds</w:t>
            </w:r>
          </w:p>
        </w:tc>
        <w:tc>
          <w:tcPr>
            <w:tcW w:w="84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$90,114</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90,114</w:t>
            </w:r>
          </w:p>
        </w:tc>
      </w:tr>
      <w:tr>
        <w:trPr>
          <w:trHeight w:val="189"/>
        </w:trPr>
        <w:tc>
          <w:tcPr>
            <w:tcW w:w="6900" w:type="dxa"/>
            <w:vAlign w:val="bottom"/>
            <w:gridSpan w:val="4"/>
          </w:tcPr>
          <w:p>
            <w:pPr>
              <w:spacing w:after="0" w:line="189" w:lineRule="exact"/>
              <w:rPr>
                <w:sz w:val="20"/>
                <w:szCs w:val="20"/>
                <w:color w:val="auto"/>
              </w:rPr>
            </w:pPr>
            <w:r>
              <w:rPr>
                <w:rFonts w:ascii="Arial" w:cs="Arial" w:eastAsia="Arial" w:hAnsi="Arial"/>
                <w:sz w:val="17"/>
                <w:szCs w:val="17"/>
                <w:b w:val="1"/>
                <w:bCs w:val="1"/>
                <w:color w:val="auto"/>
              </w:rPr>
              <w:t>Financial liabilities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2"/>
        </w:trPr>
        <w:tc>
          <w:tcPr>
            <w:tcW w:w="240" w:type="dxa"/>
            <w:vAlign w:val="bottom"/>
            <w:shd w:val="clear" w:color="auto" w:fill="CCEEFF"/>
          </w:tcPr>
          <w:p>
            <w:pPr>
              <w:spacing w:after="0"/>
              <w:rPr>
                <w:sz w:val="14"/>
                <w:szCs w:val="14"/>
                <w:color w:val="auto"/>
              </w:rPr>
            </w:pPr>
          </w:p>
        </w:tc>
        <w:tc>
          <w:tcPr>
            <w:tcW w:w="6660" w:type="dxa"/>
            <w:vAlign w:val="bottom"/>
            <w:gridSpan w:val="3"/>
            <w:shd w:val="clear" w:color="auto" w:fill="CCEEFF"/>
          </w:tcPr>
          <w:p>
            <w:pPr>
              <w:spacing w:after="0" w:line="162" w:lineRule="exact"/>
              <w:rPr>
                <w:sz w:val="20"/>
                <w:szCs w:val="20"/>
                <w:color w:val="auto"/>
              </w:rPr>
            </w:pPr>
            <w:r>
              <w:rPr>
                <w:rFonts w:ascii="Arial" w:cs="Arial" w:eastAsia="Arial" w:hAnsi="Arial"/>
                <w:sz w:val="17"/>
                <w:szCs w:val="17"/>
                <w:color w:val="auto"/>
              </w:rPr>
              <w:t>Non-current liabilities</w:t>
            </w: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7"/>
        </w:trPr>
        <w:tc>
          <w:tcPr>
            <w:tcW w:w="24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05"/>
        </w:trPr>
        <w:tc>
          <w:tcPr>
            <w:tcW w:w="240" w:type="dxa"/>
            <w:vAlign w:val="bottom"/>
          </w:tcPr>
          <w:p>
            <w:pPr>
              <w:spacing w:after="0"/>
              <w:rPr>
                <w:sz w:val="17"/>
                <w:szCs w:val="17"/>
                <w:color w:val="auto"/>
              </w:rPr>
            </w:pPr>
          </w:p>
        </w:tc>
        <w:tc>
          <w:tcPr>
            <w:tcW w:w="6660" w:type="dxa"/>
            <w:vAlign w:val="bottom"/>
            <w:gridSpan w:val="3"/>
          </w:tcPr>
          <w:p>
            <w:pPr>
              <w:spacing w:after="0"/>
              <w:rPr>
                <w:sz w:val="20"/>
                <w:szCs w:val="20"/>
                <w:color w:val="auto"/>
              </w:rPr>
            </w:pPr>
            <w:r>
              <w:rPr>
                <w:rFonts w:ascii="Arial" w:cs="Arial" w:eastAsia="Arial" w:hAnsi="Arial"/>
                <w:sz w:val="17"/>
                <w:szCs w:val="17"/>
                <w:color w:val="auto"/>
              </w:rPr>
              <w:t>Compound derivative liability</w:t>
            </w:r>
          </w:p>
        </w:tc>
        <w:tc>
          <w:tcPr>
            <w:tcW w:w="280" w:type="dxa"/>
            <w:vAlign w:val="bottom"/>
          </w:tcPr>
          <w:p>
            <w:pPr>
              <w:jc w:val="right"/>
              <w:ind w:right="99"/>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43</w:t>
            </w:r>
          </w:p>
        </w:tc>
        <w:tc>
          <w:tcPr>
            <w:tcW w:w="3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is a reconciliation of all financial liabilities measured at fair value using Level 3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COMPOUND</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LIABILITY</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83"/>
        </w:trPr>
        <w:tc>
          <w:tcPr>
            <w:tcW w:w="39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Fair value at December 31, 2019</w:t>
            </w:r>
          </w:p>
        </w:tc>
        <w:tc>
          <w:tcPr>
            <w:tcW w:w="46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361</w:t>
            </w:r>
          </w:p>
        </w:tc>
        <w:tc>
          <w:tcPr>
            <w:tcW w:w="6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51</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7"/>
                <w:szCs w:val="17"/>
                <w:color w:val="auto"/>
              </w:rPr>
              <w:t>Change in fair value</w:t>
            </w:r>
          </w:p>
        </w:tc>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658</w:t>
            </w:r>
          </w:p>
        </w:tc>
        <w:tc>
          <w:tcPr>
            <w:tcW w:w="380" w:type="dxa"/>
            <w:vAlign w:val="bottom"/>
          </w:tcPr>
          <w:p>
            <w:pPr>
              <w:spacing w:after="0"/>
              <w:rPr>
                <w:sz w:val="16"/>
                <w:szCs w:val="16"/>
                <w:color w:val="auto"/>
              </w:rPr>
            </w:pPr>
          </w:p>
        </w:tc>
        <w:tc>
          <w:tcPr>
            <w:tcW w:w="6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Reclassification to equity</w:t>
            </w:r>
          </w:p>
        </w:tc>
        <w:tc>
          <w:tcPr>
            <w:tcW w:w="4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(1,019)</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7"/>
                <w:szCs w:val="17"/>
                <w:color w:val="auto"/>
              </w:rPr>
              <w:t>Fair value at September 30, 2020</w:t>
            </w:r>
          </w:p>
        </w:tc>
        <w:tc>
          <w:tcPr>
            <w:tcW w:w="4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vMerge w:val="continue"/>
          </w:tcPr>
          <w:p>
            <w:pPr>
              <w:spacing w:after="0"/>
              <w:rPr>
                <w:sz w:val="17"/>
                <w:szCs w:val="17"/>
                <w:color w:val="auto"/>
              </w:rPr>
            </w:pPr>
          </w:p>
        </w:tc>
        <w:tc>
          <w:tcPr>
            <w:tcW w:w="46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2"/>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940" w:type="dxa"/>
            <w:vAlign w:val="bottom"/>
          </w:tcPr>
          <w:p>
            <w:pPr>
              <w:spacing w:after="0"/>
              <w:rPr>
                <w:sz w:val="24"/>
                <w:szCs w:val="24"/>
                <w:color w:val="auto"/>
              </w:rPr>
            </w:pPr>
          </w:p>
        </w:tc>
        <w:tc>
          <w:tcPr>
            <w:tcW w:w="4840" w:type="dxa"/>
            <w:vAlign w:val="bottom"/>
            <w:gridSpan w:val="2"/>
          </w:tcPr>
          <w:p>
            <w:pPr>
              <w:ind w:left="1400"/>
              <w:spacing w:after="0"/>
              <w:rPr>
                <w:sz w:val="20"/>
                <w:szCs w:val="20"/>
                <w:color w:val="auto"/>
              </w:rPr>
            </w:pPr>
            <w:r>
              <w:rPr>
                <w:rFonts w:ascii="Arial" w:cs="Arial" w:eastAsia="Arial" w:hAnsi="Arial"/>
                <w:sz w:val="16"/>
                <w:szCs w:val="16"/>
                <w:color w:val="auto"/>
              </w:rPr>
              <w:t>F-45</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did not have any outstanding financial assets or liabilities to be re-measured on a recurring basis as of September 30, 2019.</w:t>
      </w:r>
    </w:p>
    <w:p>
      <w:pPr>
        <w:spacing w:after="0" w:line="156"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There were no transfers of assets or liabilities between the fair value measurement levels during the year ended December 31, 2019 and the nine months ended September 30, 2020.</w:t>
      </w:r>
    </w:p>
    <w:p>
      <w:pPr>
        <w:spacing w:after="0" w:line="144" w:lineRule="exact"/>
        <w:rPr>
          <w:sz w:val="20"/>
          <w:szCs w:val="20"/>
          <w:color w:val="auto"/>
        </w:rPr>
      </w:pPr>
    </w:p>
    <w:p>
      <w:pPr>
        <w:ind w:left="120" w:right="640"/>
        <w:spacing w:after="0" w:line="243" w:lineRule="auto"/>
        <w:rPr>
          <w:sz w:val="20"/>
          <w:szCs w:val="20"/>
          <w:color w:val="auto"/>
        </w:rPr>
      </w:pPr>
      <w:r>
        <w:rPr>
          <w:rFonts w:ascii="Arial" w:cs="Arial" w:eastAsia="Arial" w:hAnsi="Arial"/>
          <w:sz w:val="17"/>
          <w:szCs w:val="17"/>
          <w:color w:val="auto"/>
        </w:rPr>
        <w:t>The carrying values of the Company’s financial instruments, such as accounts payable and accrued expenses and other current liabilities, approximate fair value due to the short-term nature of these items.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 Loan</w:t>
      </w:r>
    </w:p>
    <w:p>
      <w:pPr>
        <w:spacing w:after="0" w:line="41"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 estimated fair value of the Term Loan was $6.1 million as of September 30, 2020, which approximates the carrying value and is classified as Level 3. The Company utilized a market yield analysis and income approach to estimate a value for the Term Loan. The key valuation assumptions used consist of the discount rate of 12.0% and the probability of the occurrence of a change in control event of 20.0%.</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BALANCE SHEET COMPONENTS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the components of property and equipment, net as of December 31, 2019 and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77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hardware and software</w:t>
            </w:r>
          </w:p>
        </w:tc>
        <w:tc>
          <w:tcPr>
            <w:tcW w:w="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146</w:t>
            </w: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7"/>
                <w:szCs w:val="17"/>
                <w:color w:val="auto"/>
              </w:rPr>
              <w:t>Machinery and equipment</w:t>
            </w:r>
          </w:p>
        </w:tc>
        <w:tc>
          <w:tcPr>
            <w:tcW w:w="220" w:type="dxa"/>
            <w:vAlign w:val="bottom"/>
          </w:tcPr>
          <w:p>
            <w:pPr>
              <w:spacing w:after="0"/>
              <w:rPr>
                <w:sz w:val="16"/>
                <w:szCs w:val="16"/>
                <w:color w:val="auto"/>
              </w:rPr>
            </w:pPr>
          </w:p>
        </w:tc>
        <w:tc>
          <w:tcPr>
            <w:tcW w:w="132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1,698</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36</w:t>
            </w: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429</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2,309</w:t>
            </w: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7"/>
                <w:szCs w:val="17"/>
                <w:color w:val="auto"/>
              </w:rPr>
              <w:t>Less: accumulated depreciation and amortization</w:t>
            </w: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7"/>
                <w:szCs w:val="17"/>
                <w:color w:val="auto"/>
              </w:rPr>
              <w:t>(1,449)</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property and equipment, net</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860</w:t>
            </w:r>
          </w:p>
        </w:tc>
        <w:tc>
          <w:tcPr>
            <w:tcW w:w="4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Depreciation and amortization expense was $0.1 million for the three months ended September 30, 2019, and $0.3 million and $0.2 million for the nine months ended September 30, 2019 and 2020, respectively. Depreciation and amortization expense for the three months ended September 30, 2020 was nominal.</w:t>
      </w:r>
    </w:p>
    <w:p>
      <w:pPr>
        <w:spacing w:after="0" w:line="147"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At June 30, 2020, certain lab equipment and other assets for an aggregated net book value of $0.6 million relating to the asset transfer with Tallac Therapeutics, Inc. (formerly known as Tollnine, Inc., or Tollnine), or Tallac Therapeutics, a related party (Note 9), met the criteria as assets held for sale. Those assets were reported at the lower of carrying value or fair value less costs to sell. In July 2020, the Company received $0.6 million cash in exchange for the transfer of such assets.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p>
      <w:pPr>
        <w:spacing w:after="0" w:line="54"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following table presents the components of accrued expenses and other current liabilities as of December 31, 2019 and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4580" w:type="dxa"/>
            <w:vAlign w:val="bottom"/>
            <w:tcBorders>
              <w:bottom w:val="single" w:sz="8" w:color="CCEEFF"/>
            </w:tcBorders>
          </w:tcPr>
          <w:p>
            <w:pPr>
              <w:spacing w:after="0"/>
              <w:rPr>
                <w:sz w:val="15"/>
                <w:szCs w:val="15"/>
                <w:color w:val="auto"/>
              </w:rPr>
            </w:pPr>
          </w:p>
        </w:tc>
        <w:tc>
          <w:tcPr>
            <w:tcW w:w="33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Accrued professional fees</w:t>
            </w:r>
          </w:p>
        </w:tc>
        <w:tc>
          <w:tcPr>
            <w:tcW w:w="3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122</w:t>
            </w: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345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7"/>
                <w:szCs w:val="17"/>
                <w:color w:val="auto"/>
              </w:rPr>
              <w:t>Accrued compensation</w:t>
            </w:r>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924</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1,124</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clinical and nonclinical study costs</w:t>
            </w:r>
          </w:p>
        </w:tc>
        <w:tc>
          <w:tcPr>
            <w:tcW w:w="3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7"/>
                <w:szCs w:val="17"/>
                <w:color w:val="auto"/>
              </w:rPr>
              <w:t>Accrued contract manufacturing</w:t>
            </w:r>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53</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867</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3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137</w:t>
            </w: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7"/>
                <w:szCs w:val="17"/>
                <w:color w:val="auto"/>
              </w:rPr>
              <w:t>Total accrued expenses and other current liabilities</w:t>
            </w:r>
          </w:p>
        </w:tc>
        <w:tc>
          <w:tcPr>
            <w:tcW w:w="3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33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1,236</w:t>
            </w:r>
          </w:p>
        </w:tc>
        <w:tc>
          <w:tcPr>
            <w:tcW w:w="66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3,205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2"/>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580" w:type="dxa"/>
            <w:vAlign w:val="bottom"/>
          </w:tcPr>
          <w:p>
            <w:pPr>
              <w:spacing w:after="0"/>
              <w:rPr>
                <w:sz w:val="24"/>
                <w:szCs w:val="24"/>
                <w:color w:val="auto"/>
              </w:rPr>
            </w:pPr>
          </w:p>
        </w:tc>
        <w:tc>
          <w:tcPr>
            <w:tcW w:w="3580" w:type="dxa"/>
            <w:vAlign w:val="bottom"/>
            <w:gridSpan w:val="2"/>
          </w:tcPr>
          <w:p>
            <w:pPr>
              <w:ind w:left="760"/>
              <w:spacing w:after="0"/>
              <w:rPr>
                <w:sz w:val="20"/>
                <w:szCs w:val="20"/>
                <w:color w:val="auto"/>
              </w:rPr>
            </w:pPr>
            <w:r>
              <w:rPr>
                <w:rFonts w:ascii="Arial" w:cs="Arial" w:eastAsia="Arial" w:hAnsi="Arial"/>
                <w:sz w:val="16"/>
                <w:szCs w:val="16"/>
                <w:color w:val="auto"/>
              </w:rPr>
              <w:t>F-46</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TERM LOAN</w:t>
      </w:r>
    </w:p>
    <w:p>
      <w:pPr>
        <w:spacing w:after="0" w:line="93"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7"/>
          <w:szCs w:val="17"/>
          <w:color w:val="auto"/>
        </w:rPr>
        <w:t>The Company’s wholly-owned subsidiaries Alexo Therapeutics International and Sirpant Therapeutics, as borrowers, entered into a Loan and Security Agreement, or the Loan Agreement, dated as of December 20, 2019, with SVB and WestRiver, collectively as lenders, and SVB, as administrative agent and collateral agent.</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As a result of the internal reorganization, in May 2020 the Company entered into a Joinder and First Amendment to the Loan and Security Agreement, or the Joinder Amendment, and Amended and Restated Warrants to Purchase Stock, or the Amended Warrants. The purpose for entering into the Joinder Amendment was to add the newly established ALX Oncology Holdings Inc. as additional borrower to the Term Loan. Concurrently, the Company modified the Amended Warrants to change the issuer from ALX Oncology Limited to ALX Oncology Holdings Inc. The Company accounted for the First Amendment to the Loan and Security Agreement as a modification.</w:t>
      </w:r>
    </w:p>
    <w:p>
      <w:pPr>
        <w:spacing w:after="0" w:line="150" w:lineRule="exact"/>
        <w:rPr>
          <w:sz w:val="20"/>
          <w:szCs w:val="20"/>
          <w:color w:val="auto"/>
        </w:rPr>
      </w:pPr>
    </w:p>
    <w:p>
      <w:pPr>
        <w:ind w:left="120" w:right="280"/>
        <w:spacing w:after="0" w:line="235" w:lineRule="auto"/>
        <w:rPr>
          <w:sz w:val="20"/>
          <w:szCs w:val="20"/>
          <w:color w:val="auto"/>
        </w:rPr>
      </w:pPr>
      <w:r>
        <w:rPr>
          <w:rFonts w:ascii="Arial" w:cs="Arial" w:eastAsia="Arial" w:hAnsi="Arial"/>
          <w:sz w:val="17"/>
          <w:szCs w:val="17"/>
          <w:color w:val="auto"/>
        </w:rPr>
        <w:t>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5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3.25% as of September 30, 2020. Therefore, the rate applicable to the Company as of September 30, 2020 was 7.0%.</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conjunction with the Loan Agreement, the Company has issued warrants to purchase 61,292 Series B convertible preferred stock to SVB and WestRiver with an exercise price of $9.4972 per share. Following the Company’s initial public offering, these warrants were automatically converted to warrants to purchase 61,292 shares of common stock at an exercise price of $9.4972 per share. The estimated fair value of the warrants at the date of issuance was approximately $0.4 million. The Company revalued the Series B convertible preferred stock warrants as of the completion of the initial public offering and reclassified the outstanding preferred stock warrant liability balance of $1.0 million to additional paid-in capital with no further re-measurement required as the common stock warrants are considered permanent equity effective July 16, 2020. The fair value of the common stock warrant was determined using a Black-Scholes option-pricing model with the following assumptions: an expected term of 9.8 years, a volatility of 84.2%, a dividend rate of zero and a risk-free rate of 0.6%. The changes in fair value in warrant liability was recognized as a component of other expense, net in the accompanying condensed consolidated statement of operations and comprehensive loss. On August 17, 2020, SVB and WestRiver delivered the Notice of Exercise for net exercise of 61,292 warrants at an exercise price of $9.4972 per share. Accordingly, the Company issued 48,932 shares of the Company’s common stock (Note 6).</w:t>
      </w:r>
    </w:p>
    <w:p>
      <w:pPr>
        <w:spacing w:after="0" w:line="154"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The loans under the Loan Agreement are secured by substantially all of the Company’s assets, except the Company’s intellectual property, which is the subject of a negative pledge.</w:t>
      </w:r>
    </w:p>
    <w:p>
      <w:pPr>
        <w:spacing w:after="0" w:line="14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expense, net in the condensed consolidated statement of operations and comprehensive loss. As of September 30, 2020, the fair value of the compound derivative liability was approximately $43,000 and was recorded in other non-current liabilities on the condensed consolidated balance sheets.</w:t>
      </w:r>
    </w:p>
    <w:p>
      <w:pPr>
        <w:spacing w:after="0" w:line="151"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7"/>
          <w:szCs w:val="17"/>
          <w:color w:val="auto"/>
        </w:rPr>
        <w:t>The fair value of Series B convertible preferred stock warrant liability at issuance, fair value of embedded derivatives which were bifurcated and other debt issuance costs have been treated as debt discounts on the Company’s condensed consolidated balance sheet and together with the final payment are being amortized to interest expense throughout the life of the term loan using the effective interest rate method.</w:t>
      </w:r>
    </w:p>
    <w:p>
      <w:pPr>
        <w:spacing w:after="0" w:line="147"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As of September 30, 2020, there were unamortized issuance costs and debt discounts of $0.2 million, which were recorded as a direct deduction from the term loan on the condensed consolidated balance sheet. Interest expense for the term loan was $0.3 million and $0.7 million for the three and nine months ended September 30, 2020, respectively.</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future payments of principal and interest as of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97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2020 (remaining three months)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76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3,743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3,007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amount representing interest</w:t>
            </w:r>
          </w:p>
        </w:tc>
        <w:tc>
          <w:tcPr>
            <w:tcW w:w="2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196"/>
        </w:trPr>
        <w:tc>
          <w:tcPr>
            <w:tcW w:w="9760" w:type="dxa"/>
            <w:vAlign w:val="bottom"/>
          </w:tcPr>
          <w:p>
            <w:pPr>
              <w:spacing w:after="0" w:line="189" w:lineRule="exact"/>
              <w:rPr>
                <w:sz w:val="20"/>
                <w:szCs w:val="20"/>
                <w:color w:val="auto"/>
              </w:rPr>
            </w:pPr>
            <w:r>
              <w:rPr>
                <w:rFonts w:ascii="Arial" w:cs="Arial" w:eastAsia="Arial" w:hAnsi="Arial"/>
                <w:sz w:val="17"/>
                <w:szCs w:val="17"/>
                <w:color w:val="auto"/>
              </w:rPr>
              <w:t>Less: amount representing final payment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189"/>
        </w:trPr>
        <w:tc>
          <w:tcPr>
            <w:tcW w:w="9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Term loan, principal amount</w:t>
            </w:r>
          </w:p>
        </w:tc>
        <w:tc>
          <w:tcPr>
            <w:tcW w:w="20" w:type="dxa"/>
            <w:vAlign w:val="bottom"/>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6,000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760" w:type="dxa"/>
            <w:vAlign w:val="bottom"/>
          </w:tcPr>
          <w:p>
            <w:pPr>
              <w:spacing w:after="0"/>
              <w:rPr>
                <w:sz w:val="20"/>
                <w:szCs w:val="20"/>
                <w:color w:val="auto"/>
              </w:rPr>
            </w:pPr>
            <w:r>
              <w:rPr>
                <w:rFonts w:ascii="Arial" w:cs="Arial" w:eastAsia="Arial" w:hAnsi="Arial"/>
                <w:sz w:val="17"/>
                <w:szCs w:val="17"/>
                <w:color w:val="auto"/>
              </w:rPr>
              <w:t>Less: unamortized issuance costs and debt discounts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189"/>
        </w:trPr>
        <w:tc>
          <w:tcPr>
            <w:tcW w:w="9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current portion</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(2,571)</w:t>
            </w:r>
          </w:p>
        </w:tc>
        <w:tc>
          <w:tcPr>
            <w:tcW w:w="0" w:type="dxa"/>
            <w:vAlign w:val="bottom"/>
          </w:tcPr>
          <w:p>
            <w:pPr>
              <w:spacing w:after="0"/>
              <w:rPr>
                <w:sz w:val="1"/>
                <w:szCs w:val="1"/>
                <w:color w:val="auto"/>
              </w:rPr>
            </w:pPr>
          </w:p>
        </w:tc>
      </w:tr>
      <w:tr>
        <w:trPr>
          <w:trHeight w:val="20"/>
        </w:trPr>
        <w:tc>
          <w:tcPr>
            <w:tcW w:w="9760" w:type="dxa"/>
            <w:vAlign w:val="bottom"/>
            <w:vMerge w:val="restart"/>
          </w:tcPr>
          <w:p>
            <w:pPr>
              <w:spacing w:after="0"/>
              <w:rPr>
                <w:sz w:val="20"/>
                <w:szCs w:val="20"/>
                <w:color w:val="auto"/>
              </w:rPr>
            </w:pPr>
            <w:r>
              <w:rPr>
                <w:rFonts w:ascii="Arial" w:cs="Arial" w:eastAsia="Arial" w:hAnsi="Arial"/>
                <w:sz w:val="17"/>
                <w:szCs w:val="17"/>
                <w:color w:val="auto"/>
              </w:rPr>
              <w:t>Non-current portion of term loan</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60" w:type="dxa"/>
            <w:vAlign w:val="bottom"/>
            <w:vMerge w:val="continue"/>
          </w:tcPr>
          <w:p>
            <w:pPr>
              <w:spacing w:after="0"/>
              <w:rPr>
                <w:sz w:val="17"/>
                <w:szCs w:val="17"/>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3,189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right="8820" w:hanging="4"/>
        <w:spacing w:after="0" w:line="316" w:lineRule="auto"/>
        <w:tabs>
          <w:tab w:leader="none" w:pos="39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 STRUCTURE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Common stock reserved for future issuance, on an as if converted basis, as of December 31, 2019 and September 30, 2020,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4940" w:type="dxa"/>
            <w:vAlign w:val="bottom"/>
            <w:gridSpan w:val="2"/>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1140" w:type="dxa"/>
            <w:vAlign w:val="bottom"/>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stock issued and outstanding</w:t>
            </w:r>
          </w:p>
        </w:tc>
        <w:tc>
          <w:tcPr>
            <w:tcW w:w="38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10,313,808</w:t>
            </w:r>
          </w:p>
        </w:tc>
        <w:tc>
          <w:tcPr>
            <w:tcW w:w="2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line="189" w:lineRule="exact"/>
              <w:rPr>
                <w:sz w:val="20"/>
                <w:szCs w:val="20"/>
                <w:color w:val="auto"/>
              </w:rPr>
            </w:pPr>
            <w:r>
              <w:rPr>
                <w:rFonts w:ascii="Arial" w:cs="Arial" w:eastAsia="Arial" w:hAnsi="Arial"/>
                <w:sz w:val="17"/>
                <w:szCs w:val="17"/>
                <w:color w:val="auto"/>
              </w:rPr>
              <w:t>Stock options issued and outstanding</w:t>
            </w:r>
          </w:p>
        </w:tc>
        <w:tc>
          <w:tcPr>
            <w:tcW w:w="5220" w:type="dxa"/>
            <w:vAlign w:val="bottom"/>
            <w:gridSpan w:val="3"/>
          </w:tcPr>
          <w:p>
            <w:pPr>
              <w:jc w:val="right"/>
              <w:ind w:right="280"/>
              <w:spacing w:after="0" w:line="189" w:lineRule="exact"/>
              <w:rPr>
                <w:sz w:val="20"/>
                <w:szCs w:val="20"/>
                <w:color w:val="auto"/>
              </w:rPr>
            </w:pPr>
            <w:r>
              <w:rPr>
                <w:rFonts w:ascii="Arial" w:cs="Arial" w:eastAsia="Arial" w:hAnsi="Arial"/>
                <w:sz w:val="17"/>
                <w:szCs w:val="17"/>
                <w:color w:val="auto"/>
              </w:rPr>
              <w:t>1,183,745</w:t>
            </w:r>
          </w:p>
        </w:tc>
        <w:tc>
          <w:tcPr>
            <w:tcW w:w="12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4,751,589</w:t>
            </w:r>
          </w:p>
        </w:tc>
        <w:tc>
          <w:tcPr>
            <w:tcW w:w="0" w:type="dxa"/>
            <w:vAlign w:val="bottom"/>
          </w:tcPr>
          <w:p>
            <w:pPr>
              <w:spacing w:after="0"/>
              <w:rPr>
                <w:sz w:val="1"/>
                <w:szCs w:val="1"/>
                <w:color w:val="auto"/>
              </w:rPr>
            </w:pPr>
          </w:p>
        </w:tc>
      </w:tr>
      <w:tr>
        <w:trPr>
          <w:trHeight w:val="189"/>
        </w:trPr>
        <w:tc>
          <w:tcPr>
            <w:tcW w:w="4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 options authorized for future issuance</w:t>
            </w:r>
          </w:p>
        </w:tc>
        <w:tc>
          <w:tcPr>
            <w:tcW w:w="522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566,900</w:t>
            </w:r>
          </w:p>
        </w:tc>
        <w:tc>
          <w:tcPr>
            <w:tcW w:w="12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2,941,162</w:t>
            </w:r>
          </w:p>
        </w:tc>
        <w:tc>
          <w:tcPr>
            <w:tcW w:w="0" w:type="dxa"/>
            <w:vAlign w:val="bottom"/>
          </w:tcPr>
          <w:p>
            <w:pPr>
              <w:spacing w:after="0"/>
              <w:rPr>
                <w:sz w:val="1"/>
                <w:szCs w:val="1"/>
                <w:color w:val="auto"/>
              </w:rPr>
            </w:pPr>
          </w:p>
        </w:tc>
      </w:tr>
      <w:tr>
        <w:trPr>
          <w:trHeight w:val="189"/>
        </w:trPr>
        <w:tc>
          <w:tcPr>
            <w:tcW w:w="4600" w:type="dxa"/>
            <w:vAlign w:val="bottom"/>
          </w:tcPr>
          <w:p>
            <w:pPr>
              <w:spacing w:after="0" w:line="189" w:lineRule="exact"/>
              <w:rPr>
                <w:sz w:val="20"/>
                <w:szCs w:val="20"/>
                <w:color w:val="auto"/>
              </w:rPr>
            </w:pPr>
            <w:r>
              <w:rPr>
                <w:rFonts w:ascii="Arial" w:cs="Arial" w:eastAsia="Arial" w:hAnsi="Arial"/>
                <w:sz w:val="17"/>
                <w:szCs w:val="17"/>
                <w:color w:val="auto"/>
              </w:rPr>
              <w:t>Warrants issued and outstanding</w:t>
            </w:r>
          </w:p>
        </w:tc>
        <w:tc>
          <w:tcPr>
            <w:tcW w:w="5220" w:type="dxa"/>
            <w:vAlign w:val="bottom"/>
            <w:gridSpan w:val="3"/>
          </w:tcPr>
          <w:p>
            <w:pPr>
              <w:jc w:val="right"/>
              <w:ind w:right="280"/>
              <w:spacing w:after="0" w:line="189" w:lineRule="exact"/>
              <w:rPr>
                <w:sz w:val="20"/>
                <w:szCs w:val="20"/>
                <w:color w:val="auto"/>
              </w:rPr>
            </w:pPr>
            <w:r>
              <w:rPr>
                <w:rFonts w:ascii="Arial" w:cs="Arial" w:eastAsia="Arial" w:hAnsi="Arial"/>
                <w:sz w:val="17"/>
                <w:szCs w:val="17"/>
                <w:color w:val="auto"/>
              </w:rPr>
              <w:t>61,292</w:t>
            </w:r>
          </w:p>
        </w:tc>
        <w:tc>
          <w:tcPr>
            <w:tcW w:w="12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authorized for future issuance</w:t>
            </w:r>
          </w:p>
        </w:tc>
        <w:tc>
          <w:tcPr>
            <w:tcW w:w="38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30,646</w:t>
            </w:r>
          </w:p>
        </w:tc>
        <w:tc>
          <w:tcPr>
            <w:tcW w:w="12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38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388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7"/>
                <w:szCs w:val="17"/>
                <w:color w:val="auto"/>
              </w:rPr>
              <w:t>12,156,391</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7,692,751</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600" w:type="dxa"/>
            <w:vAlign w:val="bottom"/>
          </w:tcPr>
          <w:p>
            <w:pPr>
              <w:spacing w:after="0"/>
              <w:rPr>
                <w:sz w:val="24"/>
                <w:szCs w:val="24"/>
                <w:color w:val="auto"/>
              </w:rPr>
            </w:pPr>
          </w:p>
        </w:tc>
        <w:tc>
          <w:tcPr>
            <w:tcW w:w="5220" w:type="dxa"/>
            <w:vAlign w:val="bottom"/>
            <w:gridSpan w:val="3"/>
          </w:tcPr>
          <w:p>
            <w:pPr>
              <w:jc w:val="right"/>
              <w:ind w:right="4140"/>
              <w:spacing w:after="0"/>
              <w:rPr>
                <w:sz w:val="20"/>
                <w:szCs w:val="20"/>
                <w:color w:val="auto"/>
              </w:rPr>
            </w:pPr>
            <w:r>
              <w:rPr>
                <w:rFonts w:ascii="Arial" w:cs="Arial" w:eastAsia="Arial" w:hAnsi="Arial"/>
                <w:sz w:val="16"/>
                <w:szCs w:val="16"/>
                <w:color w:val="auto"/>
              </w:rPr>
              <w:t>F-48</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54" w:lineRule="exact"/>
        <w:rPr>
          <w:sz w:val="20"/>
          <w:szCs w:val="20"/>
          <w:color w:val="auto"/>
        </w:rPr>
      </w:pPr>
    </w:p>
    <w:p>
      <w:pPr>
        <w:ind w:left="120" w:right="820"/>
        <w:spacing w:after="0" w:line="232" w:lineRule="auto"/>
        <w:rPr>
          <w:sz w:val="20"/>
          <w:szCs w:val="20"/>
          <w:color w:val="auto"/>
        </w:rPr>
      </w:pPr>
      <w:r>
        <w:rPr>
          <w:rFonts w:ascii="Arial" w:cs="Arial" w:eastAsia="Arial" w:hAnsi="Arial"/>
          <w:sz w:val="17"/>
          <w:szCs w:val="17"/>
          <w:color w:val="auto"/>
        </w:rPr>
        <w:t>On July 21, 2020, the Company completed its initial public offering and issued 9,775,000 shares of common stock for net proceeds of approximately $169.5 million, after deducting underwriting discounts and commissions of $13.0 million and offering-related expenses of</w:t>
      </w:r>
    </w:p>
    <w:p>
      <w:pPr>
        <w:ind w:left="120" w:right="140"/>
        <w:spacing w:after="0" w:line="243" w:lineRule="auto"/>
        <w:rPr>
          <w:sz w:val="20"/>
          <w:szCs w:val="20"/>
          <w:color w:val="auto"/>
        </w:rPr>
      </w:pPr>
      <w:r>
        <w:rPr>
          <w:rFonts w:ascii="Arial" w:cs="Arial" w:eastAsia="Arial" w:hAnsi="Arial"/>
          <w:sz w:val="17"/>
          <w:szCs w:val="17"/>
          <w:color w:val="auto"/>
        </w:rPr>
        <w:t>$3.2 million. Upon the closing of the initial public offering, all shares of convertible preferred stock outstanding and accrued cumulative dividends were automatically converted into 23,934,533 shares of common stock.</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2019, the Company’s convertible preferred stock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920" w:type="dxa"/>
            <w:vAlign w:val="bottom"/>
          </w:tcPr>
          <w:p>
            <w:pPr>
              <w:spacing w:after="0"/>
              <w:rPr>
                <w:sz w:val="13"/>
                <w:szCs w:val="13"/>
                <w:color w:val="auto"/>
              </w:rPr>
            </w:pPr>
          </w:p>
        </w:tc>
        <w:tc>
          <w:tcPr>
            <w:tcW w:w="132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592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59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2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stock</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9,421,633</w:t>
            </w:r>
          </w:p>
        </w:tc>
        <w:tc>
          <w:tcPr>
            <w:tcW w:w="38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73,571</w:t>
            </w:r>
          </w:p>
        </w:tc>
        <w:tc>
          <w:tcPr>
            <w:tcW w:w="0" w:type="dxa"/>
            <w:vAlign w:val="bottom"/>
          </w:tcPr>
          <w:p>
            <w:pPr>
              <w:spacing w:after="0"/>
              <w:rPr>
                <w:sz w:val="1"/>
                <w:szCs w:val="1"/>
                <w:color w:val="auto"/>
              </w:rPr>
            </w:pPr>
          </w:p>
        </w:tc>
      </w:tr>
      <w:tr>
        <w:trPr>
          <w:trHeight w:val="189"/>
        </w:trPr>
        <w:tc>
          <w:tcPr>
            <w:tcW w:w="5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stock</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2,145,370</w:t>
            </w:r>
          </w:p>
        </w:tc>
        <w:tc>
          <w:tcPr>
            <w:tcW w:w="3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1,016,727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10,014</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11,567,003</w:t>
            </w:r>
          </w:p>
        </w:tc>
        <w:tc>
          <w:tcPr>
            <w:tcW w:w="3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10,313,808</w:t>
            </w:r>
          </w:p>
        </w:tc>
        <w:tc>
          <w:tcPr>
            <w:tcW w:w="4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70,363</w:t>
            </w:r>
          </w:p>
        </w:tc>
        <w:tc>
          <w:tcPr>
            <w:tcW w:w="4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83,585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4"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Net proceeds are gross proceeds from the offerings net of issuance costs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Preferred Stock Warrant Liability</w:t>
      </w:r>
    </w:p>
    <w:p>
      <w:pPr>
        <w:spacing w:after="0" w:line="41"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On July 21, 2020, the warrants to purchase 61,292 Series B convertible preferred stock issued to SVB and WestRiver with an exercise price of $9.4972 per share were automatically converted to warrants to purchase 61,292 shares of common stock at an exercise price of $9.4972 per share. The Company revalued the Series B convertible preferred stock warrants as of the completion of the initial public offering and reclassified the outstanding preferred stock warrant liability balance to additional paid-in capital with no further re-measurement required as the common stock warrants are considered permanent equity.</w:t>
      </w:r>
    </w:p>
    <w:p>
      <w:pPr>
        <w:spacing w:after="0" w:line="150"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On August 17, 2020, SVB and WestRiver delivered the Notice of Exercise to net exercise 61,292 warrants at an exercise price of $9.4972 per share. Accordingly, the Company issued 48,932 shares of the Company’s common stock.</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Dividends</w:t>
      </w:r>
    </w:p>
    <w:p>
      <w:pPr>
        <w:spacing w:after="0" w:line="41"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Cumulative dividends of 6.0% per annum of the original issue price for each preferred stock series are payable when and as declared by the Company’s Board of Directors, or Board of Directors, upon the occurrence of a liquidation event or upon a contingent mandatory conversion of the preferred stock in connection with a qualified initial public offering as described below. The Series A original issue price is $6.58, and the Series B and Series C original issue price is $9.4972. The original issue price is subject to adjustment in the event of any share dividend, share split, combination, consolidation or other recapitalization. The dividends shall accrue from day to day from the issue date of such preferred stock whether or not declared and shall be cumulative. In addition, the preferred stockholders participate on an as-converted basis in any dividends payable to ordinary shareholders. As of July 20, 2020, there were approximately $18.0 million of accrued cumulative dividends on the Series A, Series B and Series C convertible preferred stock, which became payable upon the consummation of the Company’s initial public offering and automatically converted into 2,564,759 shares of the Company’s common stock.</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STOCK-BASED COMPENSATION</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2020 Amended and Restated Equity Incentive Plan</w:t>
      </w:r>
    </w:p>
    <w:p>
      <w:pPr>
        <w:spacing w:after="0" w:line="41"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On April 1, 2020, the board of directors approved a new equity incentive plan, or the 2020 Equity Incentive Plan, that replaced the 2015 Share Award Scheme.</w:t>
      </w:r>
    </w:p>
    <w:p>
      <w:pPr>
        <w:spacing w:after="0" w:line="144" w:lineRule="exact"/>
        <w:rPr>
          <w:sz w:val="20"/>
          <w:szCs w:val="20"/>
          <w:color w:val="auto"/>
        </w:rPr>
      </w:pPr>
    </w:p>
    <w:p>
      <w:pPr>
        <w:ind w:left="120" w:right="580"/>
        <w:spacing w:after="0" w:line="243" w:lineRule="auto"/>
        <w:rPr>
          <w:sz w:val="20"/>
          <w:szCs w:val="20"/>
          <w:color w:val="auto"/>
        </w:rPr>
      </w:pPr>
      <w:r>
        <w:rPr>
          <w:rFonts w:ascii="Arial" w:cs="Arial" w:eastAsia="Arial" w:hAnsi="Arial"/>
          <w:sz w:val="17"/>
          <w:szCs w:val="17"/>
          <w:color w:val="auto"/>
        </w:rPr>
        <w:t>In July 2020, the Company adopted the Amended and Restated 2020 Equity Incentive Plan, or the 2020 Plan. The 2020 Plan replaced the Company’s 2020 Equity Incentive Plan and a total of 7,874,862 shares were reserved under the 2020 Plan.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 Option Modification</w:t>
      </w:r>
    </w:p>
    <w:p>
      <w:pPr>
        <w:spacing w:after="0" w:line="54"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connection with the transfer of employees to Tallac Therapeutics, Dr. Hong Wan, the Company’s former Chief Scientific Officer, and eight of the Company’s employees, or Transferred Employees, terminated their employment with the Company effective as of June 30, 2020 and became employees of Tallac Therapeutics effective as of July 1, 2020. The options to purchase shares of the Company’s common stock that were previously granted to the Transferred Employees will continue to vest and be exercisable subject to the Transferred Employees remaining service providers under the original terms of the award. The Company evaluated the change in status from an employee to a consultant in accordance with ASC 718. While the Company concluded that the change in status did not affect the vesting condition or the classification of the initial awards, the significant reduction in the level of services that the grantees were expected to provide under the original awards as compared to the level of services expected under the Tallac Services Agreement will no longer meet the substantive service condition requirements and therefore the compensation cost for the unvested awards was recognized immediately with no future service requirement. The Company recorded $2.3 million in stock-based compensation expenses related to the modification for the three months ended June 30, 2020.</w:t>
      </w:r>
    </w:p>
    <w:p>
      <w:pPr>
        <w:spacing w:after="0" w:line="154"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In September 2020, in connection with the resignation of the Company’s former Chief Business Officer and the entry into a consulting agreement with him, the Company evaluated the change in status from an employee to a consultant in accordance with ASC 718. While the Company concluded that the change in status did not affect the vesting condition or the classification of the initial awards, the significant reduction in the level of services that the grantee was expected to provide under the original awards as compared to the level of services expected under the consulting agreement will no longer meet the substantive service condition requirements and therefore the compensation expense for the unvested awards expected to vest during the consultancy was recognized immediately with no future service requirement. The Company recorded $0.2 million in stock-based compensation expenses related to the modification for the three months ended September 30, 2020.</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54"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Total stock-based compensation expense recognized in the condensed consolidated statements of operations and comprehensive loss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6"/>
          </w:tcPr>
          <w:p>
            <w:pPr>
              <w:ind w:left="24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64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3"/>
        </w:trPr>
        <w:tc>
          <w:tcPr>
            <w:tcW w:w="6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w:t>
            </w: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4"/>
              </w:rPr>
              <w:t>25</w:t>
            </w: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(359)</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79</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2,008</w:t>
            </w:r>
          </w:p>
        </w:tc>
        <w:tc>
          <w:tcPr>
            <w:tcW w:w="60" w:type="dxa"/>
            <w:vAlign w:val="bottom"/>
            <w:shd w:val="clear" w:color="auto" w:fill="CCEEFF"/>
          </w:tcPr>
          <w:p>
            <w:pPr>
              <w:spacing w:after="0"/>
              <w:rPr>
                <w:sz w:val="15"/>
                <w:szCs w:val="15"/>
                <w:color w:val="auto"/>
              </w:rPr>
            </w:pPr>
          </w:p>
        </w:tc>
      </w:tr>
      <w:tr>
        <w:trPr>
          <w:trHeight w:val="189"/>
        </w:trPr>
        <w:tc>
          <w:tcPr>
            <w:tcW w:w="646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w w:val="94"/>
              </w:rPr>
              <w:t>10</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1,048</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24</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1,685</w:t>
            </w:r>
          </w:p>
        </w:tc>
      </w:tr>
      <w:tr>
        <w:trPr>
          <w:trHeight w:val="189"/>
        </w:trPr>
        <w:tc>
          <w:tcPr>
            <w:tcW w:w="6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4"/>
              </w:rPr>
              <w:t>51</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119</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460" w:type="dxa"/>
            <w:vAlign w:val="bottom"/>
          </w:tcPr>
          <w:p>
            <w:pPr>
              <w:spacing w:after="0"/>
              <w:rPr>
                <w:sz w:val="17"/>
                <w:szCs w:val="17"/>
                <w:color w:val="auto"/>
              </w:rPr>
            </w:pPr>
          </w:p>
        </w:tc>
        <w:tc>
          <w:tcPr>
            <w:tcW w:w="540" w:type="dxa"/>
            <w:vAlign w:val="bottom"/>
            <w:gridSpan w:val="2"/>
          </w:tcPr>
          <w:p>
            <w:pPr>
              <w:jc w:val="right"/>
              <w:ind w:right="367"/>
              <w:spacing w:after="0"/>
              <w:rPr>
                <w:sz w:val="20"/>
                <w:szCs w:val="20"/>
                <w:color w:val="auto"/>
              </w:rPr>
            </w:pPr>
            <w:r>
              <w:rPr>
                <w:rFonts w:ascii="Arial" w:cs="Arial" w:eastAsia="Arial" w:hAnsi="Arial"/>
                <w:sz w:val="17"/>
                <w:szCs w:val="17"/>
                <w:color w:val="auto"/>
                <w:w w:val="84"/>
              </w:rPr>
              <w:t>$</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w w:val="94"/>
              </w:rPr>
              <w:t>86</w:t>
            </w:r>
          </w:p>
        </w:tc>
        <w:tc>
          <w:tcPr>
            <w:tcW w:w="5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689</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222</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3,693</w:t>
            </w: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LICENSE AGREEMENT</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52"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49" w:lineRule="exact"/>
        <w:rPr>
          <w:sz w:val="20"/>
          <w:szCs w:val="20"/>
          <w:color w:val="auto"/>
        </w:rPr>
      </w:pPr>
    </w:p>
    <w:p>
      <w:pPr>
        <w:ind w:left="120" w:right="560"/>
        <w:spacing w:after="0" w:line="243"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$0.1 million, and granted Stanford a specified number of shares of common stock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September 30, 2020.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fails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39"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 containing such compound in all fields of use. The rights granted under this agreement include the rights to grant sublicenses to contractors or other collaboration partners, in each case to develop production processes or manufacture licensed product containing ALX148.</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5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 certain circumstances the licenses granted under the agreement will terminate unless they have become fully paid up as described in the previous paragraph.</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39" w:lineRule="exact"/>
        <w:rPr>
          <w:sz w:val="20"/>
          <w:szCs w:val="20"/>
          <w:color w:val="auto"/>
        </w:rPr>
      </w:pPr>
    </w:p>
    <w:p>
      <w:pPr>
        <w:ind w:left="120" w:right="80"/>
        <w:spacing w:after="0" w:line="241"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SIRPa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6"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50"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The Company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RELATED-PARTY TRANSACTIONS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3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June 2018, the Company entered into a Research and Development Services Agreement, or Tollnine Agreement, with Tollnine, a related-party of the Company, to provide research and development services to Tollnine. The Company’s Chief Executive Officer was also the Chief Executive Officer of Tollnine until April 2020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the Company’s customer, obtains control of promised goods or services, in an amount that reflects the consideration which the Company expects to receive in exchange for those goods or services. The Company recognized related-party revenues of $1.3 million and zero for the three months ended September 30, 2019 and 2020, respectively, and $3.6 million and $1.2 million for the nine months ended September 30, 2019 and 2020, respectively, under the Tollnine Agreement. Effective as of July 1, 2020, the Company terminated the Tollnine Agreement and entered into the Tallac Services Agreement with Tallac Therapeutics.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Receivables due from related-party</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2019 and September 30, 2020, the Company had outstanding related-party receivables from Tollnine of $0.5 million.</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Tallac Service Agreement</w:t>
      </w:r>
    </w:p>
    <w:p>
      <w:pPr>
        <w:spacing w:after="0" w:line="3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Company entered into a research and development services agreement, or the Tallac Services Agreement, with Tallac Therapeutics effective as of July 1, 2020. The Tallac Services Agreement provides that Tallac Therapeutics will provide certain preclinical research services to the Company for a service fee based on the costs incurred by Tallac Therapeutics plus a mark-up equal to 10.0% of such costs. The Tallac Services Agreement has an initial term of four years and is renewed automatically for additional one year terms thereafter. The Company records the payments for the research and development services as research and development costs within the condensed consolidated statement of operations and comprehensive loss. The Company has recorded $0.4 million as research and development costs for the three months ended September 30, 2020.</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93"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The following table sets forth the computation of the basic and diluted net loss per share attributable to common stockholders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5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5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(3,044)</w:t>
            </w:r>
          </w:p>
        </w:tc>
        <w:tc>
          <w:tcPr>
            <w:tcW w:w="3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(10,181)</w:t>
            </w:r>
          </w:p>
        </w:tc>
        <w:tc>
          <w:tcPr>
            <w:tcW w:w="3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(11,479)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(26,966)</w:t>
            </w:r>
          </w:p>
        </w:tc>
        <w:tc>
          <w:tcPr>
            <w:tcW w:w="0" w:type="dxa"/>
            <w:vAlign w:val="bottom"/>
          </w:tcPr>
          <w:p>
            <w:pPr>
              <w:spacing w:after="0"/>
              <w:rPr>
                <w:sz w:val="1"/>
                <w:szCs w:val="1"/>
                <w:color w:val="auto"/>
              </w:rPr>
            </w:pPr>
          </w:p>
        </w:tc>
      </w:tr>
      <w:tr>
        <w:trPr>
          <w:trHeight w:val="183"/>
        </w:trPr>
        <w:tc>
          <w:tcPr>
            <w:tcW w:w="5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Less: cumulative preferred dividends allocated to preferred</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stockholders</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(1,071)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(2,957)</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(5,202)</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(4,115)</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(10,759)</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7"/>
                <w:szCs w:val="17"/>
                <w:color w:val="auto"/>
              </w:rPr>
              <w:t>(14,436)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(32,168)</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Denominator:</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line="189" w:lineRule="exact"/>
              <w:rPr>
                <w:sz w:val="20"/>
                <w:szCs w:val="20"/>
                <w:color w:val="auto"/>
              </w:rPr>
            </w:pPr>
            <w:r>
              <w:rPr>
                <w:rFonts w:ascii="Arial" w:cs="Arial" w:eastAsia="Arial" w:hAnsi="Arial"/>
                <w:sz w:val="17"/>
                <w:szCs w:val="17"/>
                <w:color w:val="auto"/>
              </w:rPr>
              <w:t>Weighted-average shares of common stock outstanding</w:t>
            </w:r>
          </w:p>
        </w:tc>
        <w:tc>
          <w:tcPr>
            <w:tcW w:w="120" w:type="dxa"/>
            <w:vAlign w:val="bottom"/>
          </w:tcPr>
          <w:p>
            <w:pPr>
              <w:spacing w:after="0"/>
              <w:rPr>
                <w:sz w:val="16"/>
                <w:szCs w:val="16"/>
                <w:color w:val="auto"/>
              </w:rPr>
            </w:pPr>
          </w:p>
        </w:tc>
        <w:tc>
          <w:tcPr>
            <w:tcW w:w="10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w w:val="97"/>
              </w:rPr>
              <w:t>3,100,544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w w:val="98"/>
              </w:rPr>
              <w:t>29,664,122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w w:val="97"/>
              </w:rPr>
              <w:t>3,061,082</w:t>
            </w:r>
          </w:p>
        </w:tc>
        <w:tc>
          <w:tcPr>
            <w:tcW w:w="10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w w:val="98"/>
              </w:rPr>
              <w:t>12,052,876</w:t>
            </w:r>
          </w:p>
        </w:tc>
        <w:tc>
          <w:tcPr>
            <w:tcW w:w="0" w:type="dxa"/>
            <w:vAlign w:val="bottom"/>
          </w:tcPr>
          <w:p>
            <w:pPr>
              <w:spacing w:after="0"/>
              <w:rPr>
                <w:sz w:val="1"/>
                <w:szCs w:val="1"/>
                <w:color w:val="auto"/>
              </w:rPr>
            </w:pPr>
          </w:p>
        </w:tc>
      </w:tr>
      <w:tr>
        <w:trPr>
          <w:trHeight w:val="183"/>
        </w:trPr>
        <w:tc>
          <w:tcPr>
            <w:tcW w:w="5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common stockholders, basic and</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(0.36)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144"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following outstanding potentially dilutive securities were excluded from the computation of diluted net loss per share for the three and nine months ended September 30, 2019 and 2020, because including them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580" w:type="dxa"/>
            <w:vAlign w:val="bottom"/>
          </w:tcPr>
          <w:p>
            <w:pPr>
              <w:spacing w:after="0"/>
              <w:rPr>
                <w:sz w:val="15"/>
                <w:szCs w:val="15"/>
                <w:color w:val="auto"/>
              </w:rPr>
            </w:pPr>
          </w:p>
        </w:tc>
        <w:tc>
          <w:tcPr>
            <w:tcW w:w="2440" w:type="dxa"/>
            <w:vAlign w:val="bottom"/>
            <w:gridSpan w:val="5"/>
          </w:tcPr>
          <w:p>
            <w:pPr>
              <w:ind w:left="60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858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2"/>
        </w:trPr>
        <w:tc>
          <w:tcPr>
            <w:tcW w:w="8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stock</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10,313,808</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r>
      <w:tr>
        <w:trPr>
          <w:trHeight w:val="189"/>
        </w:trPr>
        <w:tc>
          <w:tcPr>
            <w:tcW w:w="8580" w:type="dxa"/>
            <w:vAlign w:val="bottom"/>
          </w:tcPr>
          <w:p>
            <w:pPr>
              <w:spacing w:after="0" w:line="189" w:lineRule="exact"/>
              <w:rPr>
                <w:sz w:val="20"/>
                <w:szCs w:val="20"/>
                <w:color w:val="auto"/>
              </w:rPr>
            </w:pPr>
            <w:r>
              <w:rPr>
                <w:rFonts w:ascii="Arial" w:cs="Arial" w:eastAsia="Arial" w:hAnsi="Arial"/>
                <w:sz w:val="17"/>
                <w:szCs w:val="17"/>
                <w:color w:val="auto"/>
              </w:rPr>
              <w:t>Common stock subject to repurchase</w:t>
            </w:r>
          </w:p>
        </w:tc>
        <w:tc>
          <w:tcPr>
            <w:tcW w:w="11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53,070</w:t>
            </w:r>
          </w:p>
        </w:tc>
        <w:tc>
          <w:tcPr>
            <w:tcW w:w="16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253</w:t>
            </w:r>
          </w:p>
        </w:tc>
      </w:tr>
      <w:tr>
        <w:trPr>
          <w:trHeight w:val="189"/>
        </w:trPr>
        <w:tc>
          <w:tcPr>
            <w:tcW w:w="8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issued and outstanding</w:t>
            </w: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1,206,690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4,751,589</w:t>
            </w:r>
          </w:p>
        </w:tc>
        <w:tc>
          <w:tcPr>
            <w:tcW w:w="80" w:type="dxa"/>
            <w:vAlign w:val="bottom"/>
            <w:shd w:val="clear" w:color="auto" w:fill="CCEEFF"/>
          </w:tcPr>
          <w:p>
            <w:pPr>
              <w:spacing w:after="0"/>
              <w:rPr>
                <w:sz w:val="16"/>
                <w:szCs w:val="16"/>
                <w:color w:val="auto"/>
              </w:rPr>
            </w:pPr>
          </w:p>
        </w:tc>
      </w:tr>
      <w:tr>
        <w:trPr>
          <w:trHeight w:val="196"/>
        </w:trPr>
        <w:tc>
          <w:tcPr>
            <w:tcW w:w="8580" w:type="dxa"/>
            <w:vAlign w:val="bottom"/>
          </w:tcPr>
          <w:p>
            <w:pPr>
              <w:ind w:left="240"/>
              <w:spacing w:after="0"/>
              <w:rPr>
                <w:sz w:val="20"/>
                <w:szCs w:val="20"/>
                <w:color w:val="auto"/>
              </w:rPr>
            </w:pPr>
            <w:r>
              <w:rPr>
                <w:rFonts w:ascii="Arial" w:cs="Arial" w:eastAsia="Arial" w:hAnsi="Arial"/>
                <w:sz w:val="17"/>
                <w:szCs w:val="17"/>
                <w:color w:val="auto"/>
              </w:rPr>
              <w:t>Total</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11,573,568</w:t>
            </w: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4,751,842</w:t>
            </w:r>
          </w:p>
        </w:tc>
      </w:tr>
      <w:tr>
        <w:trPr>
          <w:trHeight w:val="20"/>
        </w:trPr>
        <w:tc>
          <w:tcPr>
            <w:tcW w:w="8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ind w:left="120" w:right="7300" w:hanging="4"/>
        <w:spacing w:after="0" w:line="316" w:lineRule="auto"/>
        <w:tabs>
          <w:tab w:leader="none" w:pos="49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6"/>
          <w:szCs w:val="16"/>
          <w:i w:val="1"/>
          <w:iCs w:val="1"/>
          <w:color w:val="auto"/>
        </w:rPr>
        <w:t>Guarantees and Indemnifications</w:t>
      </w:r>
    </w:p>
    <w:p>
      <w:pPr>
        <w:spacing w:after="0" w:line="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September 30, 2020.</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Contingencies</w:t>
      </w:r>
    </w:p>
    <w:p>
      <w:pPr>
        <w:spacing w:after="0" w:line="52" w:lineRule="exact"/>
        <w:rPr>
          <w:sz w:val="20"/>
          <w:szCs w:val="20"/>
          <w:color w:val="auto"/>
        </w:rPr>
      </w:pPr>
    </w:p>
    <w:p>
      <w:pPr>
        <w:ind w:left="120" w:right="260"/>
        <w:spacing w:after="0" w:line="236" w:lineRule="auto"/>
        <w:rPr>
          <w:sz w:val="20"/>
          <w:szCs w:val="20"/>
          <w:color w:val="auto"/>
        </w:rPr>
      </w:pPr>
      <w:r>
        <w:rPr>
          <w:rFonts w:ascii="Arial" w:cs="Arial" w:eastAsia="Arial" w:hAnsi="Arial"/>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nine months ended September 30, 2020 the Company had no pending or threatened litigation.</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Contractual Obligations and Other Commitments</w:t>
      </w:r>
    </w:p>
    <w:p>
      <w:pPr>
        <w:spacing w:after="0" w:line="52" w:lineRule="exact"/>
        <w:rPr>
          <w:sz w:val="20"/>
          <w:szCs w:val="20"/>
          <w:color w:val="auto"/>
        </w:rPr>
      </w:pPr>
    </w:p>
    <w:p>
      <w:pPr>
        <w:ind w:left="120" w:right="460"/>
        <w:spacing w:after="0" w:line="238" w:lineRule="auto"/>
        <w:rPr>
          <w:sz w:val="20"/>
          <w:szCs w:val="20"/>
          <w:color w:val="auto"/>
        </w:rPr>
      </w:pPr>
      <w:r>
        <w:rPr>
          <w:rFonts w:ascii="Arial" w:cs="Arial" w:eastAsia="Arial" w:hAnsi="Arial"/>
          <w:sz w:val="17"/>
          <w:szCs w:val="17"/>
          <w:color w:val="auto"/>
        </w:rPr>
        <w:t>The Company has contractual obligations from its operating lease, manufacturing and service contracts, Term Loan, and other research and development activities. The following table aggregates the Company’s material expected contractual obligations and commitments as of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4"/>
                <w:szCs w:val="14"/>
                <w:b w:val="1"/>
                <w:bCs w:val="1"/>
                <w:color w:val="auto"/>
              </w:rPr>
              <w:t>SEPTEMBER 30, 2020</w:t>
            </w: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5280" w:type="dxa"/>
            <w:vAlign w:val="bottom"/>
          </w:tcPr>
          <w:p>
            <w:pPr>
              <w:spacing w:after="0"/>
              <w:rPr>
                <w:sz w:val="13"/>
                <w:szCs w:val="13"/>
                <w:color w:val="auto"/>
              </w:rPr>
            </w:pPr>
          </w:p>
        </w:tc>
        <w:tc>
          <w:tcPr>
            <w:tcW w:w="880" w:type="dxa"/>
            <w:vAlign w:val="bottom"/>
            <w:gridSpan w:val="4"/>
          </w:tcPr>
          <w:p>
            <w:pPr>
              <w:ind w:left="100"/>
              <w:spacing w:after="0" w:line="155" w:lineRule="exact"/>
              <w:rPr>
                <w:sz w:val="20"/>
                <w:szCs w:val="20"/>
                <w:color w:val="auto"/>
              </w:rPr>
            </w:pPr>
            <w:r>
              <w:rPr>
                <w:rFonts w:ascii="Arial" w:cs="Arial" w:eastAsia="Arial" w:hAnsi="Arial"/>
                <w:sz w:val="14"/>
                <w:szCs w:val="14"/>
                <w:b w:val="1"/>
                <w:bCs w:val="1"/>
                <w:color w:val="auto"/>
              </w:rPr>
              <w:t>TOTAL</w:t>
            </w:r>
          </w:p>
        </w:tc>
        <w:tc>
          <w:tcPr>
            <w:tcW w:w="780" w:type="dxa"/>
            <w:vAlign w:val="bottom"/>
            <w:gridSpan w:val="3"/>
          </w:tcPr>
          <w:p>
            <w:pPr>
              <w:jc w:val="right"/>
              <w:spacing w:after="0" w:line="156" w:lineRule="exact"/>
              <w:rPr>
                <w:sz w:val="20"/>
                <w:szCs w:val="20"/>
                <w:color w:val="auto"/>
              </w:rPr>
            </w:pPr>
            <w:r>
              <w:rPr>
                <w:rFonts w:ascii="Arial" w:cs="Arial" w:eastAsia="Arial" w:hAnsi="Arial"/>
                <w:sz w:val="11"/>
                <w:szCs w:val="11"/>
                <w:b w:val="1"/>
                <w:bCs w:val="1"/>
                <w:color w:val="auto"/>
              </w:rPr>
              <w:t>2020</w:t>
            </w:r>
            <w:r>
              <w:rPr>
                <w:rFonts w:ascii="Arial" w:cs="Arial" w:eastAsia="Arial" w:hAnsi="Arial"/>
                <w:sz w:val="18"/>
                <w:szCs w:val="18"/>
                <w:b w:val="1"/>
                <w:bCs w:val="1"/>
                <w:color w:val="auto"/>
                <w:vertAlign w:val="superscript"/>
              </w:rPr>
              <w:t>(4)</w:t>
            </w:r>
          </w:p>
        </w:tc>
        <w:tc>
          <w:tcPr>
            <w:tcW w:w="220" w:type="dxa"/>
            <w:vAlign w:val="bottom"/>
          </w:tcPr>
          <w:p>
            <w:pPr>
              <w:spacing w:after="0"/>
              <w:rPr>
                <w:sz w:val="13"/>
                <w:szCs w:val="13"/>
                <w:color w:val="auto"/>
              </w:rPr>
            </w:pPr>
          </w:p>
        </w:tc>
        <w:tc>
          <w:tcPr>
            <w:tcW w:w="10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2021 - 2022</w:t>
            </w:r>
          </w:p>
        </w:tc>
        <w:tc>
          <w:tcPr>
            <w:tcW w:w="500" w:type="dxa"/>
            <w:vAlign w:val="bottom"/>
          </w:tcPr>
          <w:p>
            <w:pPr>
              <w:spacing w:after="0"/>
              <w:rPr>
                <w:sz w:val="13"/>
                <w:szCs w:val="13"/>
                <w:color w:val="auto"/>
              </w:rPr>
            </w:pP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2023 - 2024</w:t>
            </w:r>
          </w:p>
        </w:tc>
        <w:tc>
          <w:tcPr>
            <w:tcW w:w="50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THEREAFTER</w:t>
            </w:r>
          </w:p>
        </w:tc>
        <w:tc>
          <w:tcPr>
            <w:tcW w:w="60" w:type="dxa"/>
            <w:vAlign w:val="bottom"/>
          </w:tcPr>
          <w:p>
            <w:pPr>
              <w:spacing w:after="0"/>
              <w:rPr>
                <w:sz w:val="13"/>
                <w:szCs w:val="13"/>
                <w:color w:val="auto"/>
              </w:rPr>
            </w:pPr>
          </w:p>
        </w:tc>
      </w:tr>
      <w:tr>
        <w:trPr>
          <w:trHeight w:val="183"/>
        </w:trPr>
        <w:tc>
          <w:tcPr>
            <w:tcW w:w="5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14"/>
                <w:szCs w:val="14"/>
                <w:color w:val="auto"/>
              </w:rPr>
              <w:t>(1)</w:t>
            </w: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380</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w:t>
            </w: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284</w:t>
            </w:r>
          </w:p>
        </w:tc>
        <w:tc>
          <w:tcPr>
            <w:tcW w:w="5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79"/>
              <w:spacing w:after="0" w:line="183" w:lineRule="exact"/>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5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7"/>
                <w:szCs w:val="17"/>
                <w:color w:val="auto"/>
              </w:rPr>
              <w:t>Manufacturing and service contracts</w:t>
            </w: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76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7,622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w w:val="93"/>
              </w:rPr>
              <w:t>6,238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1,384</w:t>
            </w:r>
          </w:p>
        </w:tc>
        <w:tc>
          <w:tcPr>
            <w:tcW w:w="360" w:type="dxa"/>
            <w:vAlign w:val="bottom"/>
          </w:tcPr>
          <w:p>
            <w:pPr>
              <w:spacing w:after="0"/>
              <w:rPr>
                <w:sz w:val="16"/>
                <w:szCs w:val="16"/>
                <w:color w:val="auto"/>
              </w:rPr>
            </w:pPr>
          </w:p>
        </w:tc>
        <w:tc>
          <w:tcPr>
            <w:tcW w:w="90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4"/>
        </w:trPr>
        <w:tc>
          <w:tcPr>
            <w:tcW w:w="528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Term loan</w:t>
            </w:r>
          </w:p>
        </w:tc>
        <w:tc>
          <w:tcPr>
            <w:tcW w:w="120" w:type="dxa"/>
            <w:vAlign w:val="bottom"/>
            <w:shd w:val="clear" w:color="auto" w:fill="CCEEFF"/>
          </w:tcPr>
          <w:p>
            <w:pPr>
              <w:spacing w:after="0" w:line="20" w:lineRule="exact"/>
              <w:rPr>
                <w:sz w:val="1"/>
                <w:szCs w:val="1"/>
                <w:color w:val="auto"/>
              </w:rPr>
            </w:pPr>
          </w:p>
        </w:tc>
        <w:tc>
          <w:tcPr>
            <w:tcW w:w="760" w:type="dxa"/>
            <w:vAlign w:val="bottom"/>
            <w:gridSpan w:val="3"/>
            <w:shd w:val="clear" w:color="auto" w:fill="CCEEFF"/>
          </w:tcPr>
          <w:p>
            <w:pPr>
              <w:jc w:val="right"/>
              <w:ind w:right="240"/>
              <w:spacing w:after="0" w:line="4" w:lineRule="exact"/>
              <w:rPr>
                <w:sz w:val="20"/>
                <w:szCs w:val="20"/>
                <w:color w:val="auto"/>
              </w:rPr>
            </w:pPr>
            <w:r>
              <w:rPr>
                <w:rFonts w:ascii="Arial" w:cs="Arial" w:eastAsia="Arial" w:hAnsi="Arial"/>
                <w:sz w:val="1"/>
                <w:szCs w:val="1"/>
                <w:color w:val="auto"/>
              </w:rPr>
              <w:t>6,856</w:t>
            </w: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106</w:t>
            </w: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gridSpan w:val="2"/>
            <w:shd w:val="clear" w:color="auto" w:fill="CCEEFF"/>
          </w:tcPr>
          <w:p>
            <w:pPr>
              <w:jc w:val="right"/>
              <w:ind w:right="500"/>
              <w:spacing w:after="0" w:line="4" w:lineRule="exact"/>
              <w:rPr>
                <w:sz w:val="20"/>
                <w:szCs w:val="20"/>
                <w:color w:val="auto"/>
              </w:rPr>
            </w:pPr>
            <w:r>
              <w:rPr>
                <w:rFonts w:ascii="Arial" w:cs="Arial" w:eastAsia="Arial" w:hAnsi="Arial"/>
                <w:sz w:val="1"/>
                <w:szCs w:val="1"/>
                <w:color w:val="auto"/>
              </w:rPr>
              <w:t>6,750</w:t>
            </w:r>
          </w:p>
        </w:tc>
        <w:tc>
          <w:tcPr>
            <w:tcW w:w="360" w:type="dxa"/>
            <w:vAlign w:val="bottom"/>
            <w:shd w:val="clear" w:color="auto" w:fill="CCEEFF"/>
          </w:tcPr>
          <w:p>
            <w:pPr>
              <w:spacing w:after="0" w:line="20" w:lineRule="exact"/>
              <w:rPr>
                <w:sz w:val="1"/>
                <w:szCs w:val="1"/>
                <w:color w:val="auto"/>
              </w:rPr>
            </w:pPr>
          </w:p>
        </w:tc>
        <w:tc>
          <w:tcPr>
            <w:tcW w:w="900" w:type="dxa"/>
            <w:vAlign w:val="bottom"/>
            <w:gridSpan w:val="2"/>
            <w:shd w:val="clear" w:color="auto" w:fill="CCEEFF"/>
          </w:tcPr>
          <w:p>
            <w:pPr>
              <w:jc w:val="right"/>
              <w:ind w:right="500"/>
              <w:spacing w:after="0" w:line="4" w:lineRule="exact"/>
              <w:rPr>
                <w:sz w:val="20"/>
                <w:szCs w:val="20"/>
                <w:color w:val="auto"/>
              </w:rPr>
            </w:pPr>
            <w:r>
              <w:rPr>
                <w:rFonts w:ascii="Arial" w:cs="Arial" w:eastAsia="Arial" w:hAnsi="Arial"/>
                <w:sz w:val="1"/>
                <w:szCs w:val="1"/>
                <w:color w:val="auto"/>
              </w:rPr>
              <w:t>—</w:t>
            </w:r>
          </w:p>
        </w:tc>
        <w:tc>
          <w:tcPr>
            <w:tcW w:w="460" w:type="dxa"/>
            <w:vAlign w:val="bottom"/>
            <w:shd w:val="clear" w:color="auto" w:fill="CCEEFF"/>
          </w:tcPr>
          <w:p>
            <w:pPr>
              <w:spacing w:after="0" w:line="20" w:lineRule="exact"/>
              <w:rPr>
                <w:sz w:val="1"/>
                <w:szCs w:val="1"/>
                <w:color w:val="auto"/>
              </w:rPr>
            </w:pPr>
          </w:p>
        </w:tc>
        <w:tc>
          <w:tcPr>
            <w:tcW w:w="58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w:t>
            </w:r>
          </w:p>
        </w:tc>
      </w:tr>
      <w:tr>
        <w:trPr>
          <w:trHeight w:val="185"/>
        </w:trPr>
        <w:tc>
          <w:tcPr>
            <w:tcW w:w="52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(3)</w:t>
            </w: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7"/>
                <w:szCs w:val="17"/>
                <w:color w:val="auto"/>
              </w:rPr>
              <w:t>Total</w:t>
            </w:r>
          </w:p>
        </w:tc>
        <w:tc>
          <w:tcPr>
            <w:tcW w:w="12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w w:val="96"/>
              </w:rPr>
              <w:t>14,858</w:t>
            </w:r>
          </w:p>
        </w:tc>
        <w:tc>
          <w:tcPr>
            <w:tcW w:w="22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6,378</w:t>
            </w:r>
          </w:p>
        </w:tc>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7"/>
                <w:szCs w:val="17"/>
                <w:color w:val="auto"/>
              </w:rPr>
              <w:t>8,418</w:t>
            </w:r>
          </w:p>
        </w:tc>
        <w:tc>
          <w:tcPr>
            <w:tcW w:w="360" w:type="dxa"/>
            <w:vAlign w:val="bottom"/>
          </w:tcPr>
          <w:p>
            <w:pPr>
              <w:jc w:val="right"/>
              <w:ind w:right="179"/>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500"/>
              <w:spacing w:after="0"/>
              <w:rPr>
                <w:sz w:val="20"/>
                <w:szCs w:val="20"/>
                <w:color w:val="auto"/>
              </w:rPr>
            </w:pPr>
            <w:r>
              <w:rPr>
                <w:rFonts w:ascii="Arial" w:cs="Arial" w:eastAsia="Arial" w:hAnsi="Arial"/>
                <w:sz w:val="17"/>
                <w:szCs w:val="17"/>
                <w:color w:val="auto"/>
              </w:rPr>
              <w:t>62</w:t>
            </w:r>
          </w:p>
        </w:tc>
        <w:tc>
          <w:tcPr>
            <w:tcW w:w="460" w:type="dxa"/>
            <w:vAlign w:val="bottom"/>
          </w:tcPr>
          <w:p>
            <w:pPr>
              <w:jc w:val="right"/>
              <w:ind w:right="279"/>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5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6"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7"/>
          <w:szCs w:val="17"/>
          <w:i w:val="1"/>
          <w:iCs w:val="1"/>
          <w:color w:val="auto"/>
        </w:rPr>
      </w:pPr>
      <w:r>
        <w:rPr>
          <w:rFonts w:ascii="Arial" w:cs="Arial" w:eastAsia="Arial" w:hAnsi="Arial"/>
          <w:sz w:val="17"/>
          <w:szCs w:val="17"/>
          <w:i w:val="1"/>
          <w:iCs w:val="1"/>
          <w:color w:val="auto"/>
        </w:rPr>
        <w:t>Payments due for the office space in Burlingame, California under a single operating sub-lease agreement that expires in 2023.</w:t>
      </w:r>
    </w:p>
    <w:p>
      <w:pPr>
        <w:spacing w:after="0" w:line="11" w:lineRule="exact"/>
        <w:rPr>
          <w:rFonts w:ascii="Arial" w:cs="Arial" w:eastAsia="Arial" w:hAnsi="Arial"/>
          <w:sz w:val="17"/>
          <w:szCs w:val="17"/>
          <w:i w:val="1"/>
          <w:iCs w:val="1"/>
          <w:color w:val="auto"/>
        </w:rPr>
      </w:pPr>
    </w:p>
    <w:p>
      <w:pPr>
        <w:ind w:left="540" w:right="100" w:hanging="424"/>
        <w:spacing w:after="0" w:line="232" w:lineRule="auto"/>
        <w:tabs>
          <w:tab w:leader="none" w:pos="540" w:val="left"/>
        </w:tabs>
        <w:numPr>
          <w:ilvl w:val="0"/>
          <w:numId w:val="133"/>
        </w:numPr>
        <w:rPr>
          <w:rFonts w:ascii="Arial" w:cs="Arial" w:eastAsia="Arial" w:hAnsi="Arial"/>
          <w:sz w:val="17"/>
          <w:szCs w:val="17"/>
          <w:i w:val="1"/>
          <w:iCs w:val="1"/>
          <w:color w:val="auto"/>
        </w:rPr>
      </w:pPr>
      <w:r>
        <w:rPr>
          <w:rFonts w:ascii="Arial" w:cs="Arial" w:eastAsia="Arial" w:hAnsi="Arial"/>
          <w:sz w:val="17"/>
          <w:szCs w:val="17"/>
          <w:i w:val="1"/>
          <w:iCs w:val="1"/>
          <w:color w:val="auto"/>
        </w:rPr>
        <w:t>In November 2015, the Company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the Company to certain purchase obligations of approximately $7.5 million. In addition, the Company has commitments with a second drug product manufacturer that commits the Company to certain purchase obligations of approximately $0.1 million. These amounts are based on non-cancellable commitments and forecasts that include estimates of future market demand, quantity discounts and manufacturing efficiencies that may impact timing of purchases.</w:t>
      </w:r>
    </w:p>
    <w:p>
      <w:pPr>
        <w:ind w:left="540" w:right="440" w:hanging="424"/>
        <w:spacing w:after="0" w:line="232" w:lineRule="auto"/>
        <w:tabs>
          <w:tab w:leader="none" w:pos="540" w:val="left"/>
        </w:tabs>
        <w:numPr>
          <w:ilvl w:val="0"/>
          <w:numId w:val="133"/>
        </w:numPr>
        <w:rPr>
          <w:rFonts w:ascii="Arial" w:cs="Arial" w:eastAsia="Arial" w:hAnsi="Arial"/>
          <w:sz w:val="17"/>
          <w:szCs w:val="17"/>
          <w:i w:val="1"/>
          <w:iCs w:val="1"/>
          <w:color w:val="auto"/>
        </w:rPr>
      </w:pPr>
      <w:r>
        <w:rPr>
          <w:rFonts w:ascii="Arial" w:cs="Arial" w:eastAsia="Arial" w:hAnsi="Arial"/>
          <w:sz w:val="17"/>
          <w:szCs w:val="17"/>
          <w:i w:val="1"/>
          <w:iCs w:val="1"/>
          <w:color w:val="auto"/>
        </w:rPr>
        <w:t>On December 20, 2019, the Company borrowed a loan pursuant to the Loan Agreement. See Note 5 to these condensed consolidated financial statements for additional details.</w:t>
      </w:r>
    </w:p>
    <w:p>
      <w:pPr>
        <w:ind w:left="540" w:hanging="424"/>
        <w:spacing w:after="0"/>
        <w:tabs>
          <w:tab w:leader="none" w:pos="540" w:val="left"/>
        </w:tabs>
        <w:numPr>
          <w:ilvl w:val="0"/>
          <w:numId w:val="133"/>
        </w:numPr>
        <w:rPr>
          <w:rFonts w:ascii="Arial" w:cs="Arial" w:eastAsia="Arial" w:hAnsi="Arial"/>
          <w:sz w:val="17"/>
          <w:szCs w:val="17"/>
          <w:i w:val="1"/>
          <w:iCs w:val="1"/>
          <w:color w:val="auto"/>
        </w:rPr>
      </w:pPr>
      <w:r>
        <w:rPr>
          <w:rFonts w:ascii="Arial" w:cs="Arial" w:eastAsia="Arial" w:hAnsi="Arial"/>
          <w:sz w:val="17"/>
          <w:szCs w:val="17"/>
          <w:i w:val="1"/>
          <w:iCs w:val="1"/>
          <w:color w:val="auto"/>
        </w:rPr>
        <w:t>Remaining three months.</w:t>
      </w:r>
    </w:p>
    <w:p>
      <w:pPr>
        <w:spacing w:after="0" w:line="156" w:lineRule="exact"/>
        <w:rPr>
          <w:sz w:val="20"/>
          <w:szCs w:val="20"/>
          <w:color w:val="auto"/>
        </w:rPr>
      </w:pPr>
    </w:p>
    <w:p>
      <w:pPr>
        <w:jc w:val="both"/>
        <w:ind w:left="120" w:right="260"/>
        <w:spacing w:after="0" w:line="236" w:lineRule="auto"/>
        <w:rPr>
          <w:sz w:val="20"/>
          <w:szCs w:val="20"/>
          <w:color w:val="auto"/>
        </w:rPr>
      </w:pPr>
      <w:r>
        <w:rPr>
          <w:rFonts w:ascii="Arial" w:cs="Arial" w:eastAsia="Arial" w:hAnsi="Arial"/>
          <w:sz w:val="17"/>
          <w:szCs w:val="17"/>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Facilities</w:t>
      </w:r>
    </w:p>
    <w:p>
      <w:pPr>
        <w:spacing w:after="0" w:line="39"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In 2017, the Company entered into a lease agreement for office space for a period of five years and four months, commencing February 1, 2018 and ending May 31, 2023.</w:t>
      </w:r>
    </w:p>
    <w:p>
      <w:pPr>
        <w:spacing w:after="0" w:line="144"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In July 2020, the Company (i) assigned to Tallac Therapeutics (Note 9) the Company’s lease with respect to the premises located at 866 Malcolm Road, Burlingame, California, and (ii) received a sub-lease for premises from Tallac Therapeutics.</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Minimum rent payments under operating leases are recognized on a straight-line basis over the term of the lease including any periods of free rent. Rent expense was $0.2 million and $0.1 million for the three months ended September 30, 2019 and 2020, respectively, and $0.6 million and $0.5 million for the nine months ended September 30, 2019 and 2020, respectively. Sub-lease expenses are recorded within rent expense.</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F-54</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460"/>
        <w:spacing w:after="0"/>
        <w:rPr>
          <w:sz w:val="20"/>
          <w:szCs w:val="20"/>
          <w:color w:val="auto"/>
        </w:rPr>
      </w:pPr>
      <w:r>
        <w:rPr>
          <w:rFonts w:ascii="Arial" w:cs="Arial" w:eastAsia="Arial" w:hAnsi="Arial"/>
          <w:sz w:val="29"/>
          <w:szCs w:val="29"/>
          <w:b w:val="1"/>
          <w:bCs w:val="1"/>
          <w:color w:val="auto"/>
        </w:rPr>
        <w:t>2,380,000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259715</wp:posOffset>
            </wp:positionV>
            <wp:extent cx="1954530" cy="7029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2099"/>
        <w:spacing w:after="0"/>
        <w:rPr>
          <w:sz w:val="20"/>
          <w:szCs w:val="20"/>
          <w:color w:val="auto"/>
        </w:rPr>
      </w:pPr>
      <w:r>
        <w:rPr>
          <w:rFonts w:ascii="Arial" w:cs="Arial" w:eastAsia="Arial" w:hAnsi="Arial"/>
          <w:sz w:val="36"/>
          <w:szCs w:val="36"/>
          <w:b w:val="1"/>
          <w:bCs w:val="1"/>
          <w:color w:val="auto"/>
        </w:rPr>
        <w:t>ALX Oncology Holdings Inc.</w:t>
      </w:r>
    </w:p>
    <w:p>
      <w:pPr>
        <w:spacing w:after="0" w:line="200" w:lineRule="exact"/>
        <w:rPr>
          <w:sz w:val="20"/>
          <w:szCs w:val="20"/>
          <w:color w:val="auto"/>
        </w:rPr>
      </w:pPr>
    </w:p>
    <w:p>
      <w:pPr>
        <w:spacing w:after="0" w:line="244"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576580</wp:posOffset>
            </wp:positionV>
            <wp:extent cx="28632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389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174625</wp:posOffset>
            </wp:positionV>
            <wp:extent cx="28632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Jefferies</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Credit Suisse</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Piper Sandler</w:t>
      </w:r>
    </w:p>
    <w:p>
      <w:pPr>
        <w:spacing w:after="0" w:line="22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Cantor</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UBS Investment Bank</w:t>
      </w:r>
    </w:p>
    <w:p>
      <w:pPr>
        <w:spacing w:after="0" w:line="21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LifeSci Capital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December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554990</wp:posOffset>
            </wp:positionV>
            <wp:extent cx="699516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623570</wp:posOffset>
            </wp:positionV>
            <wp:extent cx="6995160"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decimal"/>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1)"/>
      <w:numFmt w:val="decimal"/>
      <w:start w:val="1"/>
    </w:lvl>
  </w:abstractNum>
  <w:abstractNum w:abstractNumId="8">
    <w:nsid w:val="799D0247"/>
    <w:multiLevelType w:val="hybridMultilevel"/>
    <w:lvl w:ilvl="0">
      <w:lvlJc w:val="left"/>
      <w:lvlText w:val="(%1)"/>
      <w:numFmt w:val="decimal"/>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1)"/>
      <w:numFmt w:val="decimal"/>
      <w:start w:val="1"/>
    </w:lvl>
  </w:abstractNum>
  <w:abstractNum w:abstractNumId="48">
    <w:nsid w:val="46B7D447"/>
    <w:multiLevelType w:val="hybridMultilevel"/>
    <w:lvl w:ilvl="0">
      <w:lvlJc w:val="left"/>
      <w:lvlText w:val="(%1)"/>
      <w:numFmt w:val="decimal"/>
      <w:start w:val="1"/>
    </w:lvl>
  </w:abstractNum>
  <w:abstractNum w:abstractNumId="49">
    <w:nsid w:val="4A2AC315"/>
    <w:multiLevelType w:val="hybridMultilevel"/>
    <w:lvl w:ilvl="0">
      <w:lvlJc w:val="left"/>
      <w:lvlText w:val="∎"/>
      <w:numFmt w:val="bullet"/>
      <w:start w:val="1"/>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1)"/>
      <w:numFmt w:val="decimal"/>
      <w:start w:val="1"/>
    </w:lvl>
  </w:abstractNum>
  <w:abstractNum w:abstractNumId="54">
    <w:nsid w:val="60EF0119"/>
    <w:multiLevelType w:val="hybridMultilevel"/>
    <w:lvl w:ilvl="0">
      <w:lvlJc w:val="left"/>
      <w:lvlText w:val="(%1)"/>
      <w:numFmt w:val="lowerRoman"/>
      <w:start w:val="2"/>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
      <w:numFmt w:val="bullet"/>
      <w:start w:val="1"/>
    </w:lvl>
  </w:abstractNum>
  <w:abstractNum w:abstractNumId="60">
    <w:nsid w:val="50801EE1"/>
    <w:multiLevelType w:val="hybridMultilevel"/>
    <w:lvl w:ilvl="0">
      <w:lvlJc w:val="left"/>
      <w:lvlText w:val="∎"/>
      <w:numFmt w:val="bullet"/>
      <w:start w:val="1"/>
    </w:lvl>
    <w:lvl w:ilvl="1">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1)"/>
      <w:numFmt w:val="decimal"/>
      <w:start w:val="304"/>
    </w:lvl>
  </w:abstractNum>
  <w:abstractNum w:abstractNumId="65">
    <w:nsid w:val="6FC75AF8"/>
    <w:multiLevelType w:val="hybridMultilevel"/>
    <w:lvl w:ilvl="0">
      <w:lvlJc w:val="left"/>
      <w:lvlText w:val="∎"/>
      <w:numFmt w:val="bullet"/>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
      <w:numFmt w:val="bullet"/>
      <w:start w:val="1"/>
    </w:lvl>
  </w:abstractNum>
  <w:abstractNum w:abstractNumId="70">
    <w:nsid w:val="7DE67713"/>
    <w:multiLevelType w:val="hybridMultilevel"/>
    <w:lvl w:ilvl="0">
      <w:lvlJc w:val="left"/>
      <w:lvlText w:val="∎"/>
      <w:numFmt w:val="bullet"/>
      <w:start w:val="1"/>
    </w:lvl>
  </w:abstractNum>
  <w:abstractNum w:abstractNumId="71">
    <w:nsid w:val="555C55B5"/>
    <w:multiLevelType w:val="hybridMultilevel"/>
    <w:lvl w:ilvl="0">
      <w:lvlJc w:val="left"/>
      <w:lvlText w:val="(%1)"/>
      <w:numFmt w:val="decimal"/>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
      <w:numFmt w:val="bullet"/>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
      <w:numFmt w:val="bullet"/>
      <w:start w:val="1"/>
    </w:lvl>
  </w:abstractNum>
  <w:abstractNum w:abstractNumId="79">
    <w:nsid w:val="5092CA79"/>
    <w:multiLevelType w:val="hybridMultilevel"/>
    <w:lvl w:ilvl="0">
      <w:lvlJc w:val="left"/>
      <w:lvlText w:val="(%1)"/>
      <w:numFmt w:val="decimal"/>
      <w:start w:val="1"/>
    </w:lvl>
  </w:abstractNum>
  <w:abstractNum w:abstractNumId="80">
    <w:nsid w:val="1D545C4D"/>
    <w:multiLevelType w:val="hybridMultilevel"/>
    <w:lvl w:ilvl="0">
      <w:lvlJc w:val="left"/>
      <w:lvlText w:val="(%1)"/>
      <w:numFmt w:val="decimal"/>
      <w:start w:val="1"/>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
      <w:numFmt w:val="bullet"/>
      <w:start w:val="1"/>
    </w:lvl>
  </w:abstractNum>
  <w:abstractNum w:abstractNumId="83">
    <w:nsid w:val="2A155DBC"/>
    <w:multiLevelType w:val="hybridMultilevel"/>
    <w:lvl w:ilvl="0">
      <w:lvlJc w:val="left"/>
      <w:lvlText w:val="∎"/>
      <w:numFmt w:val="bullet"/>
      <w:start w:val="1"/>
    </w:lvl>
  </w:abstractNum>
  <w:abstractNum w:abstractNumId="84">
    <w:nsid w:val="1D9F6E5F"/>
    <w:multiLevelType w:val="hybridMultilevel"/>
    <w:lvl w:ilvl="0">
      <w:lvlJc w:val="left"/>
      <w:lvlText w:val="∎"/>
      <w:numFmt w:val="bullet"/>
      <w:start w:val="1"/>
    </w:lvl>
  </w:abstractNum>
  <w:abstractNum w:abstractNumId="85">
    <w:nsid w:val="97E1B4E"/>
    <w:multiLevelType w:val="hybridMultilevel"/>
    <w:lvl w:ilvl="0">
      <w:lvlJc w:val="left"/>
      <w:lvlText w:val="(%1)"/>
      <w:numFmt w:val="decimal"/>
      <w:start w:val="1"/>
    </w:lvl>
  </w:abstractNum>
  <w:abstractNum w:abstractNumId="86">
    <w:nsid w:val="51088277"/>
    <w:multiLevelType w:val="hybridMultilevel"/>
    <w:lvl w:ilvl="0">
      <w:lvlJc w:val="left"/>
      <w:lvlText w:val="(%1)"/>
      <w:numFmt w:val="decimal"/>
      <w:start w:val="3"/>
    </w:lvl>
  </w:abstractNum>
  <w:abstractNum w:abstractNumId="87">
    <w:nsid w:val="1CA0C5FA"/>
    <w:multiLevelType w:val="hybridMultilevel"/>
    <w:lvl w:ilvl="0">
      <w:lvlJc w:val="left"/>
      <w:lvlText w:val="(%1)"/>
      <w:numFmt w:val="decimal"/>
      <w:start w:val="1"/>
    </w:lvl>
  </w:abstractNum>
  <w:abstractNum w:abstractNumId="88">
    <w:nsid w:val="53584BCB"/>
    <w:multiLevelType w:val="hybridMultilevel"/>
    <w:lvl w:ilvl="0">
      <w:lvlJc w:val="left"/>
      <w:lvlText w:val="(%1)"/>
      <w:numFmt w:val="decimal"/>
      <w:start w:val="1"/>
    </w:lvl>
  </w:abstractNum>
  <w:abstractNum w:abstractNumId="89">
    <w:nsid w:val="415E286C"/>
    <w:multiLevelType w:val="hybridMultilevel"/>
    <w:lvl w:ilvl="0">
      <w:lvlJc w:val="left"/>
      <w:lvlText w:val="(%1)"/>
      <w:numFmt w:val="decimal"/>
      <w:start w:val="1"/>
    </w:lvl>
  </w:abstractNum>
  <w:abstractNum w:abstractNumId="90">
    <w:nsid w:val="7C58FD05"/>
    <w:multiLevelType w:val="hybridMultilevel"/>
    <w:lvl w:ilvl="0">
      <w:lvlJc w:val="left"/>
      <w:lvlText w:val="(%1)"/>
      <w:numFmt w:val="decimal"/>
      <w:start w:val="1"/>
    </w:lvl>
  </w:abstractNum>
  <w:abstractNum w:abstractNumId="91">
    <w:nsid w:val="23D86AAC"/>
    <w:multiLevelType w:val="hybridMultilevel"/>
    <w:lvl w:ilvl="0">
      <w:lvlJc w:val="left"/>
      <w:lvlText w:val="(%1)"/>
      <w:numFmt w:val="decimal"/>
      <w:start w:val="1"/>
    </w:lvl>
  </w:abstractNum>
  <w:abstractNum w:abstractNumId="92">
    <w:nsid w:val="45E6D486"/>
    <w:multiLevelType w:val="hybridMultilevel"/>
    <w:lvl w:ilvl="0">
      <w:lvlJc w:val="left"/>
      <w:lvlText w:val="∎"/>
      <w:numFmt w:val="bullet"/>
      <w:start w:val="1"/>
    </w:lvl>
  </w:abstractNum>
  <w:abstractNum w:abstractNumId="93">
    <w:nsid w:val="5C10FE21"/>
    <w:multiLevelType w:val="hybridMultilevel"/>
    <w:lvl w:ilvl="0">
      <w:lvlJc w:val="left"/>
      <w:lvlText w:val="∎"/>
      <w:numFmt w:val="bullet"/>
      <w:start w:val="1"/>
    </w:lvl>
  </w:abstractNum>
  <w:abstractNum w:abstractNumId="94">
    <w:nsid w:val="E7FFA2B"/>
    <w:multiLevelType w:val="hybridMultilevel"/>
    <w:lvl w:ilvl="0">
      <w:lvlJc w:val="left"/>
      <w:lvlText w:val="(%1)"/>
      <w:numFmt w:val="decimal"/>
      <w:start w:val="1"/>
    </w:lvl>
  </w:abstractNum>
  <w:abstractNum w:abstractNumId="95">
    <w:nsid w:val="3C5991AA"/>
    <w:multiLevelType w:val="hybridMultilevel"/>
    <w:lvl w:ilvl="0">
      <w:lvlJc w:val="left"/>
      <w:lvlText w:val="(%1)"/>
      <w:numFmt w:val="decimal"/>
      <w:start w:val="7"/>
    </w:lvl>
  </w:abstractNum>
  <w:abstractNum w:abstractNumId="96">
    <w:nsid w:val="4BD8591A"/>
    <w:multiLevelType w:val="hybridMultilevel"/>
    <w:lvl w:ilvl="0">
      <w:lvlJc w:val="left"/>
      <w:lvlText w:val="∎"/>
      <w:numFmt w:val="bullet"/>
      <w:start w:val="1"/>
    </w:lvl>
  </w:abstractNum>
  <w:abstractNum w:abstractNumId="97">
    <w:nsid w:val="78DF6A55"/>
    <w:multiLevelType w:val="hybridMultilevel"/>
    <w:lvl w:ilvl="0">
      <w:lvlJc w:val="left"/>
      <w:lvlText w:val="∎"/>
      <w:numFmt w:val="bullet"/>
      <w:start w:val="1"/>
    </w:lvl>
  </w:abstractNum>
  <w:abstractNum w:abstractNumId="98">
    <w:nsid w:val="39B7AAA2"/>
    <w:multiLevelType w:val="hybridMultilevel"/>
    <w:lvl w:ilvl="0">
      <w:lvlJc w:val="left"/>
      <w:lvlText w:val="∎"/>
      <w:numFmt w:val="bullet"/>
      <w:start w:val="1"/>
    </w:lvl>
  </w:abstractNum>
  <w:abstractNum w:abstractNumId="99">
    <w:nsid w:val="2B0D8DBE"/>
    <w:multiLevelType w:val="hybridMultilevel"/>
    <w:lvl w:ilvl="0">
      <w:lvlJc w:val="left"/>
      <w:lvlText w:val="∎"/>
      <w:numFmt w:val="bullet"/>
      <w:start w:val="1"/>
    </w:lvl>
  </w:abstractNum>
  <w:abstractNum w:abstractNumId="100">
    <w:nsid w:val="6C80EC70"/>
    <w:multiLevelType w:val="hybridMultilevel"/>
    <w:lvl w:ilvl="0">
      <w:lvlJc w:val="left"/>
      <w:lvlText w:val="∎"/>
      <w:numFmt w:val="bullet"/>
      <w:start w:val="1"/>
    </w:lvl>
  </w:abstractNum>
  <w:abstractNum w:abstractNumId="101">
    <w:nsid w:val="379E21B5"/>
    <w:multiLevelType w:val="hybridMultilevel"/>
    <w:lvl w:ilvl="0">
      <w:lvlJc w:val="left"/>
      <w:lvlText w:val="∎"/>
      <w:numFmt w:val="bullet"/>
      <w:start w:val="1"/>
    </w:lvl>
  </w:abstractNum>
  <w:abstractNum w:abstractNumId="102">
    <w:nsid w:val="69E373"/>
    <w:multiLevelType w:val="hybridMultilevel"/>
    <w:lvl w:ilvl="0">
      <w:lvlJc w:val="left"/>
      <w:lvlText w:val="∎"/>
      <w:numFmt w:val="bullet"/>
      <w:start w:val="1"/>
    </w:lvl>
  </w:abstractNum>
  <w:abstractNum w:abstractNumId="103">
    <w:nsid w:val="2C27173B"/>
    <w:multiLevelType w:val="hybridMultilevel"/>
    <w:lvl w:ilvl="0">
      <w:lvlJc w:val="left"/>
      <w:lvlText w:val="(%1)"/>
      <w:numFmt w:val="upperLetter"/>
      <w:start w:val="1"/>
    </w:lvl>
  </w:abstractNum>
  <w:abstractNum w:abstractNumId="104">
    <w:nsid w:val="4C9B0904"/>
    <w:multiLevelType w:val="hybridMultilevel"/>
    <w:lvl w:ilvl="0">
      <w:lvlJc w:val="left"/>
      <w:lvlText w:val="(%1)"/>
      <w:numFmt w:val="upperLetter"/>
      <w:start w:val="2"/>
    </w:lvl>
  </w:abstractNum>
  <w:abstractNum w:abstractNumId="105">
    <w:nsid w:val="6AA7B75C"/>
    <w:multiLevelType w:val="hybridMultilevel"/>
    <w:lvl w:ilvl="0">
      <w:lvlJc w:val="left"/>
      <w:lvlText w:val="(%1)"/>
      <w:numFmt w:val="upperLetter"/>
      <w:start w:val="2"/>
    </w:lvl>
    <w:lvl w:ilvl="1">
      <w:lvlJc w:val="left"/>
      <w:lvlText w:val="∎"/>
      <w:numFmt w:val="bullet"/>
      <w:start w:val="1"/>
    </w:lvl>
  </w:abstractNum>
  <w:abstractNum w:abstractNumId="106">
    <w:nsid w:val="1DF029D3"/>
    <w:multiLevelType w:val="hybridMultilevel"/>
    <w:lvl w:ilvl="0">
      <w:lvlJc w:val="left"/>
      <w:lvlText w:val="(%1)"/>
      <w:numFmt w:val="upperLetter"/>
      <w:start w:val="4"/>
    </w:lvl>
  </w:abstractNum>
  <w:abstractNum w:abstractNumId="107">
    <w:nsid w:val="5675FF36"/>
    <w:multiLevelType w:val="hybridMultilevel"/>
    <w:lvl w:ilvl="0">
      <w:lvlJc w:val="left"/>
      <w:lvlText w:val="(%1)"/>
      <w:numFmt w:val="upperLetter"/>
      <w:start w:val="5"/>
    </w:lvl>
  </w:abstractNum>
  <w:abstractNum w:abstractNumId="108">
    <w:nsid w:val="3DD15094"/>
    <w:multiLevelType w:val="hybridMultilevel"/>
    <w:lvl w:ilvl="0">
      <w:lvlJc w:val="left"/>
      <w:lvlText w:val="(%1)"/>
      <w:numFmt w:val="upperLetter"/>
      <w:start w:val="6"/>
    </w:lvl>
  </w:abstractNum>
  <w:abstractNum w:abstractNumId="109">
    <w:nsid w:val="3DB012B3"/>
    <w:multiLevelType w:val="hybridMultilevel"/>
    <w:lvl w:ilvl="0">
      <w:lvlJc w:val="left"/>
      <w:lvlText w:val="∎"/>
      <w:numFmt w:val="bullet"/>
      <w:start w:val="1"/>
    </w:lvl>
  </w:abstractNum>
  <w:abstractNum w:abstractNumId="110">
    <w:nsid w:val="2708C9AF"/>
    <w:multiLevelType w:val="hybridMultilevel"/>
    <w:lvl w:ilvl="0">
      <w:lvlJc w:val="left"/>
      <w:lvlText w:val="∎"/>
      <w:numFmt w:val="bullet"/>
      <w:start w:val="1"/>
    </w:lvl>
  </w:abstractNum>
  <w:abstractNum w:abstractNumId="111">
    <w:nsid w:val="5B25ACE2"/>
    <w:multiLevelType w:val="hybridMultilevel"/>
    <w:lvl w:ilvl="0">
      <w:lvlJc w:val="left"/>
      <w:lvlText w:val="%1."/>
      <w:numFmt w:val="decimal"/>
      <w:start w:val="2"/>
    </w:lvl>
  </w:abstractNum>
  <w:abstractNum w:abstractNumId="112">
    <w:nsid w:val="175DFCF0"/>
    <w:multiLevelType w:val="hybridMultilevel"/>
    <w:lvl w:ilvl="0">
      <w:lvlJc w:val="left"/>
      <w:lvlText w:val="%1."/>
      <w:numFmt w:val="decimal"/>
      <w:start w:val="4"/>
    </w:lvl>
  </w:abstractNum>
  <w:abstractNum w:abstractNumId="113">
    <w:nsid w:val="4F97E3E4"/>
    <w:multiLevelType w:val="hybridMultilevel"/>
    <w:lvl w:ilvl="0">
      <w:lvlJc w:val="left"/>
      <w:lvlText w:val="(%1)"/>
      <w:numFmt w:val="decimal"/>
      <w:start w:val="1"/>
    </w:lvl>
  </w:abstractNum>
  <w:abstractNum w:abstractNumId="114">
    <w:nsid w:val="53B0A9E"/>
    <w:multiLevelType w:val="hybridMultilevel"/>
    <w:lvl w:ilvl="0">
      <w:lvlJc w:val="left"/>
      <w:lvlText w:val="(%1)"/>
      <w:numFmt w:val="decimal"/>
      <w:start w:val="2"/>
    </w:lvl>
  </w:abstractNum>
  <w:abstractNum w:abstractNumId="115">
    <w:nsid w:val="34FD6B4F"/>
    <w:multiLevelType w:val="hybridMultilevel"/>
    <w:lvl w:ilvl="0">
      <w:lvlJc w:val="left"/>
      <w:lvlText w:val="(%1)"/>
      <w:numFmt w:val="decimal"/>
      <w:start w:val="3"/>
    </w:lvl>
  </w:abstractNum>
  <w:abstractNum w:abstractNumId="116">
    <w:nsid w:val="5915FF32"/>
    <w:multiLevelType w:val="hybridMultilevel"/>
    <w:lvl w:ilvl="0">
      <w:lvlJc w:val="left"/>
      <w:lvlText w:val="(%1)"/>
      <w:numFmt w:val="decimal"/>
      <w:start w:val="4"/>
    </w:lvl>
  </w:abstractNum>
  <w:abstractNum w:abstractNumId="117">
    <w:nsid w:val="56438D15"/>
    <w:multiLevelType w:val="hybridMultilevel"/>
    <w:lvl w:ilvl="0">
      <w:lvlJc w:val="left"/>
      <w:lvlText w:val="(%1)"/>
      <w:numFmt w:val="decimal"/>
      <w:start w:val="5"/>
    </w:lvl>
  </w:abstractNum>
  <w:abstractNum w:abstractNumId="118">
    <w:nsid w:val="519E3149"/>
    <w:multiLevelType w:val="hybridMultilevel"/>
    <w:lvl w:ilvl="0">
      <w:lvlJc w:val="left"/>
      <w:lvlText w:val="(%1)"/>
      <w:numFmt w:val="decimal"/>
      <w:start w:val="1"/>
    </w:lvl>
  </w:abstractNum>
  <w:abstractNum w:abstractNumId="119">
    <w:nsid w:val="2C6E4AFD"/>
    <w:multiLevelType w:val="hybridMultilevel"/>
    <w:lvl w:ilvl="0">
      <w:lvlJc w:val="left"/>
      <w:lvlText w:val="(%1)"/>
      <w:numFmt w:val="decimal"/>
      <w:start w:val="6"/>
    </w:lvl>
  </w:abstractNum>
  <w:abstractNum w:abstractNumId="120">
    <w:nsid w:val="17A1B582"/>
    <w:multiLevelType w:val="hybridMultilevel"/>
    <w:lvl w:ilvl="0">
      <w:lvlJc w:val="left"/>
      <w:lvlText w:val="(%1)"/>
      <w:numFmt w:val="decimal"/>
      <w:start w:val="7"/>
    </w:lvl>
  </w:abstractNum>
  <w:abstractNum w:abstractNumId="121">
    <w:nsid w:val="4DF72E4E"/>
    <w:multiLevelType w:val="hybridMultilevel"/>
    <w:lvl w:ilvl="0">
      <w:lvlJc w:val="left"/>
      <w:lvlText w:val="(%1)"/>
      <w:numFmt w:val="decimal"/>
      <w:start w:val="8"/>
    </w:lvl>
  </w:abstractNum>
  <w:abstractNum w:abstractNumId="122">
    <w:nsid w:val="5046B5A9"/>
    <w:multiLevelType w:val="hybridMultilevel"/>
    <w:lvl w:ilvl="0">
      <w:lvlJc w:val="left"/>
      <w:lvlText w:val="(%1)"/>
      <w:numFmt w:val="decimal"/>
      <w:start w:val="1"/>
    </w:lvl>
  </w:abstractNum>
  <w:abstractNum w:abstractNumId="123">
    <w:nsid w:val="5D888A08"/>
    <w:multiLevelType w:val="hybridMultilevel"/>
    <w:lvl w:ilvl="0">
      <w:lvlJc w:val="left"/>
      <w:lvlText w:val="(%1)"/>
      <w:numFmt w:val="decimal"/>
      <w:start w:val="9"/>
    </w:lvl>
  </w:abstractNum>
  <w:abstractNum w:abstractNumId="124">
    <w:nsid w:val="2A082C70"/>
    <w:multiLevelType w:val="hybridMultilevel"/>
    <w:lvl w:ilvl="0">
      <w:lvlJc w:val="left"/>
      <w:lvlText w:val="(%1)"/>
      <w:numFmt w:val="decimal"/>
      <w:start w:val="10"/>
    </w:lvl>
  </w:abstractNum>
  <w:abstractNum w:abstractNumId="125">
    <w:nsid w:val="5EC6AFD4"/>
    <w:multiLevelType w:val="hybridMultilevel"/>
    <w:lvl w:ilvl="0">
      <w:lvlJc w:val="left"/>
      <w:lvlText w:val="(%1)"/>
      <w:numFmt w:val="decimal"/>
      <w:start w:val="12"/>
    </w:lvl>
  </w:abstractNum>
  <w:abstractNum w:abstractNumId="126">
    <w:nsid w:val="19E21BB2"/>
    <w:multiLevelType w:val="hybridMultilevel"/>
    <w:lvl w:ilvl="0">
      <w:lvlJc w:val="left"/>
      <w:lvlText w:val="$"/>
      <w:numFmt w:val="bullet"/>
      <w:start w:val="1"/>
    </w:lvl>
  </w:abstractNum>
  <w:abstractNum w:abstractNumId="127">
    <w:nsid w:val="75E0858A"/>
    <w:multiLevelType w:val="hybridMultilevel"/>
    <w:lvl w:ilvl="0">
      <w:lvlJc w:val="left"/>
      <w:lvlText w:val="$"/>
      <w:numFmt w:val="bullet"/>
      <w:start w:val="1"/>
    </w:lvl>
  </w:abstractNum>
  <w:abstractNum w:abstractNumId="128">
    <w:nsid w:val="57A61A29"/>
    <w:multiLevelType w:val="hybridMultilevel"/>
    <w:lvl w:ilvl="0">
      <w:lvlJc w:val="left"/>
      <w:lvlText w:val="(%1)"/>
      <w:numFmt w:val="decimal"/>
      <w:start w:val="13"/>
    </w:lvl>
  </w:abstractNum>
  <w:abstractNum w:abstractNumId="129">
    <w:nsid w:val="5399C654"/>
    <w:multiLevelType w:val="hybridMultilevel"/>
    <w:lvl w:ilvl="0">
      <w:lvlJc w:val="left"/>
      <w:lvlText w:val="(%1)"/>
      <w:numFmt w:val="decimal"/>
      <w:start w:val="6"/>
    </w:lvl>
  </w:abstractNum>
  <w:abstractNum w:abstractNumId="130">
    <w:nsid w:val="20EE1348"/>
    <w:multiLevelType w:val="hybridMultilevel"/>
    <w:lvl w:ilvl="0">
      <w:lvlJc w:val="left"/>
      <w:lvlText w:val="(%1)"/>
      <w:numFmt w:val="decimal"/>
      <w:start w:val="1"/>
    </w:lvl>
  </w:abstractNum>
  <w:abstractNum w:abstractNumId="131">
    <w:nsid w:val="4427069A"/>
    <w:multiLevelType w:val="hybridMultilevel"/>
    <w:lvl w:ilvl="0">
      <w:lvlJc w:val="left"/>
      <w:lvlText w:val="(%1)"/>
      <w:numFmt w:val="decimal"/>
      <w:start w:val="1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2020-12-11T06:17:52Z</dcterms:created>
  <dcterms:modified xsi:type="dcterms:W3CDTF">2020-12-11T06:17:52Z</dcterms:modified>
</cp:coreProperties>
</file>