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August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3"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3320" w:type="dxa"/>
            <w:vAlign w:val="bottom"/>
          </w:tcPr>
          <w:p>
            <w:pPr>
              <w:jc w:val="center"/>
              <w:ind w:right="801"/>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1501"/>
              <w:spacing w:after="0"/>
              <w:rPr>
                <w:sz w:val="20"/>
                <w:szCs w:val="20"/>
                <w:color w:val="auto"/>
              </w:rPr>
            </w:pPr>
            <w:r>
              <w:rPr>
                <w:rFonts w:ascii="Arial" w:cs="Arial" w:eastAsia="Arial" w:hAnsi="Arial"/>
                <w:sz w:val="18"/>
                <w:szCs w:val="18"/>
                <w:b w:val="1"/>
                <w:bCs w:val="1"/>
                <w:color w:val="auto"/>
              </w:rPr>
              <w:t>001-39386</w:t>
            </w:r>
          </w:p>
        </w:tc>
        <w:tc>
          <w:tcPr>
            <w:tcW w:w="224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63"/>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5"/>
              </w:rPr>
              <w:t>(State or Other Jurisdiction</w:t>
            </w:r>
          </w:p>
        </w:tc>
        <w:tc>
          <w:tcPr>
            <w:tcW w:w="3620" w:type="dxa"/>
            <w:vAlign w:val="bottom"/>
          </w:tcPr>
          <w:p>
            <w:pPr>
              <w:spacing w:after="0"/>
              <w:rPr>
                <w:sz w:val="14"/>
                <w:szCs w:val="14"/>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(IRS Employer</w:t>
            </w:r>
          </w:p>
        </w:tc>
      </w:tr>
      <w:tr>
        <w:trPr>
          <w:trHeight w:val="188"/>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6"/>
              </w:rPr>
              <w:t>of Incorporation)</w:t>
            </w:r>
          </w:p>
        </w:tc>
        <w:tc>
          <w:tcPr>
            <w:tcW w:w="3620" w:type="dxa"/>
            <w:vAlign w:val="bottom"/>
          </w:tcPr>
          <w:p>
            <w:pPr>
              <w:jc w:val="center"/>
              <w:ind w:right="261"/>
              <w:spacing w:after="0"/>
              <w:rPr>
                <w:sz w:val="20"/>
                <w:szCs w:val="20"/>
                <w:color w:val="auto"/>
              </w:rPr>
            </w:pPr>
            <w:r>
              <w:rPr>
                <w:rFonts w:ascii="Arial" w:cs="Arial" w:eastAsia="Arial" w:hAnsi="Arial"/>
                <w:sz w:val="13"/>
                <w:szCs w:val="13"/>
                <w:b w:val="1"/>
                <w:bCs w:val="1"/>
                <w:color w:val="auto"/>
                <w:w w:val="94"/>
              </w:rPr>
              <w:t>(Commission File Number)</w:t>
            </w: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Identification No.)</w:t>
            </w:r>
          </w:p>
        </w:tc>
      </w:tr>
      <w:tr>
        <w:trPr>
          <w:trHeight w:val="374"/>
        </w:trPr>
        <w:tc>
          <w:tcPr>
            <w:tcW w:w="3320" w:type="dxa"/>
            <w:vAlign w:val="bottom"/>
          </w:tcPr>
          <w:p>
            <w:pPr>
              <w:ind w:left="300"/>
              <w:spacing w:after="0"/>
              <w:rPr>
                <w:sz w:val="20"/>
                <w:szCs w:val="20"/>
                <w:color w:val="auto"/>
              </w:rPr>
            </w:pPr>
            <w:r>
              <w:rPr>
                <w:rFonts w:ascii="Arial" w:cs="Arial" w:eastAsia="Arial" w:hAnsi="Arial"/>
                <w:sz w:val="18"/>
                <w:szCs w:val="18"/>
                <w:b w:val="1"/>
                <w:bCs w:val="1"/>
                <w:color w:val="auto"/>
              </w:rPr>
              <w:t>323 Allerton Avenue,</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8"/>
        </w:trPr>
        <w:tc>
          <w:tcPr>
            <w:tcW w:w="3320" w:type="dxa"/>
            <w:vAlign w:val="bottom"/>
          </w:tcPr>
          <w:p>
            <w:pPr>
              <w:jc w:val="center"/>
              <w:ind w:right="781"/>
              <w:spacing w:after="0"/>
              <w:rPr>
                <w:sz w:val="20"/>
                <w:szCs w:val="20"/>
                <w:color w:val="auto"/>
              </w:rPr>
            </w:pPr>
            <w:r>
              <w:rPr>
                <w:rFonts w:ascii="Arial" w:cs="Arial" w:eastAsia="Arial" w:hAnsi="Arial"/>
                <w:sz w:val="18"/>
                <w:szCs w:val="18"/>
                <w:b w:val="1"/>
                <w:bCs w:val="1"/>
                <w:color w:val="auto"/>
                <w:w w:val="90"/>
              </w:rPr>
              <w:t>South San Francisco, California</w:t>
            </w:r>
          </w:p>
        </w:tc>
        <w:tc>
          <w:tcPr>
            <w:tcW w:w="3620" w:type="dxa"/>
            <w:vAlign w:val="bottom"/>
          </w:tcPr>
          <w:p>
            <w:pPr>
              <w:spacing w:after="0"/>
              <w:rPr>
                <w:sz w:val="21"/>
                <w:szCs w:val="21"/>
                <w:color w:val="auto"/>
              </w:rPr>
            </w:pPr>
          </w:p>
        </w:tc>
        <w:tc>
          <w:tcPr>
            <w:tcW w:w="2240" w:type="dxa"/>
            <w:vAlign w:val="bottom"/>
          </w:tcPr>
          <w:p>
            <w:pPr>
              <w:jc w:val="right"/>
              <w:ind w:right="224"/>
              <w:spacing w:after="0"/>
              <w:rPr>
                <w:sz w:val="20"/>
                <w:szCs w:val="20"/>
                <w:color w:val="auto"/>
              </w:rPr>
            </w:pPr>
            <w:r>
              <w:rPr>
                <w:rFonts w:ascii="Arial" w:cs="Arial" w:eastAsia="Arial" w:hAnsi="Arial"/>
                <w:sz w:val="18"/>
                <w:szCs w:val="18"/>
                <w:b w:val="1"/>
                <w:bCs w:val="1"/>
                <w:color w:val="auto"/>
              </w:rPr>
              <w:t>94080</w:t>
            </w:r>
          </w:p>
        </w:tc>
      </w:tr>
      <w:tr>
        <w:trPr>
          <w:trHeight w:val="188"/>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20" w:type="dxa"/>
            <w:vAlign w:val="bottom"/>
          </w:tcPr>
          <w:p>
            <w:pPr>
              <w:spacing w:after="0"/>
              <w:rPr>
                <w:sz w:val="16"/>
                <w:szCs w:val="16"/>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(Zip Code)</w:t>
            </w:r>
          </w:p>
        </w:tc>
      </w:tr>
    </w:tbl>
    <w:p>
      <w:pPr>
        <w:spacing w:after="0" w:line="10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88900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17" w:lineRule="auto"/>
        <w:tabs>
          <w:tab w:leader="none" w:pos="4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3"/>
                <w:szCs w:val="13"/>
                <w:color w:val="auto"/>
              </w:rPr>
            </w:pP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ALXO</w:t>
            </w:r>
          </w:p>
        </w:tc>
        <w:tc>
          <w:tcPr>
            <w:tcW w:w="14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0"/>
              </w:rPr>
              <w:t xml:space="preserve">The Nasdaq </w:t>
            </w:r>
            <w:r>
              <w:rPr>
                <w:rFonts w:ascii="Arial" w:cs="Arial" w:eastAsia="Arial" w:hAnsi="Arial"/>
                <w:sz w:val="18"/>
                <w:szCs w:val="18"/>
                <w:color w:val="212529"/>
                <w:w w:val="90"/>
              </w:rPr>
              <w:t>Global Select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501015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On August 10, 2023, ALX Oncology Holdings Inc. (the "Company"), issued a press release announcing its financial results for the second quarter ended June 30, 2023. A copy of this press release is furnished as Exhibit 99.1 to this Current Report on Form 8-K and is incorporated herein by reference.</w:t>
      </w:r>
    </w:p>
    <w:p>
      <w:pPr>
        <w:spacing w:after="0" w:line="1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600" w:type="dxa"/>
            <w:vAlign w:val="bottom"/>
            <w:vMerge w:val="restart"/>
          </w:tcPr>
          <w:p>
            <w:pPr>
              <w:jc w:val="right"/>
              <w:ind w:right="4708"/>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7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820" w:type="dxa"/>
            <w:vAlign w:val="bottom"/>
          </w:tcPr>
          <w:p>
            <w:pPr>
              <w:ind w:left="20"/>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0000FF"/>
              </w:rPr>
              <w:t>Press Release dated August 10, 2023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661"/>
        </w:trPr>
        <w:tc>
          <w:tcPr>
            <w:tcW w:w="820" w:type="dxa"/>
            <w:vAlign w:val="bottom"/>
          </w:tcPr>
          <w:p>
            <w:pPr>
              <w:spacing w:after="0"/>
              <w:rPr>
                <w:sz w:val="24"/>
                <w:szCs w:val="24"/>
                <w:color w:val="auto"/>
              </w:rPr>
            </w:pPr>
          </w:p>
        </w:tc>
        <w:tc>
          <w:tcPr>
            <w:tcW w:w="10420" w:type="dxa"/>
            <w:vAlign w:val="bottom"/>
            <w:gridSpan w:val="3"/>
          </w:tcPr>
          <w:p>
            <w:pPr>
              <w:jc w:val="right"/>
              <w:ind w:right="550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7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ALX ONCOLOGY HOLDINGS INC.</w:t>
      </w:r>
    </w:p>
    <w:p>
      <w:pPr>
        <w:spacing w:after="0" w:line="283"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350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spacing w:after="0" w:line="2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Peter Garcia</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5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2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1817370"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73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ALX Oncology Reports Second Quarter 2023 Financial Results and Provides Clinical Program Update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Advancing Phase 2/3 ASPEN-06 gastric cancer trial with data update expected in Q423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Terminating azacitidine combination development programs: ASPEN-02 in MDS and ASPEN-05 in AML</w:t>
      </w:r>
    </w:p>
    <w:p>
      <w:pPr>
        <w:spacing w:after="0" w:line="233" w:lineRule="exact"/>
        <w:rPr>
          <w:sz w:val="20"/>
          <w:szCs w:val="20"/>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Continuing focus on combinations with anti-cancer antibodies, antibody-drug conjugates, and PD-1/PD-L1 immune checkpoint inhibitors</w:t>
      </w:r>
    </w:p>
    <w:p>
      <w:pPr>
        <w:spacing w:after="0" w:line="248"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auto"/>
        </w:rPr>
        <w:t xml:space="preserve">SOUTH SAN FRANCISCO, Calif., August 10, 2023 (GLOBE NEWSWIRE) -- </w:t>
      </w:r>
      <w:r>
        <w:rPr>
          <w:rFonts w:ascii="Arial" w:cs="Arial" w:eastAsia="Arial" w:hAnsi="Arial"/>
          <w:sz w:val="20"/>
          <w:szCs w:val="20"/>
          <w:color w:val="auto"/>
        </w:rPr>
        <w:t>ALX Oncology Holdings Inc., (“ALX Oncology” 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(Nasdaq: ALXO), an immuno-oncology company developing therapies that block the CD47 immune checkpoint pathway, today reported financial results for the second quarter ended June 30, 2023, and provided an update on the Company’s portfolio of clinical programs in development.</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During the second quarter, ALX Oncology continued to advance evorpacept’s mid-stage clinical development programs highlighted by ASPEN-06 in HER2-positive gastric cancer which is on track to report data in Q423. In addition, the Company is transitioning its development strategy to purely focus on combinations with anti-cancer antibodies, antibody-drug conjugates (“ADCs”), and PD-1/PD-L1 immune checkpoint inhibitors. While well tolerated, the Company is terminating the ASPEN-02 program which evaluated evorpacept in combination with azacitidine for myelodysplastic syndromes (“MDS”), as the evorpacept combination did not substantially improve upon the historical activity of azacitidine alone. Patients currently on trial may continue in the study and the Company plans to present the full data set from the forty-five subjects at an upcoming scientific conference. Moreover, based on the initial results of ASPEN-02 and the close connection between the mechanism of action with azacitidine in MDS and acute myeloid leukemia (“AML”), the Company will also terminate the ASPEN-05 program in AML and will not initiate a Phase 1b dose optimization clinical evaluation of evorpacept in combination with azacitidine and venetoclax. Based upon this decision, resources originally earmarked for these trials will be allocated to support the Company’s ongoing programs evaluating combinations with anti-cancer antibodies and PD-1/PD-L1 immune checkpoint inhibitors.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Rational Design and Dual Development Pillars</w:t>
      </w:r>
    </w:p>
    <w:p>
      <w:pPr>
        <w:spacing w:after="0" w:line="114"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Rationally engineered with an inactive Fc effector function, evorpacept’s clinical data to date has demonstrated a substantially improved safety profile over other anti-CD47 molecules in the clinic with an active Fc (i.e., binding the Fc gamma receptor on macrophages). This superior safety profile allows us to dose higher with minimal overlapping toxicity in the combination treatment setting. CD47 expressed on cancer cells binds to its receptor SIRP alpha, which is predominantly expressed on two cell types: macrophages and dendritic cells. ALX Oncology will focus evorpacept development with the standard-of-care agents as originally designed revolving around these two cell types, including:</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Anti-cancer antibodies (the “</w:t>
      </w:r>
      <w:r>
        <w:rPr>
          <w:rFonts w:ascii="Arial" w:cs="Arial" w:eastAsia="Arial" w:hAnsi="Arial"/>
          <w:sz w:val="16"/>
          <w:szCs w:val="16"/>
          <w:b w:val="1"/>
          <w:bCs w:val="1"/>
          <w:i w:val="1"/>
          <w:iCs w:val="1"/>
          <w:color w:val="auto"/>
        </w:rPr>
        <w:t>don’t eat me</w:t>
      </w:r>
      <w:r>
        <w:rPr>
          <w:rFonts w:ascii="Arial" w:cs="Arial" w:eastAsia="Arial" w:hAnsi="Arial"/>
          <w:sz w:val="16"/>
          <w:szCs w:val="16"/>
          <w:b w:val="1"/>
          <w:bCs w:val="1"/>
          <w:color w:val="auto"/>
        </w:rPr>
        <w:t xml:space="preserve">” signal): </w:t>
      </w:r>
      <w:r>
        <w:rPr>
          <w:rFonts w:ascii="Arial" w:cs="Arial" w:eastAsia="Arial" w:hAnsi="Arial"/>
          <w:sz w:val="16"/>
          <w:szCs w:val="16"/>
          <w:color w:val="auto"/>
        </w:rPr>
        <w:t>evorpacept enables Fc-mediated antibody-dependent phagocytosis by macrophages in</w:t>
      </w:r>
    </w:p>
    <w:p>
      <w:pPr>
        <w:spacing w:after="0" w:line="72" w:lineRule="exact"/>
        <w:rPr>
          <w:sz w:val="20"/>
          <w:szCs w:val="20"/>
          <w:color w:val="auto"/>
        </w:rPr>
      </w:pPr>
    </w:p>
    <w:p>
      <w:pPr>
        <w:spacing w:after="0" w:line="214" w:lineRule="auto"/>
        <w:rPr>
          <w:sz w:val="20"/>
          <w:szCs w:val="20"/>
          <w:color w:val="auto"/>
        </w:rPr>
      </w:pPr>
      <w:r>
        <w:rPr>
          <w:rFonts w:ascii="Arial" w:cs="Arial" w:eastAsia="Arial" w:hAnsi="Arial"/>
          <w:sz w:val="20"/>
          <w:szCs w:val="20"/>
          <w:color w:val="auto"/>
        </w:rPr>
        <w:t>combination with anti-cancer antibodies (e.g., Herceptin</w:t>
      </w:r>
      <w:r>
        <w:rPr>
          <w:rFonts w:ascii="Arial" w:cs="Arial" w:eastAsia="Arial" w:hAnsi="Arial"/>
          <w:sz w:val="26"/>
          <w:szCs w:val="26"/>
          <w:color w:val="auto"/>
          <w:vertAlign w:val="superscript"/>
        </w:rPr>
        <w:t>®</w:t>
      </w:r>
      <w:r>
        <w:rPr>
          <w:rFonts w:ascii="Arial" w:cs="Arial" w:eastAsia="Arial" w:hAnsi="Arial"/>
          <w:sz w:val="20"/>
          <w:szCs w:val="20"/>
          <w:color w:val="auto"/>
        </w:rPr>
        <w:t>) with an active Fc domain, which is otherwise impaired by CD47 expression on cancer cells binding to SIRP alpha on macrophages. This same mechanism of action applies to ADCs.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5" w:name="page6"/>
    <w:bookmarkEnd w:id="5"/>
    <w:p>
      <w:pPr>
        <w:ind w:right="60"/>
        <w:spacing w:after="0" w:line="248" w:lineRule="auto"/>
        <w:rPr>
          <w:sz w:val="20"/>
          <w:szCs w:val="20"/>
          <w:color w:val="auto"/>
        </w:rPr>
      </w:pPr>
      <w:r>
        <w:rPr>
          <w:rFonts w:ascii="Arial" w:cs="Arial" w:eastAsia="Arial" w:hAnsi="Arial"/>
          <w:sz w:val="20"/>
          <w:szCs w:val="20"/>
          <w:b w:val="1"/>
          <w:bCs w:val="1"/>
          <w:color w:val="auto"/>
        </w:rPr>
        <w:t>PD-1/PD-L1 immune checkpoint inhibitors (the “</w:t>
      </w:r>
      <w:r>
        <w:rPr>
          <w:rFonts w:ascii="Arial" w:cs="Arial" w:eastAsia="Arial" w:hAnsi="Arial"/>
          <w:sz w:val="20"/>
          <w:szCs w:val="20"/>
          <w:b w:val="1"/>
          <w:bCs w:val="1"/>
          <w:i w:val="1"/>
          <w:iCs w:val="1"/>
          <w:color w:val="auto"/>
        </w:rPr>
        <w:t>don’t activate T-cell</w:t>
      </w:r>
      <w:r>
        <w:rPr>
          <w:rFonts w:ascii="Arial" w:cs="Arial" w:eastAsia="Arial" w:hAnsi="Arial"/>
          <w:sz w:val="20"/>
          <w:szCs w:val="20"/>
          <w:b w:val="1"/>
          <w:bCs w:val="1"/>
          <w:color w:val="auto"/>
        </w:rPr>
        <w:t>” signal)</w:t>
      </w:r>
      <w:r>
        <w:rPr>
          <w:rFonts w:ascii="Arial" w:cs="Arial" w:eastAsia="Arial" w:hAnsi="Arial"/>
          <w:sz w:val="20"/>
          <w:szCs w:val="20"/>
          <w:color w:val="auto"/>
        </w:rPr>
        <w:t>: evorpacept enables T-cell activation by dendritic cells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constitutively inhibited by CD47 expression on cancer cells binding to SIRP alpha on dendritic cells. Activated dendritic cells present neoantigens to T-cells that once activated will kill cancer cells when the PD-1/PD-L1 inhibitory interaction is blocked by T-cell checkpoint inhibitors.</w:t>
      </w:r>
    </w:p>
    <w:p>
      <w:pPr>
        <w:spacing w:after="0" w:line="189"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“The second quarter proved to be an important period of progress as we advanced key programs and refined the development strategy for evorpacept, our platform asset,” commented Dr. Jaume Pons, Founder, President and Chief Executive Officer of ALX Oncology. “While the efficacy results from ASPEN-02 do not warrant further sponsored clinical evaluation in MDS, we remain steadfast in our conviction that the primary mechanism of action of evorpacept is unique compared to other CD47 blockers when combined with anti-cancer antibodies, ADCs, or immune checkpoint inhibitors. Evorpacept was rationally designed with an inactive Fc domain for improved safety and synergies with anti-cancer antibody-based regimens like Herceptin, antibody-drug conjugates, as well as PD-1/PD-L1 immune checkpoint inhibitors like</w:t>
      </w:r>
    </w:p>
    <w:p>
      <w:pPr>
        <w:ind w:right="160"/>
        <w:spacing w:after="0" w:line="234" w:lineRule="auto"/>
        <w:rPr>
          <w:sz w:val="20"/>
          <w:szCs w:val="20"/>
          <w:color w:val="auto"/>
        </w:rPr>
      </w:pPr>
      <w:r>
        <w:rPr>
          <w:rFonts w:ascii="Arial" w:cs="Arial" w:eastAsia="Arial" w:hAnsi="Arial"/>
          <w:sz w:val="18"/>
          <w:szCs w:val="18"/>
          <w:color w:val="auto"/>
        </w:rPr>
        <w:t>KEYTRUDA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(pembrolizumab). Moving forward the Company will conduct clinical trials where this mechanistic rationale is fulfilled. We move into the second half of 2023 with sufficient funding and with the momentum needed to advance our pipeline of therapeutic candidates</w:t>
      </w:r>
    </w:p>
    <w:p>
      <w:pPr>
        <w:spacing w:after="0" w:line="2" w:lineRule="exact"/>
        <w:rPr>
          <w:sz w:val="20"/>
          <w:szCs w:val="20"/>
          <w:color w:val="auto"/>
        </w:rPr>
      </w:pPr>
    </w:p>
    <w:p>
      <w:pPr>
        <w:ind w:right="280"/>
        <w:spacing w:after="0" w:line="220" w:lineRule="auto"/>
        <w:rPr>
          <w:sz w:val="20"/>
          <w:szCs w:val="20"/>
          <w:color w:val="auto"/>
        </w:rPr>
      </w:pPr>
      <w:r>
        <w:rPr>
          <w:rFonts w:ascii="Arial" w:cs="Arial" w:eastAsia="Arial" w:hAnsi="Arial"/>
          <w:sz w:val="20"/>
          <w:szCs w:val="20"/>
          <w:color w:val="auto"/>
        </w:rPr>
        <w:t>led by ASPEN-06, a randomized Phase 2 trial combining Herceptin, CYRAMZA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paclitaxel for the treatment of patients with HER2-positive gastric or gastroesophageal junction (“GEJ”) cancer.”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Highlights for Evorpacept</w:t>
      </w:r>
    </w:p>
    <w:p>
      <w:pPr>
        <w:spacing w:after="0" w:line="108" w:lineRule="exact"/>
        <w:rPr>
          <w:sz w:val="20"/>
          <w:szCs w:val="20"/>
          <w:color w:val="auto"/>
        </w:rPr>
      </w:pPr>
    </w:p>
    <w:p>
      <w:pPr>
        <w:ind w:left="1020" w:hanging="503"/>
        <w:spacing w:after="0"/>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ASPEN-06 Advanced HER2-Positive Gastric/GEJ Cancer</w:t>
      </w:r>
    </w:p>
    <w:p>
      <w:pPr>
        <w:spacing w:after="0" w:line="113" w:lineRule="exact"/>
        <w:rPr>
          <w:rFonts w:ascii="Arial" w:cs="Arial" w:eastAsia="Arial" w:hAnsi="Arial"/>
          <w:sz w:val="20"/>
          <w:szCs w:val="20"/>
          <w:color w:val="auto"/>
        </w:rPr>
      </w:pPr>
    </w:p>
    <w:p>
      <w:pPr>
        <w:ind w:left="1540" w:hanging="509"/>
        <w:spacing w:after="0" w:line="269" w:lineRule="auto"/>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The Phase 2 (open-label)/Phase 3 (double-blind) trial of evorpacept for the treatment of patients with HER-2-positive over-expressing metastatic gastric or GEJ adenocarcinomas continues to progress. While Herceptin is currently approved in combination with cisplatin or capecitabine for HER2-positive gastric/GEJ cancers, it is not yet approved with the standard-of-care of CYRAMZA + paclitaxel. The Phase 2 portion of the ASPEN-06 study is designed to enroll 122 patients who have progressed on, or after prior HER2-directed therapy and/or platinum-containing regimens. To assess the activity of evorpacept on top of Herceptin in the Phase 2 portion of ASPEN-06, patients are randomized to receive either a four-drug combination regimen (evorpacept + Herceptin + CYRAMZA + paclitaxel) or a three-drug combination regimen (Herceptin + CYRAMZA + paclitaxel). This design enables the assessment of evorpacept’s contribution to the standard of care plus Herceptin. Should the Phase 2 portion of the trial demonstrate proof of concept, the trial will progress to the Phase 3 portion where the evorpacept containing four-drug regimen will be tested against the two-drug global standard of care of CYRAMZA + paclitaxel. The mechanistic rationale of the evorpacept combination in this setting is supported by clinical data from a Phase 1 clinical trial in 18 patients with &gt;2L HER2 positive gastric/GEJ cancer, in combination with Herceptin plus CYRAMZA and paclitaxel which demonstrated an initial ORR of 72.2% with a median duration of response (mDOR) of 14.8 months, and a median overall survival (mOS) of 17.1 months. Positive data from ASPEN-06 would support evorpacept’s mechanism of action in combination with anti-cancer antibodies and provide additional developmental opportunities with other anti-cancer antibodies and ADCs.</w:t>
      </w:r>
    </w:p>
    <w:p>
      <w:pPr>
        <w:spacing w:after="0" w:line="62" w:lineRule="exact"/>
        <w:rPr>
          <w:rFonts w:ascii="Arial" w:cs="Arial" w:eastAsia="Arial" w:hAnsi="Arial"/>
          <w:sz w:val="20"/>
          <w:szCs w:val="20"/>
          <w:color w:val="auto"/>
        </w:rPr>
      </w:pPr>
    </w:p>
    <w:p>
      <w:pPr>
        <w:ind w:left="1020" w:hanging="503"/>
        <w:spacing w:after="0" w:line="267"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Orphan drug designation (“ODD”) received from the European Commission for evorpacept for the treatment of patients with gastric cancer.</w:t>
      </w:r>
    </w:p>
    <w:p>
      <w:pPr>
        <w:spacing w:after="0" w:line="61" w:lineRule="exact"/>
        <w:rPr>
          <w:sz w:val="20"/>
          <w:szCs w:val="20"/>
          <w:color w:val="auto"/>
        </w:rPr>
      </w:pPr>
    </w:p>
    <w:p>
      <w:pPr>
        <w:jc w:val="both"/>
        <w:ind w:left="1540" w:hanging="514"/>
        <w:spacing w:after="0" w:line="250" w:lineRule="auto"/>
        <w:tabs>
          <w:tab w:leader="none" w:pos="1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June 2023, ALX Oncology received ODD from the European Commission for evorpacept for the treatment of patients with gastric/GEJ cancer. The U.S. Food and Drug Administration (“FDA”) also granted ODD to evorpacept for the treatment of patients with gastric/GEJ cancer as previously announced in January 2022.</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ind w:left="1020" w:hanging="503"/>
        <w:spacing w:after="0" w:line="267" w:lineRule="auto"/>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First patient dosed in Phase 2 investigator-sponsored trial of evorpacept in combination with KEYTRUDA® in patients with ovarian cancer.</w:t>
      </w:r>
    </w:p>
    <w:p>
      <w:pPr>
        <w:spacing w:after="0" w:line="61" w:lineRule="exact"/>
        <w:rPr>
          <w:rFonts w:ascii="Arial" w:cs="Arial" w:eastAsia="Arial" w:hAnsi="Arial"/>
          <w:sz w:val="20"/>
          <w:szCs w:val="20"/>
          <w:color w:val="auto"/>
        </w:rPr>
      </w:pPr>
    </w:p>
    <w:p>
      <w:pPr>
        <w:ind w:left="1540" w:right="60" w:hanging="509"/>
        <w:spacing w:after="0" w:line="260" w:lineRule="auto"/>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9"/>
          <w:szCs w:val="19"/>
          <w:color w:val="auto"/>
        </w:rPr>
        <w:t>In May 2023, the Company announced the initiation of a Phase 2 investigator-sponsored trial of evorpacept in combination with liposomal doxorubicin and KEYTRUDA in patients with recurrent platinum-resistant ovarian cancer at the UPMC Hillman Cancer Center. This is an open-label, single-arm Phase 2 clinical trial. The study is being led by Haider Mahdi, M.D., M.P.H., Assistant Professor, Department of Obstetrics, Gynecology and Reproductive Sciences, The University of Pittsburgh and UPMC Magee-Womens Research Institute.</w:t>
      </w:r>
    </w:p>
    <w:p>
      <w:pPr>
        <w:spacing w:after="0" w:line="66" w:lineRule="exact"/>
        <w:rPr>
          <w:rFonts w:ascii="Arial" w:cs="Arial" w:eastAsia="Arial" w:hAnsi="Arial"/>
          <w:sz w:val="20"/>
          <w:szCs w:val="20"/>
          <w:color w:val="auto"/>
        </w:rPr>
      </w:pPr>
    </w:p>
    <w:p>
      <w:pPr>
        <w:ind w:left="1020" w:right="940" w:hanging="503"/>
        <w:spacing w:after="0" w:line="267" w:lineRule="auto"/>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Announced clinical trial collaboration with Sanofi to evaluate evorpacept in combination with CD38-targeting monoclonal antibody SARCLISA® in patients with multiple myeloma.</w:t>
      </w:r>
    </w:p>
    <w:p>
      <w:pPr>
        <w:spacing w:after="0" w:line="61" w:lineRule="exact"/>
        <w:rPr>
          <w:rFonts w:ascii="Arial" w:cs="Arial" w:eastAsia="Arial" w:hAnsi="Arial"/>
          <w:sz w:val="20"/>
          <w:szCs w:val="20"/>
          <w:color w:val="auto"/>
        </w:rPr>
      </w:pPr>
    </w:p>
    <w:p>
      <w:pPr>
        <w:ind w:left="1540" w:right="80" w:hanging="509"/>
        <w:spacing w:after="0" w:line="243" w:lineRule="auto"/>
        <w:rPr>
          <w:rFonts w:ascii="Arial" w:cs="Arial" w:eastAsia="Arial" w:hAnsi="Arial"/>
          <w:sz w:val="20"/>
          <w:szCs w:val="20"/>
          <w:color w:val="auto"/>
        </w:rPr>
      </w:pPr>
      <w:r>
        <w:rPr>
          <w:rFonts w:ascii="Arial" w:cs="Arial" w:eastAsia="Arial" w:hAnsi="Arial"/>
          <w:sz w:val="20"/>
          <w:szCs w:val="20"/>
          <w:color w:val="auto"/>
        </w:rPr>
        <w:t>oIn April 2023, ALX Oncology entered into a clinical trial collaboration and supply agreement with Sanofi to evaluate evorpacept and SARCLISA (isatuximab-irfc), Sanofi’s monoclonal antibody that targets a specific epitope on the CD38 receptor on multiple myeloma cells, for the treatment of patients with relapsed or refractory multiple myeloma (“RRMM”). Under the terms of the agreement, Sanofi will conduct a Phase 1/2 study to evaluate the safety, efficacy, pharmacokinetics and biomarker data of evorpacept in combination with SARCLISA and dexamethasone in patients with RRMM.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Milestones in 2023</w:t>
      </w:r>
    </w:p>
    <w:p>
      <w:pPr>
        <w:spacing w:after="0" w:line="114" w:lineRule="exact"/>
        <w:rPr>
          <w:sz w:val="20"/>
          <w:szCs w:val="20"/>
          <w:color w:val="auto"/>
        </w:rPr>
      </w:pPr>
    </w:p>
    <w:p>
      <w:pPr>
        <w:ind w:left="1020" w:right="60" w:hanging="503"/>
        <w:spacing w:after="0" w:line="287" w:lineRule="auto"/>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Update of data from a randomized Phase 2 trial of evorpacept in combination with Herceptin, CYRAMZA and paclitaxel for the treatment of patients with HER2-positive gastric/GEJ cancer (ASPEN-06) in the second half of 2023.</w:t>
      </w:r>
    </w:p>
    <w:p>
      <w:pPr>
        <w:spacing w:after="0" w:line="44" w:lineRule="exact"/>
        <w:rPr>
          <w:rFonts w:ascii="Arial" w:cs="Arial" w:eastAsia="Arial" w:hAnsi="Arial"/>
          <w:sz w:val="19"/>
          <w:szCs w:val="19"/>
          <w:color w:val="auto"/>
        </w:rPr>
      </w:pPr>
    </w:p>
    <w:p>
      <w:pPr>
        <w:ind w:left="1020" w:right="60" w:hanging="503"/>
        <w:spacing w:after="0" w:line="287" w:lineRule="auto"/>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investigational new drug (“IND”) filing for ALTA-002, originally expected in the first half of 2023, has been delayed due to chemistry, manufacturing, and controls (“CMC”) related issues and is planned for the first quarter of 2024.</w:t>
      </w:r>
    </w:p>
    <w:p>
      <w:pPr>
        <w:spacing w:after="0" w:line="44" w:lineRule="exact"/>
        <w:rPr>
          <w:rFonts w:ascii="Arial" w:cs="Arial" w:eastAsia="Arial" w:hAnsi="Arial"/>
          <w:sz w:val="19"/>
          <w:szCs w:val="19"/>
          <w:color w:val="auto"/>
        </w:rPr>
      </w:pPr>
    </w:p>
    <w:p>
      <w:pPr>
        <w:ind w:left="1020" w:right="280" w:hanging="503"/>
        <w:spacing w:after="0" w:line="260"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Expansion of the ADC platform acquired from ScalmiBio to identify clinical development candidates by the fourth quarter of 2023.</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2023 Financial Results</w:t>
      </w:r>
    </w:p>
    <w:p>
      <w:pPr>
        <w:spacing w:after="0" w:line="108" w:lineRule="exact"/>
        <w:rPr>
          <w:sz w:val="20"/>
          <w:szCs w:val="20"/>
          <w:color w:val="auto"/>
        </w:rPr>
      </w:pPr>
    </w:p>
    <w:p>
      <w:pPr>
        <w:ind w:left="1020" w:right="200" w:hanging="503"/>
        <w:spacing w:after="0" w:line="253" w:lineRule="auto"/>
        <w:tabs>
          <w:tab w:leader="none" w:pos="102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Cash, Cash Equivalents and Investments: </w:t>
      </w:r>
      <w:r>
        <w:rPr>
          <w:rFonts w:ascii="Arial" w:cs="Arial" w:eastAsia="Arial" w:hAnsi="Arial"/>
          <w:sz w:val="20"/>
          <w:szCs w:val="20"/>
          <w:color w:val="auto"/>
        </w:rPr>
        <w:t>Cash, cash equivalents and investments as of June 30, 2023, were $224.5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ALX Oncology believes its cash, cash equivalents, and investments along with the ability to draw down an additional $40 million of its term loan are sufficient to fund planned operations through mid-2025.</w:t>
      </w:r>
    </w:p>
    <w:p>
      <w:pPr>
        <w:spacing w:after="0" w:line="69" w:lineRule="exact"/>
        <w:rPr>
          <w:rFonts w:ascii="Arial" w:cs="Arial" w:eastAsia="Arial" w:hAnsi="Arial"/>
          <w:sz w:val="20"/>
          <w:szCs w:val="20"/>
          <w:color w:val="auto"/>
        </w:rPr>
      </w:pPr>
    </w:p>
    <w:p>
      <w:pPr>
        <w:ind w:left="1020" w:right="120" w:hanging="503"/>
        <w:spacing w:after="0" w:line="258" w:lineRule="auto"/>
        <w:tabs>
          <w:tab w:leader="none" w:pos="102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Research and Development (“R&amp;D”) Expenses: </w:t>
      </w:r>
      <w:r>
        <w:rPr>
          <w:rFonts w:ascii="Arial" w:cs="Arial" w:eastAsia="Arial" w:hAnsi="Arial"/>
          <w:sz w:val="19"/>
          <w:szCs w:val="19"/>
          <w:color w:val="auto"/>
        </w:rPr>
        <w:t>R&amp;D expenses consist primarily of pre-clinical, clinical and manufacturing</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related to the development of the Company’s current lead product candidate, evorpacept, and R&amp;D employee-related expenses. These expenses for the three months ended June 30, 2023, were $29.5 million, compared to $26.7 million for the prior-year period. The increase was primarily attributable to an increase of $3.9 million in clinical costs from an increase in the number of active trials and patient enrollment as well as manufacturing of clinical trial materials to support a higher number of active clinical trials and future expected patient enrollment related to the advancement of evorpacept, offset by a decrease of $1.0 million related to the Tallac Collaboration for costs related to the IND filing planned for 2023, for which the primary work was completed in 2022.</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 w:name="page8"/>
    <w:bookmarkEnd w:id="7"/>
    <w:p>
      <w:pPr>
        <w:ind w:left="1020" w:right="160" w:hanging="503"/>
        <w:spacing w:after="0" w:line="265" w:lineRule="auto"/>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General and Administrative (“G&amp;A”) Expenses: </w:t>
      </w:r>
      <w:r>
        <w:rPr>
          <w:rFonts w:ascii="Arial" w:cs="Arial" w:eastAsia="Arial" w:hAnsi="Arial"/>
          <w:sz w:val="19"/>
          <w:szCs w:val="19"/>
          <w:color w:val="auto"/>
        </w:rPr>
        <w:t>G&amp;A expenses consist primarily of administrative employee-related</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legal and other professional fees, patent filing and maintenance fees, and insurance. These expenses for the three months ended June 30, 2023, were $7.3 million, compared to $7.0 million for the prior year period. The increase was primarily attributable to an increase in personnel and related costs primarily driven by headcount growth.</w:t>
      </w:r>
    </w:p>
    <w:p>
      <w:pPr>
        <w:spacing w:after="0" w:line="61" w:lineRule="exact"/>
        <w:rPr>
          <w:rFonts w:ascii="Arial" w:cs="Arial" w:eastAsia="Arial" w:hAnsi="Arial"/>
          <w:sz w:val="19"/>
          <w:szCs w:val="19"/>
          <w:color w:val="auto"/>
        </w:rPr>
      </w:pPr>
    </w:p>
    <w:p>
      <w:pPr>
        <w:ind w:left="1020" w:right="20" w:hanging="503"/>
        <w:spacing w:after="0" w:line="246" w:lineRule="auto"/>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GAAP net loss was $34.2 million for the second quarter ended June 30, 2023, or $0.84 per basic and diluted share, as</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a GAAP net loss of $32.9 million for the second quarter ended June 30, 2022, or $0.81 per basic and diluted share. Non-GAAP net loss was $27.9 million for the second quarter ended June 30, 2023, as compared to a non-GAAP net loss of $27.1 million for the second quarter ended June 30, 2022. A reconciliation of GAAP to non-GAAP financial results can be found at the end of this news release.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ALX Oncology</w:t>
      </w:r>
    </w:p>
    <w:p>
      <w:pPr>
        <w:spacing w:after="0" w:line="114"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ALX Oncology is a publicly traded, clinical-stage immuno-oncology company focused on helping patients fight cancer by developing therapies that block the CD47 immune checkpoint inhibitor and bridge the innate and adaptive immune system. ALX Oncology’s lead product candidate, evorpacept, is a next generation CD47 blocking therapeutic that combines a high-affinity CD47 binding domain with an inactivated, proprietary Fc domain. Evorpacept has demonstrated promising clinical responses across a range of hematologic and solid malignancies in combination with a number of leading anti-cancer antibodies. ALX Oncology is currently focusing on combining evorpacept with anti-cancer antibodies, antibody-drug conjugates, and PD-1/PD-L1 immune checkpoint inhibitors.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ALX ONCOLOGY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Operations</w:t>
      </w:r>
    </w:p>
    <w:p>
      <w:pPr>
        <w:jc w:val="center"/>
        <w:spacing w:after="0"/>
        <w:rPr>
          <w:sz w:val="20"/>
          <w:szCs w:val="20"/>
          <w:color w:val="auto"/>
        </w:rPr>
      </w:pPr>
      <w:r>
        <w:rPr>
          <w:rFonts w:ascii="Arial" w:cs="Arial" w:eastAsia="Arial" w:hAnsi="Arial"/>
          <w:sz w:val="20"/>
          <w:szCs w:val="20"/>
          <w:color w:val="auto"/>
        </w:rPr>
        <w:t>(unaudited)</w:t>
      </w:r>
    </w:p>
    <w:p>
      <w:pPr>
        <w:jc w:val="center"/>
        <w:ind w:right="40"/>
        <w:spacing w:after="0"/>
        <w:rPr>
          <w:sz w:val="20"/>
          <w:szCs w:val="20"/>
          <w:color w:val="auto"/>
        </w:rPr>
      </w:pPr>
      <w:r>
        <w:rPr>
          <w:rFonts w:ascii="Arial" w:cs="Arial" w:eastAsia="Arial" w:hAnsi="Arial"/>
          <w:sz w:val="20"/>
          <w:szCs w:val="20"/>
          <w:color w:val="auto"/>
        </w:rPr>
        <w:t>(in thousands, except share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5"/>
          </w:tcPr>
          <w:p>
            <w:pPr>
              <w:jc w:val="right"/>
              <w:ind w:right="104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3020" w:type="dxa"/>
            <w:vAlign w:val="bottom"/>
            <w:gridSpan w:val="5"/>
          </w:tcPr>
          <w:p>
            <w:pPr>
              <w:jc w:val="right"/>
              <w:ind w:right="9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29,482</w:t>
            </w:r>
          </w:p>
        </w:tc>
        <w:tc>
          <w:tcPr>
            <w:tcW w:w="3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26,748</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54,245</w:t>
            </w:r>
          </w:p>
        </w:tc>
        <w:tc>
          <w:tcPr>
            <w:tcW w:w="3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43,821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7,295</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7,041</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14,735</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14,715</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36,777</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33,789</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68,980</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(36,777</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(33,789</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(68,980</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(58,536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2,666</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4,977</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(372 )</w:t>
            </w: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(2 )</w:t>
            </w:r>
          </w:p>
        </w:tc>
        <w:tc>
          <w:tcPr>
            <w:tcW w:w="3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(759 )</w:t>
            </w:r>
          </w:p>
        </w:tc>
        <w:tc>
          <w:tcPr>
            <w:tcW w:w="3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(5 )</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6"/>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(34,159</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(32,920</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(64,343</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(57,453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81"/>
              <w:spacing w:after="0"/>
              <w:rPr>
                <w:sz w:val="20"/>
                <w:szCs w:val="20"/>
                <w:color w:val="auto"/>
              </w:rPr>
            </w:pPr>
            <w:r>
              <w:rPr>
                <w:rFonts w:ascii="Arial" w:cs="Arial" w:eastAsia="Arial" w:hAnsi="Arial"/>
                <w:sz w:val="18"/>
                <w:szCs w:val="18"/>
                <w:color w:val="auto"/>
              </w:rPr>
              <w:t>(0.84 )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 xml:space="preserve">(0.81 </w:t>
            </w:r>
            <w:r>
              <w:rPr>
                <w:rFonts w:ascii="Arial" w:cs="Arial" w:eastAsia="Arial" w:hAnsi="Arial"/>
                <w:sz w:val="18"/>
                <w:szCs w:val="18"/>
                <w:color w:val="auto"/>
                <w:highlight w:val="white"/>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50"/>
              <w:spacing w:after="0"/>
              <w:rPr>
                <w:sz w:val="20"/>
                <w:szCs w:val="20"/>
                <w:color w:val="auto"/>
              </w:rPr>
            </w:pPr>
            <w:r>
              <w:rPr>
                <w:rFonts w:ascii="Arial" w:cs="Arial" w:eastAsia="Arial" w:hAnsi="Arial"/>
                <w:sz w:val="18"/>
                <w:szCs w:val="18"/>
                <w:color w:val="auto"/>
              </w:rPr>
              <w:t>(1.57 )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shares of common stock</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used to compute net loss per shares, basic</w:t>
            </w:r>
          </w:p>
        </w:tc>
        <w:tc>
          <w:tcPr>
            <w:tcW w:w="34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40,875,457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40,687,751</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40,869,021</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40,652,224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and diluted</w:t>
            </w: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-1585595</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-1585595</wp:posOffset>
            </wp:positionV>
            <wp:extent cx="7747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-1585595</wp:posOffset>
            </wp:positionV>
            <wp:extent cx="857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-1585595</wp:posOffset>
            </wp:positionV>
            <wp:extent cx="85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-633730</wp:posOffset>
            </wp:positionV>
            <wp:extent cx="3446145"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46145" cy="20574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jc w:val="center"/>
        <w:spacing w:after="0"/>
        <w:rPr>
          <w:sz w:val="20"/>
          <w:szCs w:val="20"/>
          <w:color w:val="auto"/>
        </w:rPr>
      </w:pPr>
      <w:r>
        <w:rPr>
          <w:rFonts w:ascii="Arial" w:cs="Arial" w:eastAsia="Arial" w:hAnsi="Arial"/>
          <w:sz w:val="20"/>
          <w:szCs w:val="20"/>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5820" w:type="dxa"/>
            <w:vAlign w:val="bottom"/>
          </w:tcPr>
          <w:p>
            <w:pPr>
              <w:spacing w:after="0"/>
              <w:rPr>
                <w:sz w:val="21"/>
                <w:szCs w:val="21"/>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cash equivalents and investments</w:t>
            </w:r>
          </w:p>
        </w:tc>
        <w:tc>
          <w:tcPr>
            <w:tcW w:w="1640" w:type="dxa"/>
            <w:vAlign w:val="bottom"/>
            <w:shd w:val="clear" w:color="auto" w:fill="CFF0FC"/>
          </w:tcPr>
          <w:p>
            <w:pPr>
              <w:jc w:val="right"/>
              <w:ind w:right="14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224,483</w:t>
            </w:r>
          </w:p>
        </w:tc>
        <w:tc>
          <w:tcPr>
            <w:tcW w:w="4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282,906</w:t>
            </w:r>
          </w:p>
        </w:tc>
        <w:tc>
          <w:tcPr>
            <w:tcW w:w="140" w:type="dxa"/>
            <w:vAlign w:val="bottom"/>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40" w:type="dxa"/>
            <w:vAlign w:val="bottom"/>
          </w:tcPr>
          <w:p>
            <w:pPr>
              <w:jc w:val="right"/>
              <w:ind w:right="14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245,932</w:t>
            </w:r>
          </w:p>
        </w:tc>
        <w:tc>
          <w:tcPr>
            <w:tcW w:w="4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306,489</w:t>
            </w:r>
          </w:p>
        </w:tc>
        <w:tc>
          <w:tcPr>
            <w:tcW w:w="140" w:type="dxa"/>
            <w:vAlign w:val="bottom"/>
          </w:tcPr>
          <w:p>
            <w:pPr>
              <w:spacing w:after="0"/>
              <w:rPr>
                <w:sz w:val="20"/>
                <w:szCs w:val="20"/>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640" w:type="dxa"/>
            <w:vAlign w:val="bottom"/>
            <w:shd w:val="clear" w:color="auto" w:fill="CFF0FC"/>
          </w:tcPr>
          <w:p>
            <w:pPr>
              <w:jc w:val="right"/>
              <w:ind w:right="14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33,240</w:t>
            </w:r>
          </w:p>
        </w:tc>
        <w:tc>
          <w:tcPr>
            <w:tcW w:w="4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43,025</w:t>
            </w:r>
          </w:p>
        </w:tc>
        <w:tc>
          <w:tcPr>
            <w:tcW w:w="140" w:type="dxa"/>
            <w:vAlign w:val="bottom"/>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640" w:type="dxa"/>
            <w:vAlign w:val="bottom"/>
          </w:tcPr>
          <w:p>
            <w:pPr>
              <w:jc w:val="right"/>
              <w:ind w:right="14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(389,810 )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(325,467 )</w:t>
            </w: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1640" w:type="dxa"/>
            <w:vAlign w:val="bottom"/>
            <w:shd w:val="clear" w:color="auto" w:fill="CFF0FC"/>
          </w:tcPr>
          <w:p>
            <w:pPr>
              <w:jc w:val="right"/>
              <w:ind w:right="14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212,692</w:t>
            </w:r>
          </w:p>
        </w:tc>
        <w:tc>
          <w:tcPr>
            <w:tcW w:w="4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263,464</w:t>
            </w:r>
          </w:p>
        </w:tc>
        <w:tc>
          <w:tcPr>
            <w:tcW w:w="140" w:type="dxa"/>
            <w:vAlign w:val="bottom"/>
            <w:shd w:val="clear" w:color="auto" w:fill="CFF0FC"/>
          </w:tcPr>
          <w:p>
            <w:pPr>
              <w:spacing w:after="0"/>
              <w:rPr>
                <w:sz w:val="21"/>
                <w:szCs w:val="21"/>
                <w:color w:val="auto"/>
              </w:rPr>
            </w:pPr>
          </w:p>
        </w:tc>
      </w:tr>
    </w:tbl>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GAAP to Non-GAAP Reconciliation</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(unaudited)</w:t>
      </w:r>
    </w:p>
    <w:p>
      <w:pPr>
        <w:ind w:left="5060"/>
        <w:spacing w:after="0"/>
        <w:rPr>
          <w:sz w:val="20"/>
          <w:szCs w:val="20"/>
          <w:color w:val="auto"/>
        </w:rPr>
      </w:pPr>
      <w:r>
        <w:rPr>
          <w:rFonts w:ascii="Arial" w:cs="Arial" w:eastAsia="Arial" w:hAnsi="Arial"/>
          <w:sz w:val="20"/>
          <w:szCs w:val="20"/>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20" w:type="dxa"/>
            <w:vAlign w:val="bottom"/>
            <w:gridSpan w:val="5"/>
          </w:tcPr>
          <w:p>
            <w:pPr>
              <w:jc w:val="right"/>
              <w:ind w:right="103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3020" w:type="dxa"/>
            <w:vAlign w:val="bottom"/>
            <w:gridSpan w:val="5"/>
          </w:tcPr>
          <w:p>
            <w:pPr>
              <w:jc w:val="right"/>
              <w:ind w:right="950"/>
              <w:spacing w:after="0"/>
              <w:rPr>
                <w:sz w:val="20"/>
                <w:szCs w:val="20"/>
                <w:color w:val="auto"/>
              </w:rPr>
            </w:pPr>
            <w:r>
              <w:rPr>
                <w:rFonts w:ascii="Arial" w:cs="Arial" w:eastAsia="Arial" w:hAnsi="Arial"/>
                <w:sz w:val="18"/>
                <w:szCs w:val="18"/>
                <w:b w:val="1"/>
                <w:bCs w:val="1"/>
                <w:color w:val="auto"/>
              </w:rPr>
              <w:t>Six Months Ended</w:t>
            </w:r>
          </w:p>
        </w:tc>
      </w:tr>
      <w:tr>
        <w:trPr>
          <w:trHeight w:val="250"/>
        </w:trPr>
        <w:tc>
          <w:tcPr>
            <w:tcW w:w="43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9"/>
        </w:trPr>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9"/>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GAAP net loss, as reported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(34,159</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(32,920</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(64,343</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4360" w:type="dxa"/>
            <w:vAlign w:val="bottom"/>
          </w:tcPr>
          <w:p>
            <w:pPr>
              <w:ind w:left="120"/>
              <w:spacing w:after="0"/>
              <w:rPr>
                <w:sz w:val="20"/>
                <w:szCs w:val="20"/>
                <w:color w:val="auto"/>
              </w:rPr>
            </w:pPr>
            <w:r>
              <w:rPr>
                <w:rFonts w:ascii="Arial" w:cs="Arial" w:eastAsia="Arial" w:hAnsi="Arial"/>
                <w:sz w:val="18"/>
                <w:szCs w:val="18"/>
                <w:color w:val="auto"/>
              </w:rPr>
              <w:t>Adjustments: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6,237</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5,836</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12,588</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11,337</w:t>
            </w:r>
          </w:p>
        </w:tc>
        <w:tc>
          <w:tcPr>
            <w:tcW w:w="140" w:type="dxa"/>
            <w:vAlign w:val="bottom"/>
            <w:shd w:val="clear" w:color="auto" w:fill="CFF0FC"/>
          </w:tcPr>
          <w:p>
            <w:pPr>
              <w:spacing w:after="0"/>
              <w:rPr>
                <w:sz w:val="21"/>
                <w:szCs w:val="21"/>
                <w:color w:val="auto"/>
              </w:rPr>
            </w:pP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Accretion of term loan discount and issuance costs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adjustments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6,298</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5,836</w:t>
            </w:r>
          </w:p>
        </w:tc>
        <w:tc>
          <w:tcPr>
            <w:tcW w:w="3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12,711</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11,337</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4360" w:type="dxa"/>
            <w:vAlign w:val="bottom"/>
          </w:tcPr>
          <w:p>
            <w:pPr>
              <w:ind w:left="20"/>
              <w:spacing w:after="0"/>
              <w:rPr>
                <w:sz w:val="20"/>
                <w:szCs w:val="20"/>
                <w:color w:val="auto"/>
              </w:rPr>
            </w:pPr>
            <w:r>
              <w:rPr>
                <w:rFonts w:ascii="Arial" w:cs="Arial" w:eastAsia="Arial" w:hAnsi="Arial"/>
                <w:sz w:val="18"/>
                <w:szCs w:val="18"/>
                <w:color w:val="auto"/>
              </w:rPr>
              <w:t>Non-GAAP 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50"/>
              <w:spacing w:after="0"/>
              <w:rPr>
                <w:sz w:val="20"/>
                <w:szCs w:val="20"/>
                <w:color w:val="auto"/>
              </w:rPr>
            </w:pPr>
            <w:r>
              <w:rPr>
                <w:rFonts w:ascii="Arial" w:cs="Arial" w:eastAsia="Arial" w:hAnsi="Arial"/>
                <w:sz w:val="18"/>
                <w:szCs w:val="18"/>
                <w:color w:val="auto"/>
              </w:rPr>
              <w:t>(27,861 )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(27,084 )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50"/>
              <w:spacing w:after="0"/>
              <w:rPr>
                <w:sz w:val="20"/>
                <w:szCs w:val="20"/>
                <w:color w:val="auto"/>
              </w:rPr>
            </w:pPr>
            <w:r>
              <w:rPr>
                <w:rFonts w:ascii="Arial" w:cs="Arial" w:eastAsia="Arial" w:hAnsi="Arial"/>
                <w:sz w:val="18"/>
                <w:szCs w:val="18"/>
                <w:color w:val="auto"/>
              </w:rPr>
              <w:t>(51,632 )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(46,116 )</w:t>
            </w:r>
          </w:p>
        </w:tc>
      </w:tr>
      <w:tr>
        <w:trPr>
          <w:trHeight w:val="20"/>
        </w:trPr>
        <w:tc>
          <w:tcPr>
            <w:tcW w:w="4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44"/>
        </w:trPr>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29"/>
              <w:spacing w:after="0"/>
              <w:rPr>
                <w:sz w:val="20"/>
                <w:szCs w:val="20"/>
                <w:color w:val="auto"/>
              </w:rPr>
            </w:pPr>
            <w:r>
              <w:rPr>
                <w:rFonts w:ascii="Arial" w:cs="Arial" w:eastAsia="Arial" w:hAnsi="Arial"/>
                <w:sz w:val="20"/>
                <w:szCs w:val="20"/>
                <w:color w:val="auto"/>
              </w:rPr>
              <w:t>5</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1"/>
        </w:trPr>
        <w:tc>
          <w:tcPr>
            <w:tcW w:w="4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-624840</wp:posOffset>
            </wp:positionV>
            <wp:extent cx="8572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-624840</wp:posOffset>
            </wp:positionV>
            <wp:extent cx="8572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-624840</wp:posOffset>
            </wp:positionV>
            <wp:extent cx="8572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-624840</wp:posOffset>
            </wp:positionV>
            <wp:extent cx="8572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1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8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“Non-GAAP net loss” is not based on any standardized methodology prescribed by GAAP and represents GAAP net loss adjusted to exclude stock-based compensation expense and accretion of term loan discount and issuance costs. Non-GAAP financial measures used by ALX Oncology may be calculated differently from, and therefore may not be comparable to, non-GAAP measures used by other companies.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Peter Garcia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 ALX Oncology</w:t>
      </w:r>
    </w:p>
    <w:p>
      <w:pPr>
        <w:jc w:val="both"/>
        <w:ind w:right="9240" w:firstLine="8"/>
        <w:spacing w:after="0" w:line="297" w:lineRule="auto"/>
        <w:tabs>
          <w:tab w:leader="none" w:pos="478" w:val="left"/>
        </w:tabs>
        <w:numPr>
          <w:ilvl w:val="0"/>
          <w:numId w:val="8"/>
        </w:numPr>
        <w:rPr>
          <w:rFonts w:ascii="Arial" w:cs="Arial" w:eastAsia="Arial" w:hAnsi="Arial"/>
          <w:sz w:val="18"/>
          <w:szCs w:val="18"/>
          <w:color w:val="auto"/>
        </w:rPr>
      </w:pPr>
      <w:r>
        <w:rPr>
          <w:rFonts w:ascii="Arial" w:cs="Arial" w:eastAsia="Arial" w:hAnsi="Arial"/>
          <w:sz w:val="18"/>
          <w:szCs w:val="18"/>
          <w:color w:val="auto"/>
        </w:rPr>
        <w:t>466-7125 Ext. 113 peter@alxoncology.com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Malini Chatterjee, Ph.D.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Blueprint Life Science Group</w:t>
      </w:r>
    </w:p>
    <w:p>
      <w:pPr>
        <w:spacing w:after="0"/>
        <w:rPr>
          <w:sz w:val="20"/>
          <w:szCs w:val="20"/>
          <w:color w:val="auto"/>
        </w:rPr>
      </w:pPr>
      <w:r>
        <w:rPr>
          <w:rFonts w:ascii="Arial" w:cs="Arial" w:eastAsia="Arial" w:hAnsi="Arial"/>
          <w:sz w:val="20"/>
          <w:szCs w:val="20"/>
          <w:color w:val="auto"/>
        </w:rPr>
        <w:t>mchatterjee@bplifescience.com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Karen Sharma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MacDougall</w:t>
      </w:r>
    </w:p>
    <w:p>
      <w:pPr>
        <w:ind w:right="9540" w:firstLine="8"/>
        <w:spacing w:after="0" w:line="297" w:lineRule="auto"/>
        <w:tabs>
          <w:tab w:leader="none" w:pos="478" w:val="left"/>
        </w:tabs>
        <w:numPr>
          <w:ilvl w:val="0"/>
          <w:numId w:val="9"/>
        </w:numPr>
        <w:rPr>
          <w:rFonts w:ascii="Arial" w:cs="Arial" w:eastAsia="Arial" w:hAnsi="Arial"/>
          <w:sz w:val="18"/>
          <w:szCs w:val="18"/>
          <w:color w:val="auto"/>
        </w:rPr>
      </w:pPr>
      <w:r>
        <w:rPr>
          <w:rFonts w:ascii="Arial" w:cs="Arial" w:eastAsia="Arial" w:hAnsi="Arial"/>
          <w:sz w:val="18"/>
          <w:szCs w:val="18"/>
          <w:color w:val="auto"/>
        </w:rPr>
        <w:t>235-3060 alx@macdougall.bio</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650"/>
    </w:lvl>
  </w:abstractNum>
  <w:abstractNum w:abstractNumId="8">
    <w:nsid w:val="5BD062C2"/>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2023-08-10T15:19:43Z</dcterms:created>
  <dcterms:modified xsi:type="dcterms:W3CDTF">2023-08-10T15:19:43Z</dcterms:modified>
</cp:coreProperties>
</file>