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Adelman Robert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1700 OWENS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595</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94158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523" w:type="dxa"/>
        <w:tblCellMar>
          <w:top w:w="0" w:type="dxa"/>
          <w:left w:w="0" w:type="dxa"/>
          <w:bottom w:w="0" w:type="dxa"/>
          <w:right w:w="0" w:type="dxa"/>
        </w:tblCellMar>
      </w:tblPr>
      <w:tr>
        <w:trPr>
          <w:trHeight w:val="248"/>
        </w:trPr>
        <w:tc>
          <w:tcPr>
            <w:tcW w:w="1020" w:type="dxa"/>
            <w:vAlign w:val="bottom"/>
          </w:tcPr>
          <w:p>
            <w:pPr>
              <w:spacing w:after="0"/>
              <w:rPr>
                <w:sz w:val="20"/>
                <w:szCs w:val="20"/>
                <w:color w:val="auto"/>
              </w:rPr>
            </w:pPr>
            <w:r>
              <w:rPr>
                <w:rFonts w:ascii="Arial" w:cs="Arial" w:eastAsia="Arial" w:hAnsi="Arial"/>
                <w:sz w:val="15"/>
                <w:szCs w:val="15"/>
                <w:color w:val="auto"/>
              </w:rPr>
              <w:t>Director</w:t>
            </w:r>
          </w:p>
        </w:tc>
        <w:tc>
          <w:tcPr>
            <w:tcW w:w="440" w:type="dxa"/>
            <w:vAlign w:val="bottom"/>
          </w:tcPr>
          <w:p>
            <w:pPr>
              <w:ind w:left="200"/>
              <w:spacing w:after="0"/>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rPr>
              <w:t>10% Owner</w:t>
            </w:r>
          </w:p>
        </w:tc>
      </w:tr>
      <w:tr>
        <w:trPr>
          <w:trHeight w:val="226"/>
        </w:trPr>
        <w:tc>
          <w:tcPr>
            <w:tcW w:w="1020" w:type="dxa"/>
            <w:vAlign w:val="bottom"/>
          </w:tcPr>
          <w:p>
            <w:pPr>
              <w:spacing w:after="0"/>
              <w:rPr>
                <w:sz w:val="20"/>
                <w:szCs w:val="20"/>
                <w:color w:val="auto"/>
              </w:rPr>
            </w:pPr>
            <w:r>
              <w:rPr>
                <w:rFonts w:ascii="Arial" w:cs="Arial" w:eastAsia="Arial" w:hAnsi="Arial"/>
                <w:sz w:val="15"/>
                <w:szCs w:val="15"/>
                <w:color w:val="auto"/>
              </w:rPr>
              <w:t>Officer (give</w:t>
            </w:r>
          </w:p>
        </w:tc>
        <w:tc>
          <w:tcPr>
            <w:tcW w:w="440" w:type="dxa"/>
            <w:vAlign w:val="bottom"/>
          </w:tcPr>
          <w:p>
            <w:pPr>
              <w:ind w:left="200"/>
              <w:spacing w:after="0" w:line="227" w:lineRule="exact"/>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w w:val="98"/>
              </w:rPr>
              <w:t>Other (specify</w:t>
            </w:r>
          </w:p>
        </w:tc>
      </w:tr>
      <w:tr>
        <w:trPr>
          <w:trHeight w:val="180"/>
        </w:trPr>
        <w:tc>
          <w:tcPr>
            <w:tcW w:w="1020" w:type="dxa"/>
            <w:vAlign w:val="bottom"/>
          </w:tcPr>
          <w:p>
            <w:pPr>
              <w:spacing w:after="0"/>
              <w:rPr>
                <w:sz w:val="20"/>
                <w:szCs w:val="20"/>
                <w:color w:val="auto"/>
              </w:rPr>
            </w:pPr>
            <w:r>
              <w:rPr>
                <w:rFonts w:ascii="Arial" w:cs="Arial" w:eastAsia="Arial" w:hAnsi="Arial"/>
                <w:sz w:val="15"/>
                <w:szCs w:val="15"/>
                <w:color w:val="auto"/>
              </w:rPr>
              <w:t>title below)</w:t>
            </w:r>
          </w:p>
        </w:tc>
        <w:tc>
          <w:tcPr>
            <w:tcW w:w="44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below)</w:t>
            </w: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756"/>
              <w:spacing w:after="0"/>
              <w:rPr>
                <w:sz w:val="20"/>
                <w:szCs w:val="20"/>
                <w:color w:val="auto"/>
              </w:rPr>
            </w:pPr>
            <w:r>
              <w:rPr>
                <w:rFonts w:ascii="Arial" w:cs="Arial" w:eastAsia="Arial" w:hAnsi="Arial"/>
                <w:sz w:val="20"/>
                <w:szCs w:val="20"/>
                <w:color w:val="0000FF"/>
              </w:rPr>
              <w:t>151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576"/>
              <w:spacing w:after="0"/>
              <w:rPr>
                <w:sz w:val="20"/>
                <w:szCs w:val="20"/>
                <w:color w:val="auto"/>
              </w:rPr>
            </w:pPr>
            <w:r>
              <w:rPr>
                <w:rFonts w:ascii="Arial" w:cs="Arial" w:eastAsia="Arial" w:hAnsi="Arial"/>
                <w:sz w:val="20"/>
                <w:szCs w:val="20"/>
                <w:color w:val="0000FF"/>
              </w:rPr>
              <w:t>461,811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3220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2207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rPr>
              <w:t>Series A Convertible Preferred</w:t>
            </w:r>
          </w:p>
        </w:tc>
        <w:tc>
          <w:tcPr>
            <w:tcW w:w="112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008000"/>
              </w:rPr>
              <w:t>(3)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7"/>
              </w:rPr>
              <w:t>3,100,020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8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rPr>
              <w:t>Series A Convertible Preferred</w:t>
            </w:r>
          </w:p>
        </w:tc>
        <w:tc>
          <w:tcPr>
            <w:tcW w:w="112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008000"/>
              </w:rPr>
              <w:t>(3)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7"/>
              </w:rPr>
              <w:t>2,398,588</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8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rPr>
              <w:t>Series A Convertible Preferred</w:t>
            </w:r>
          </w:p>
        </w:tc>
        <w:tc>
          <w:tcPr>
            <w:tcW w:w="112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008000"/>
              </w:rPr>
              <w:t>(3)</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1"/>
              <w:spacing w:after="0"/>
              <w:rPr>
                <w:sz w:val="20"/>
                <w:szCs w:val="20"/>
                <w:color w:val="auto"/>
              </w:rPr>
            </w:pPr>
            <w:r>
              <w:rPr>
                <w:rFonts w:ascii="Arial" w:cs="Arial" w:eastAsia="Arial" w:hAnsi="Arial"/>
                <w:sz w:val="20"/>
                <w:szCs w:val="20"/>
                <w:color w:val="0000FF"/>
                <w:w w:val="84"/>
              </w:rPr>
              <w:t>78,175</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jc w:val="center"/>
              <w:spacing w:after="0"/>
              <w:rPr>
                <w:sz w:val="20"/>
                <w:szCs w:val="20"/>
                <w:color w:val="auto"/>
              </w:rPr>
            </w:pPr>
            <w:r>
              <w:rPr>
                <w:rFonts w:ascii="Arial" w:cs="Arial" w:eastAsia="Arial" w:hAnsi="Arial"/>
                <w:sz w:val="39"/>
                <w:szCs w:val="39"/>
                <w:color w:val="0000FF"/>
                <w:w w:val="80"/>
                <w:vertAlign w:val="subscript"/>
              </w:rPr>
              <w:t>D</w:t>
            </w:r>
            <w:r>
              <w:rPr>
                <w:rFonts w:ascii="Arial" w:cs="Arial" w:eastAsia="Arial" w:hAnsi="Arial"/>
                <w:sz w:val="13"/>
                <w:szCs w:val="13"/>
                <w:color w:val="008000"/>
                <w:w w:val="80"/>
              </w:rPr>
              <w:t>(5)</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8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rPr>
              <w:t>Series B Convertible Preferred</w:t>
            </w:r>
          </w:p>
        </w:tc>
        <w:tc>
          <w:tcPr>
            <w:tcW w:w="112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008000"/>
              </w:rPr>
              <w:t>(6)</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(6)</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31"/>
              <w:spacing w:after="0"/>
              <w:rPr>
                <w:sz w:val="20"/>
                <w:szCs w:val="20"/>
                <w:color w:val="auto"/>
              </w:rPr>
            </w:pPr>
            <w:r>
              <w:rPr>
                <w:rFonts w:ascii="Arial" w:cs="Arial" w:eastAsia="Arial" w:hAnsi="Arial"/>
                <w:sz w:val="20"/>
                <w:szCs w:val="20"/>
                <w:color w:val="0000FF"/>
                <w:w w:val="88"/>
              </w:rPr>
              <w:t>490,411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(6)</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8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20" w:type="dxa"/>
            <w:vAlign w:val="bottom"/>
            <w:gridSpan w:val="3"/>
          </w:tcPr>
          <w:p>
            <w:pPr>
              <w:ind w:left="80"/>
              <w:spacing w:after="0"/>
              <w:rPr>
                <w:sz w:val="20"/>
                <w:szCs w:val="20"/>
                <w:color w:val="auto"/>
              </w:rPr>
            </w:pPr>
            <w:r>
              <w:rPr>
                <w:rFonts w:ascii="Arial" w:cs="Arial" w:eastAsia="Arial" w:hAnsi="Arial"/>
                <w:sz w:val="20"/>
                <w:szCs w:val="20"/>
                <w:color w:val="0000FF"/>
                <w:w w:val="99"/>
              </w:rPr>
              <w:t>Series C Convertible Preferred</w:t>
            </w:r>
          </w:p>
        </w:tc>
        <w:tc>
          <w:tcPr>
            <w:tcW w:w="112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008000"/>
              </w:rPr>
              <w:t>(7)</w:t>
            </w:r>
          </w:p>
        </w:tc>
        <w:tc>
          <w:tcPr>
            <w:tcW w:w="880" w:type="dxa"/>
            <w:vAlign w:val="bottom"/>
            <w:gridSpan w:val="3"/>
            <w:vMerge w:val="restart"/>
          </w:tcPr>
          <w:p>
            <w:pPr>
              <w:jc w:val="center"/>
              <w:spacing w:after="0"/>
              <w:rPr>
                <w:sz w:val="20"/>
                <w:szCs w:val="20"/>
                <w:color w:val="auto"/>
              </w:rPr>
            </w:pPr>
            <w:r>
              <w:rPr>
                <w:rFonts w:ascii="Arial" w:cs="Arial" w:eastAsia="Arial" w:hAnsi="Arial"/>
                <w:sz w:val="13"/>
                <w:szCs w:val="13"/>
                <w:color w:val="008000"/>
                <w:w w:val="87"/>
              </w:rPr>
              <w:t>(7)</w:t>
            </w:r>
          </w:p>
        </w:tc>
        <w:tc>
          <w:tcPr>
            <w:tcW w:w="1680" w:type="dxa"/>
            <w:vAlign w:val="bottom"/>
            <w:vMerge w:val="restart"/>
          </w:tcPr>
          <w:p>
            <w:pPr>
              <w:ind w:left="300"/>
              <w:spacing w:after="0"/>
              <w:rPr>
                <w:sz w:val="20"/>
                <w:szCs w:val="20"/>
                <w:color w:val="auto"/>
              </w:rPr>
            </w:pPr>
            <w:r>
              <w:rPr>
                <w:rFonts w:ascii="Arial" w:cs="Arial" w:eastAsia="Arial" w:hAnsi="Arial"/>
                <w:sz w:val="20"/>
                <w:szCs w:val="20"/>
                <w:color w:val="0000FF"/>
                <w:w w:val="99"/>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7"/>
              </w:rPr>
              <w:t>1,052,950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(7)</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8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4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Adelman Robert J</w:t>
              </w:r>
            </w:hyperlink>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gridSpan w:val="2"/>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5"/>
                <w:szCs w:val="15"/>
                <w:color w:val="auto"/>
              </w:rPr>
              <w:t>(Last)</w:t>
            </w:r>
          </w:p>
        </w:tc>
        <w:tc>
          <w:tcPr>
            <w:tcW w:w="1820" w:type="dxa"/>
            <w:vAlign w:val="bottom"/>
          </w:tcPr>
          <w:p>
            <w:pPr>
              <w:ind w:left="50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jc w:val="right"/>
              <w:ind w:right="445"/>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-2743200</wp:posOffset>
            </wp:positionV>
            <wp:extent cx="6937375" cy="4192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7375" cy="4192905"/>
                    </a:xfrm>
                    <a:prstGeom prst="rect">
                      <a:avLst/>
                    </a:prstGeom>
                    <a:noFill/>
                  </pic:spPr>
                </pic:pic>
              </a:graphicData>
            </a:graphic>
          </wp:anchor>
        </w:drawing>
      </w:r>
    </w:p>
    <w:p>
      <w:pPr>
        <w:spacing w:after="0" w:line="4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1700 OWENS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595</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FRANCISCO</w:t>
      </w:r>
    </w:p>
    <w:p>
      <w:pPr>
        <w:sectPr>
          <w:pgSz w:w="11900" w:h="16838" w:orient="portrait"/>
          <w:cols w:equalWidth="0" w:num="1">
            <w:col w:w="10940"/>
          </w:cols>
          <w:pgMar w:left="480" w:top="236" w:right="479" w:bottom="0" w:gutter="0" w:footer="0" w:header="0"/>
          <w:type w:val="continuous"/>
        </w:sectPr>
      </w:pPr>
    </w:p>
    <w:p>
      <w:pPr>
        <w:spacing w:after="0" w:line="363"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27539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53995" cy="952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052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color w:val="0000EE"/>
        </w:rPr>
      </w:pPr>
      <w:hyperlink r:id="rId18">
        <w:r>
          <w:rPr>
            <w:rFonts w:ascii="Arial" w:cs="Arial" w:eastAsia="Arial" w:hAnsi="Arial"/>
            <w:sz w:val="22"/>
            <w:szCs w:val="22"/>
            <w:u w:val="single" w:color="auto"/>
            <w:color w:val="0000EE"/>
          </w:rPr>
          <w:t>venBio Global Strategic Fund, L.P</w:t>
        </w:r>
        <w:r>
          <w:rPr>
            <w:rFonts w:ascii="Arial" w:cs="Arial" w:eastAsia="Arial" w:hAnsi="Arial"/>
            <w:sz w:val="22"/>
            <w:szCs w:val="22"/>
            <w:color w:val="0000EE"/>
          </w:rPr>
          <w:t>.</w:t>
        </w:r>
      </w:hyperlink>
    </w:p>
    <w:p>
      <w:pPr>
        <w:spacing w:after="0" w:line="380"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1700 OWENS STREET, SUITE 595</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ind w:left="40"/>
        <w:spacing w:after="0" w:line="214" w:lineRule="auto"/>
        <w:tabs>
          <w:tab w:leader="none" w:pos="1400" w:val="left"/>
          <w:tab w:leader="none" w:pos="27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71755</wp:posOffset>
            </wp:positionV>
            <wp:extent cx="2753995" cy="2010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venBio Global Strategic GP, Ltd.</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1700 OWENS STREET, SUITE 595</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ind w:left="40"/>
        <w:spacing w:after="0" w:line="214" w:lineRule="auto"/>
        <w:tabs>
          <w:tab w:leader="none" w:pos="1400" w:val="left"/>
          <w:tab w:leader="none" w:pos="27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71755</wp:posOffset>
            </wp:positionV>
            <wp:extent cx="2753995" cy="2163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u w:val="single" w:color="auto"/>
          <w:color w:val="0000EE"/>
        </w:rPr>
      </w:pPr>
      <w:hyperlink r:id="rId22">
        <w:r>
          <w:rPr>
            <w:rFonts w:ascii="Arial" w:cs="Arial" w:eastAsia="Arial" w:hAnsi="Arial"/>
            <w:sz w:val="22"/>
            <w:szCs w:val="22"/>
            <w:u w:val="single" w:color="auto"/>
            <w:color w:val="0000EE"/>
          </w:rPr>
          <w:t>venBio Global Strategic Fund II L.P.</w:t>
        </w:r>
      </w:hyperlink>
    </w:p>
    <w:p>
      <w:pPr>
        <w:spacing w:after="0" w:line="380"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1700 OWENS STREET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SUITE 595</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ind w:left="40"/>
        <w:spacing w:after="0" w:line="214" w:lineRule="auto"/>
        <w:tabs>
          <w:tab w:leader="none" w:pos="1400" w:val="left"/>
          <w:tab w:leader="none" w:pos="27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71755</wp:posOffset>
            </wp:positionV>
            <wp:extent cx="2753995" cy="2010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4"/>
          <w:szCs w:val="24"/>
          <w:u w:val="single" w:color="auto"/>
          <w:color w:val="0000EE"/>
        </w:rPr>
      </w:pPr>
      <w:hyperlink r:id="rId24">
        <w:r>
          <w:rPr>
            <w:rFonts w:ascii="Arial" w:cs="Arial" w:eastAsia="Arial" w:hAnsi="Arial"/>
            <w:sz w:val="24"/>
            <w:szCs w:val="24"/>
            <w:u w:val="single" w:color="auto"/>
            <w:color w:val="0000EE"/>
          </w:rPr>
          <w:t>venBio Global Strategic GP, L.P.</w:t>
        </w:r>
      </w:hyperlink>
    </w:p>
    <w:p>
      <w:pPr>
        <w:spacing w:after="0" w:line="357"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1700 OWENS STREET, SUITE 595</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ind w:left="40"/>
        <w:spacing w:after="0" w:line="214" w:lineRule="auto"/>
        <w:tabs>
          <w:tab w:leader="none" w:pos="1400" w:val="left"/>
          <w:tab w:leader="none" w:pos="27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71755</wp:posOffset>
            </wp:positionV>
            <wp:extent cx="2753995" cy="2163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40"/>
        <w:spacing w:after="0"/>
        <w:rPr>
          <w:rFonts w:ascii="Arial" w:cs="Arial" w:eastAsia="Arial" w:hAnsi="Arial"/>
          <w:sz w:val="22"/>
          <w:szCs w:val="22"/>
          <w:u w:val="single" w:color="auto"/>
          <w:color w:val="0000EE"/>
        </w:rPr>
      </w:pPr>
      <w:hyperlink r:id="rId26">
        <w:r>
          <w:rPr>
            <w:rFonts w:ascii="Arial" w:cs="Arial" w:eastAsia="Arial" w:hAnsi="Arial"/>
            <w:sz w:val="22"/>
            <w:szCs w:val="22"/>
            <w:u w:val="single" w:color="auto"/>
            <w:color w:val="0000EE"/>
          </w:rPr>
          <w:t>venBio Global Strategic GP II, L.P.</w:t>
        </w:r>
      </w:hyperlink>
    </w:p>
    <w:p>
      <w:pPr>
        <w:spacing w:after="0" w:line="380"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1700 OWENS STREET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SUITE 595</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(Street)</w:t>
      </w:r>
    </w:p>
    <w:p>
      <w:pPr>
        <w:ind w:left="40"/>
        <w:spacing w:after="0" w:line="214" w:lineRule="auto"/>
        <w:tabs>
          <w:tab w:leader="none" w:pos="1400" w:val="left"/>
          <w:tab w:leader="none" w:pos="27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20"/>
          <w:szCs w:val="20"/>
          <w:color w:val="0000FF"/>
        </w:rPr>
        <w:t>FRANCISCO</w:t>
      </w:r>
    </w:p>
    <w:p>
      <w:pPr>
        <w:sectPr>
          <w:pgSz w:w="11900" w:h="16838" w:orient="portrait"/>
          <w:cols w:equalWidth="0" w:num="1">
            <w:col w:w="9879"/>
          </w:cols>
          <w:pgMar w:left="580" w:top="163" w:right="1440" w:bottom="0" w:gutter="0" w:footer="0" w:header="0"/>
        </w:sectPr>
      </w:pPr>
    </w:p>
    <w:p>
      <w:pPr>
        <w:spacing w:after="0" w:line="363" w:lineRule="exact"/>
        <w:rPr>
          <w:sz w:val="20"/>
          <w:szCs w:val="20"/>
          <w:color w:val="auto"/>
        </w:rPr>
      </w:pPr>
    </w:p>
    <w:p>
      <w:pPr>
        <w:ind w:left="40"/>
        <w:spacing w:after="0"/>
        <w:tabs>
          <w:tab w:leader="none" w:pos="1400" w:val="left"/>
          <w:tab w:leader="none" w:pos="27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71755</wp:posOffset>
            </wp:positionV>
            <wp:extent cx="27539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753995" cy="171450"/>
                    </a:xfrm>
                    <a:prstGeom prst="rect">
                      <a:avLst/>
                    </a:prstGeom>
                    <a:noFill/>
                  </pic:spPr>
                </pic:pic>
              </a:graphicData>
            </a:graphic>
          </wp:anchor>
        </w:drawing>
      </w:r>
    </w:p>
    <w:p>
      <w:pPr>
        <w:sectPr>
          <w:pgSz w:w="11900" w:h="16838" w:orient="portrait"/>
          <w:cols w:equalWidth="0" w:num="1">
            <w:col w:w="9879"/>
          </w:cols>
          <w:pgMar w:left="580" w:top="16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2124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773045" cy="212471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venBio Global Strategic GP II,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1700 OWENS STREET</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SUITE 595</w:t>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14" w:lineRule="auto"/>
        <w:tabs>
          <w:tab w:leader="none" w:pos="1460" w:val="left"/>
          <w:tab w:leader="none" w:pos="284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94158</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60" w:firstLine="5"/>
        <w:spacing w:after="0" w:line="297"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shares are held by venBio Global Strategic Fund, L.P. venBio Global Strategic GP, L.P. is the general partner of venBio Global Strategic Fund, L.P. and venBio Global Strategic GP, Ltd. is the general partner of venBio Global Strategic GP, L.P. Robert Adelman is a director of venBio Global Strategic GP, Ltd. Each of venBio Global Strategic GP, L.P., venBio Global Strategic GP, Ltd. and Mr. Adelman disclaims beneficial ownership of such securities, except to the extent of its/his indirect pecuniary interest therein.</w:t>
      </w:r>
    </w:p>
    <w:p>
      <w:pPr>
        <w:ind w:right="40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venBio SPV, LLC, which is wholly-owned by venBio Global Strategic Fund, L.P. Robert Adelman is a managing director of venBio SPV, LLC and disclaims beneficial ownership of such securities, except to the extent of his indirect pecuniary interest therein.</w:t>
      </w:r>
    </w:p>
    <w:p>
      <w:pPr>
        <w:spacing w:after="0" w:line="26" w:lineRule="exact"/>
        <w:rPr>
          <w:rFonts w:ascii="Arial" w:cs="Arial" w:eastAsia="Arial" w:hAnsi="Arial"/>
          <w:sz w:val="15"/>
          <w:szCs w:val="15"/>
          <w:color w:val="008000"/>
        </w:rPr>
      </w:pPr>
    </w:p>
    <w:p>
      <w:pPr>
        <w:ind w:right="34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venBio Global Strategic Fund II, L.P. venBio Global Strategic GP II, LP is the sole general partner of venBio Global Strategic Fund II, LP and venBio Global Strategic GP II, Ltd. is the sole general partner of venBio Global Strategic GP II, L.P. Robert Adelman is a director of venBio Global Strategic GP II, Ltd. Each of venBio Global Strategic GP II, LP, venBio Global Strategic GP II, Ltd, and Mr. Adelman disclaims beneficial ownership of such securities, except to the extent of its/his indirect pecuniary interest therein.</w:t>
      </w:r>
    </w:p>
    <w:p>
      <w:pPr>
        <w:spacing w:after="0" w:line="36"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by Robert Adelman directly.</w:t>
      </w:r>
    </w:p>
    <w:p>
      <w:pPr>
        <w:spacing w:after="0" w:line="52" w:lineRule="exact"/>
        <w:rPr>
          <w:rFonts w:ascii="Arial" w:cs="Arial" w:eastAsia="Arial" w:hAnsi="Arial"/>
          <w:sz w:val="15"/>
          <w:szCs w:val="15"/>
          <w:color w:val="008000"/>
        </w:rPr>
      </w:pPr>
    </w:p>
    <w:p>
      <w:pPr>
        <w:ind w:right="34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right="34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C Convertible Preferred Stock shall automatically convert into Common Stock on a 1:1 basis immediately prior to the completion of the Issuer's initial public offering of Common Stock and has no expiration date.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140"/>
        <w:spacing w:after="0" w:line="253" w:lineRule="auto"/>
        <w:rPr>
          <w:sz w:val="20"/>
          <w:szCs w:val="20"/>
          <w:color w:val="auto"/>
        </w:rPr>
      </w:pPr>
      <w:r>
        <w:rPr>
          <w:rFonts w:ascii="Arial" w:cs="Arial" w:eastAsia="Arial" w:hAnsi="Arial"/>
          <w:sz w:val="15"/>
          <w:szCs w:val="15"/>
          <w:color w:val="008000"/>
        </w:rPr>
        <w:t>This Form 3 is being filed in conjunction with the Form 3 filed simultaneously by Corey Goodman, who serves as Executive Chairman on the Issuer's board of directors. Each of the reporting persons may be deemed directors of the Issuer by deputization of Mr. Goodman.</w:t>
      </w:r>
    </w:p>
    <w:p>
      <w:pPr>
        <w:sectPr>
          <w:pgSz w:w="11900" w:h="16838" w:orient="portrait"/>
          <w:cols w:equalWidth="0" w:num="1">
            <w:col w:w="10800"/>
          </w:cols>
          <w:pgMar w:left="520" w:top="103" w:right="579" w:bottom="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697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Fund, L.P., by: venBio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Global Strategic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6936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934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93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697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36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83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by: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775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477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Pezeshki,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110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8542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8542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697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L.P., by: venBio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838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08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Global Strategic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8016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5730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5730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080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9080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7025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7025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697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Ltd., by: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Pezeshki,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110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8542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8542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697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Fund II, L.P., by: venBio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319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Global Strategic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236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7475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747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venBio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Strategic GP 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68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868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0934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093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3916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7025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7025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venBio Global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19697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GP II, L.P., by: venBio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Global Strategic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236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Ltd.,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8491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849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David Pezeshki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4523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7025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702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8540" w:space="180"/>
            <w:col w:w="2080"/>
          </w:cols>
          <w:pgMar w:left="520" w:top="103" w:right="579" w:bottom="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8"/>
              </w:rPr>
              <w:t>venBio Global Strategic</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07/16/2020</w:t>
            </w:r>
          </w:p>
        </w:tc>
      </w:tr>
      <w:tr>
        <w:trPr>
          <w:trHeight w:val="220"/>
        </w:trPr>
        <w:tc>
          <w:tcPr>
            <w:tcW w:w="19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GP II, Ltd., by: /s/ David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ectPr>
          <w:pgSz w:w="11900" w:h="16838" w:orient="portrait"/>
          <w:cols w:equalWidth="0" w:num="1">
            <w:col w:w="10800"/>
          </w:cols>
          <w:pgMar w:left="520" w:top="103" w:right="57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Pezeshki,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2110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8542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85420"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Robert Adelman, by: /s/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5"/>
              </w:rPr>
              <w:t>David Pezeshki, as</w:t>
            </w: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07/16/2020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1"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10" Type="http://schemas.openxmlformats.org/officeDocument/2006/relationships/hyperlink" Target="http://www.sec.gov/cgi-bin/browse-edgar?action=getcompany&amp;CIK=0001329161" TargetMode="External"/><Relationship Id="rId11" Type="http://schemas.openxmlformats.org/officeDocument/2006/relationships/hyperlink" Target="http://www.sec.gov/cgi-bin/browse-edgar?action=getcompany&amp;CIK=0001810182" TargetMode="External"/><Relationship Id="rId18" Type="http://schemas.openxmlformats.org/officeDocument/2006/relationships/hyperlink" Target="http://www.sec.gov/cgi-bin/browse-edgar?action=getcompany&amp;CIK=0001504130" TargetMode="External"/><Relationship Id="rId20" Type="http://schemas.openxmlformats.org/officeDocument/2006/relationships/hyperlink" Target="http://www.sec.gov/cgi-bin/browse-edgar?action=getcompany&amp;CIK=0001770835" TargetMode="External"/><Relationship Id="rId22" Type="http://schemas.openxmlformats.org/officeDocument/2006/relationships/hyperlink" Target="http://www.sec.gov/cgi-bin/browse-edgar?action=getcompany&amp;CIK=0001634632" TargetMode="External"/><Relationship Id="rId24" Type="http://schemas.openxmlformats.org/officeDocument/2006/relationships/hyperlink" Target="http://www.sec.gov/cgi-bin/browse-edgar?action=getcompany&amp;CIK=0001770834" TargetMode="External"/><Relationship Id="rId26" Type="http://schemas.openxmlformats.org/officeDocument/2006/relationships/hyperlink" Target="http://www.sec.gov/cgi-bin/browse-edgar?action=getcompany&amp;CIK=0001729409" TargetMode="External"/><Relationship Id="rId29" Type="http://schemas.openxmlformats.org/officeDocument/2006/relationships/hyperlink" Target="http://www.sec.gov/cgi-bin/browse-edgar?action=getcompany&amp;CIK=0001729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2020-07-16T18:40:25Z</dcterms:created>
  <dcterms:modified xsi:type="dcterms:W3CDTF">2020-07-16T18:40:25Z</dcterms:modified>
</cp:coreProperties>
</file>