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14"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ALX Oncology Holdings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00166B 10 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LIGHTSTONE VENTURES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500 BOYLSTON ST. SUITE 1380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 02116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(617) 933-3770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July 21,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96"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4"/>
          <w:szCs w:val="24"/>
          <w:color w:val="auto"/>
        </w:rPr>
      </w:pPr>
    </w:p>
    <w:p>
      <w:pPr>
        <w:ind w:left="460" w:right="24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Lightstone Ventures, L.P.</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Delaware, 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2,268,087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2,268,087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2,268,087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6.2%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7"/>
              </w:rPr>
              <w:t>PN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right="60" w:hanging="452"/>
        <w:spacing w:after="0" w:line="28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Schedule 13D is filed by Lightstone Ventures, L.P. (“LV LP”), Lightstone Ventures (A), L.P. (“LV(A) LP”), LSV Associates, LLC (“LSV Associates”), Lightstone Ventures II, LP (“LV II LP”), Lightstone Ventures II (A), LP (“LV II(A) LP”) and LSV Associates II, LLC (“LSV Associates II,” together with LV LP, LV(A) LP, LSV Associates, LV II LP and LV II(A) LP, the “LV Entities”), Michael A. Carusi, Jean M. George, Henry A. Plain, Jr. and Jason W. Lettmann. Together with the LV Entities, Messrs. Carusi, Plain and Lettmann, and Ms. George are herein collectively referred to as the “Reporting Persons”). The Reporting Persons expressly disclaim status as a “group” for purposes of this Schedule 13D.</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are owned by LV LP. LSV Associates serves as the general partner of LV LP. Messrs. Carusi and Plain, and Ms. George, the individual managing directors of LSV Associates, share voting and dispositive power with respect to the shares held of record by LV LP, and may be deemed to own beneficially the shares held by LV LP.</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70"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Lightstone Ventures (A), L.P.</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Delaware, 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309,222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309,222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309,222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0.8%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7"/>
              </w:rPr>
              <w:t>PN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are owned by LV(A) LP. LSV Associates serves as the general partner of LV(A) LP. Messrs. Carusi and Plain, and Ms. George, the individual managing directors of LSV Associates, share voting and dispositive power with respect to the shares held of record by LV(A) LP, and may be deemed to own beneficially the shares held by LV(A) LP.</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70" w:right="3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LSV Associates, LLC</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Delaware, 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2,577,309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2,577,309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2,577,309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7.1%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OO</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jc w:val="both"/>
        <w:ind w:left="460" w:right="10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are owned as follows: (i) 2,268,087 by LV LP, and (ii) 309,222 by LV(A) LP. LSV Associates serves as the general partner of LV LP and LV(A) LP. Messrs. Carusi and Plain, and Ms. George, the individual managing directors of LSV Associates, share voting and dispositive power with respect to the shares held of record by LV LP and LV(A) LP, and may be deemed to own beneficially the shares held by LV LP and LV(A) LP.</w:t>
      </w:r>
    </w:p>
    <w:p>
      <w:pPr>
        <w:spacing w:after="0" w:line="1"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0"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Lightstone Ventures II, L.P.</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Delaware, 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2,023,469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2,023,469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2,023,469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5.5%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7"/>
              </w:rPr>
              <w:t>PN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jc w:val="both"/>
        <w:ind w:left="460" w:right="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are owned by LV II LP. LSV Associates II serves as the general partner of LV II LP. Messrs. Carusi, Plain and Lettmann, and Ms. George, the individual managing directors of LSV Associates II, share voting and dispositive power with respect to the shares held of record by LV II LP, and may be deemed to own beneficially the shares held by LV II LP.</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70"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Lightstone Ventures II (A), L.P.</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Delaware, 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120,212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120,212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120,212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0.3%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7"/>
              </w:rPr>
              <w:t>PN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are owned by LV II(A) LP. LSV Associates II serves as the general partner of LV II(A) LP. Messrs. Carusi, Plain and Lettmann, and Ms. George, the individual managing directors of LSV Associates II, share voting and dispositive power with respect to the shares held of record by LV II(A) LP, and may be deemed to own beneficially the shares held by LV II(A) LP.</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270" w:right="3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LSV Associates II, LLC</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Delaware, 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2,143,681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2,143,681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2,143,681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5.9%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2"/>
              </w:rPr>
              <w:t>OO</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are owned as follows: (i) 2,023,469 by LV II LP, and (ii) 120,212 by LV II(A) LP. LSV Associates II serves as the general partner of LV II LP and LV II(A) LP. Messrs. Carusi, Plain and Lettmann, and Ms. George, the individual managing directors of LSV Associates II, share voting and dispositive power with respect to the shares held of record by LV II LP and LV II(A) LP, and may be deemed to own beneficially the shares held by LV II LP and LV II(A) LP.</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70" w:right="3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4"/>
        </w:trPr>
        <w:tc>
          <w:tcPr>
            <w:tcW w:w="5640" w:type="dxa"/>
            <w:vAlign w:val="bottom"/>
            <w:gridSpan w:val="6"/>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Michael A. Carusi</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5"/>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12.9% (3)</w:t>
            </w: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IN</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shares are owned as follows: (i) 2,268,087 by LV LP, (ii) 309,222 by LV(A) LP, (iii) 2,023,469 by LV II LP, and (ii) 120,212 by LV II(A) LP. LSV Associates serves as the general partner of LV LP and LV(A) LP. LSV Associates II serves as the general partner of LV II LP and LV II(A) LP. Messrs. Carusi and Plain, and Ms. George, the individual managing directors of LSV Associates, share voting and dispositive power with respect to the shares held of record by LV LP and LV(A) LP, and may be deemed to own beneficially the shares held by LV LP and LV(A) LP. Messrs. Carusi, Plain and Lettmann, and Ms. George, the individual managing directors of LSV Associates II, share voting and dispositive power with respect to the shares held of record by LV II LP and LV II(A) LP, and may be deemed to own beneficially the shares held by LV II LP and LV II(A) LP.</w:t>
      </w:r>
    </w:p>
    <w:p>
      <w:pPr>
        <w:spacing w:after="0" w:line="3"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270" w:right="3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4"/>
        </w:trPr>
        <w:tc>
          <w:tcPr>
            <w:tcW w:w="5640" w:type="dxa"/>
            <w:vAlign w:val="bottom"/>
            <w:gridSpan w:val="6"/>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Jean M. George</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5"/>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12.9% (3)</w:t>
            </w: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IN</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shares are owned as follows: (i) 2,268,087 by LV LP, (ii) 309,222 by LV(A) LP, (iii) 2,023,469 by LV II LP, and (ii) 120,212 by LV II(A) LP. LSV Associates serves as the general partner of LV LP and LV(A) LP. LSV Associates II serves as the general partner of LV II LP and LV II(A) LP. Messrs. Carusi and Plain, and Ms. George, the individual managing directors of LSV Associates, share voting and dispositive power with respect to the shares held of record by LV LP and LV(A) LP, and may be deemed to own beneficially the shares held by LV LP and LV(A) LP. Messrs. Carusi, Plain and Lettmann, and Ms. George, the individual managing directors of LSV Associates II, share voting and dispositive power with respect to the shares held of record by LV II LP and LV II(A) LP, and may be deemed to own beneficially the shares held by LV II LP and LV II(A) LP.</w:t>
      </w:r>
    </w:p>
    <w:p>
      <w:pPr>
        <w:spacing w:after="0" w:line="3"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320" w:top="270" w:right="3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4"/>
        </w:trPr>
        <w:tc>
          <w:tcPr>
            <w:tcW w:w="5640" w:type="dxa"/>
            <w:vAlign w:val="bottom"/>
            <w:gridSpan w:val="6"/>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Henry A. Plain, Jr.</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0</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4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5"/>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4,720,990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12.9% (3)</w:t>
            </w: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IN</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shares are owned as follows: (i) 2,268,087 by LV LP, (ii) 309,222 by LV(A) LP, (iii) 2,023,469 by LV II LP, and (ii) 120,212 by LV II(A) LP. LSV Associates serves as the general partner of LV LP and LV(A) LP. LSV Associates II serves as the general partner of LV II LP and LV II(A) LP. Messrs. Carusi and Plain, and Ms. George, the individual managing directors of LSV Associates, share voting and dispositive power with respect to the shares held of record by LV LP and LV(A) LP, and may be deemed to own beneficially the shares held by LV LP and LV(A) LP. Messrs. Carusi, Plain and Lettmann, and Ms. George, the individual managing directors of LSV Associates II, share voting and dispositive power with respect to the shares held of record by LV II LP and LV II(A) LP, and may be deemed to own beneficially the shares held by LV II LP and LV II(A) LP.</w:t>
      </w:r>
    </w:p>
    <w:p>
      <w:pPr>
        <w:spacing w:after="0" w:line="3" w:lineRule="exact"/>
        <w:rPr>
          <w:rFonts w:ascii="Arial" w:cs="Arial" w:eastAsia="Arial" w:hAnsi="Arial"/>
          <w:sz w:val="16"/>
          <w:szCs w:val="16"/>
          <w:color w:val="auto"/>
        </w:rPr>
      </w:pPr>
    </w:p>
    <w:p>
      <w:pPr>
        <w:ind w:left="460" w:right="1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70" w:right="31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4"/>
        </w:trPr>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CUSIP No. 00166B 10 5</w:t>
            </w:r>
          </w:p>
        </w:tc>
        <w:tc>
          <w:tcPr>
            <w:tcW w:w="5620" w:type="dxa"/>
            <w:vAlign w:val="bottom"/>
          </w:tcPr>
          <w:p>
            <w:pPr>
              <w:ind w:left="8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gridSpan w:val="2"/>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Name of Reporting Persons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Jason W. Lettmann</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20"/>
                <w:szCs w:val="20"/>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w w:val="92"/>
              </w:rPr>
              <w:t>Check the Appropriate Box if a Member of a Group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9"/>
              </w:rPr>
              <w:t>(b)</w:t>
            </w:r>
          </w:p>
        </w:tc>
        <w:tc>
          <w:tcPr>
            <w:tcW w:w="4060" w:type="dxa"/>
            <w:vAlign w:val="bottom"/>
            <w:tcBorders>
              <w:bottom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gridSpan w:val="2"/>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WC</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51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United States of America</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Sole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107,220 shares of Common Stock</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Shared Voting Power</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2,143,681 shares of Common Stock (2)</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vMerge w:val="continue"/>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406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107,220 shares of Common Stock</w:t>
            </w:r>
          </w:p>
        </w:tc>
        <w:tc>
          <w:tcPr>
            <w:tcW w:w="5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tcBorders>
          </w:tcPr>
          <w:p>
            <w:pPr>
              <w:spacing w:after="0"/>
              <w:rPr>
                <w:sz w:val="5"/>
                <w:szCs w:val="5"/>
                <w:color w:val="auto"/>
              </w:rPr>
            </w:pPr>
          </w:p>
        </w:tc>
        <w:tc>
          <w:tcPr>
            <w:tcW w:w="6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5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5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5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2,143,681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20" w:type="dxa"/>
            <w:vAlign w:val="bottom"/>
            <w:gridSpan w:val="6"/>
          </w:tcPr>
          <w:p>
            <w:pPr>
              <w:ind w:left="80"/>
              <w:spacing w:after="0"/>
              <w:rPr>
                <w:sz w:val="20"/>
                <w:szCs w:val="20"/>
                <w:color w:val="auto"/>
              </w:rPr>
            </w:pPr>
            <w:r>
              <w:rPr>
                <w:rFonts w:ascii="Arial" w:cs="Arial" w:eastAsia="Arial" w:hAnsi="Arial"/>
                <w:sz w:val="18"/>
                <w:szCs w:val="18"/>
                <w:color w:val="auto"/>
                <w:w w:val="97"/>
              </w:rPr>
              <w:t>Aggregate Amount Beneficially Owned by Each Reporting Person</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2,250,901 shares of Common Stock (2)</w:t>
            </w: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80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5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6.2% (3)</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51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5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9"/>
              </w:rPr>
              <w:t>IN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are owned as follows: (i) 2,023,469 by LV II LP, and (ii) 120,212 by LV II(A) LP. LSV Associates II serves as the general partner of LV II LP and LV II(A) LP. Messrs. Carusi, Plain and Lettmann, and Ms. George, the individual managing directors of LSV Associates II, share voting and dispositive power with respect to the shares held of record by LV II LP and LV II(A) LP, and may be deemed to own beneficially the shares held by LV II LP and LV II(A) LP.</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320" w:top="270"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constitutes the Schedule 13D filed by the undersigned (the “Schedule 13D”). This Schedule 13D is being filed by the Reporting Persons (as defined below) to report the acquisition of shares of Common Stock (as defined below) of the Issuer (as defined below) on July 21, 2020 as described in Item 3 below.</w:t>
      </w:r>
    </w:p>
    <w:p>
      <w:pPr>
        <w:spacing w:after="0" w:line="3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35" w:lineRule="exact"/>
        <w:rPr>
          <w:sz w:val="20"/>
          <w:szCs w:val="20"/>
          <w:color w:val="auto"/>
        </w:rPr>
      </w:pPr>
    </w:p>
    <w:p>
      <w:pPr>
        <w:ind w:left="1000" w:right="280" w:hanging="547"/>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statement on Schedule 13D relates to the common stock, par value $0.001 per share (“Common Stock”) of ALX Oncology Holdings Inc., a Delaware corporation (the “Issuer”).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executive offices of the Issuer are located at 866 Malcolm Road, Suite 100, Burlingame, California 94010.</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35" w:lineRule="exact"/>
        <w:rPr>
          <w:sz w:val="20"/>
          <w:szCs w:val="20"/>
          <w:color w:val="auto"/>
        </w:rPr>
      </w:pPr>
    </w:p>
    <w:p>
      <w:pPr>
        <w:ind w:left="1000" w:right="160" w:hanging="547"/>
        <w:spacing w:after="0" w:line="25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persons and entities filing this statement are Lightstone Ventures, L.P. (“LV LP”), Lightstone Ventures (A), L.P. (“LV(A) LP”), LSV Associates, LLC (“LSV Associates”), Lightstone Ventures II, LP (“LV II LP”), Lightstone Ventures II (A), LP (“LV II(A) LP” and together with LV LP, LV(A) LP and LV II LP, the “LV Funds”) and LSV Associates II, LLC (“LSV Associates II,” together with LV LP, LV(A) LP, LSV Associates, LV II LP and LV II(A) LP, the “LV Entities”), Michael A. Carusi, Jean M. George, Henry A. Plain, Jr. and Jason W. Lettmann. Together with the LV Entities, Messrs. Carusi, Plain and Lettmann, and Ms. George are herein collectively referred to as the “Reporting Persons”).</w:t>
      </w:r>
    </w:p>
    <w:p>
      <w:pPr>
        <w:spacing w:after="0" w:line="97"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address of the principal place of business of each of the Reporting Persons is 500 Boylston St., Suite 1380, Boston, MA 02116.</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business of each of the Reporting Persons is the venture capital investment business.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the Listed Persons (as defined below) has been convicted in any criminal proceeding (excluding traffic violations or similar misdemeanors).</w:t>
      </w:r>
    </w:p>
    <w:p>
      <w:pPr>
        <w:spacing w:after="0" w:line="75" w:lineRule="exact"/>
        <w:rPr>
          <w:rFonts w:ascii="Arial" w:cs="Arial" w:eastAsia="Arial" w:hAnsi="Arial"/>
          <w:sz w:val="18"/>
          <w:szCs w:val="18"/>
          <w:color w:val="auto"/>
        </w:rPr>
      </w:pPr>
    </w:p>
    <w:p>
      <w:pPr>
        <w:ind w:left="1000" w:right="200" w:hanging="547"/>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the Listed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Listed Persons are United States citizens; the LV Entities are organized in Delaware, United States of America.</w:t>
      </w:r>
    </w:p>
    <w:p>
      <w:pPr>
        <w:spacing w:after="0" w:line="225"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In accordance with the provisions of General Instruction C to Schedule 13D, information concerning the managing directors controlling LSV Associates and LSV Associates II (the “Listed Persons”) required by Item 2 of Schedule 13D is listed on Schedule 1 hereto and is incorporated by reference herein.</w:t>
      </w:r>
    </w:p>
    <w:p>
      <w:pPr>
        <w:spacing w:after="0" w:line="2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the date hereof, the Reporting Persons may be deemed to beneficially own an aggregate of 4,828,210 shares of Common Stock, consisting of (i) 2,268,087 by LV LP, (ii) 309,222 by LV(A) LP, (iii) 2,023,469 by LV II LP, and (ii) 120,212 by LV II(A) LP, and 107,220 held by Lettmann. LV II LP and LV II(A) LP purchased 378,000 and 22,000 shares of Common Stock in the Issuer’s initial public offering of Common Stock (the “Offering”) at the public offering price of $19.00 per share. The Offering closed on July 21, 2020. The 400,000 shares of Common Stock acquired by LV II LP and LV II(A) LP in the Offering were purchased for an aggregate purchase price of $7.6 million. The funds used by LV LP, LV(A) LP, LV II LP and LV II(A) LP to acquire the securities described herein were obtained from capital contributions by their partners and from direct capital commitments by the LV Entities.</w:t>
      </w:r>
    </w:p>
    <w:p>
      <w:pPr>
        <w:spacing w:after="0" w:line="30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Each of the Reporting Persons reserve the right to increase or decrease its holdings on such terms and at such times as each may decide</w:t>
      </w:r>
      <w:r>
        <w:rPr>
          <w:rFonts w:ascii="Arial" w:cs="Arial" w:eastAsia="Arial" w:hAnsi="Arial"/>
          <w:sz w:val="17"/>
          <w:szCs w:val="17"/>
          <w:b w:val="1"/>
          <w:bCs w:val="1"/>
          <w:color w:val="auto"/>
        </w:rPr>
        <w: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0" w:right="379" w:bottom="1440" w:gutter="0" w:footer="0" w:header="0"/>
        </w:sectPr>
      </w:pPr>
    </w:p>
    <w:bookmarkStart w:id="12" w:name="page13"/>
    <w:bookmarkEnd w:id="12"/>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set forth in this Item 4 and Item 6 below, none of the Reporting Persons have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Mr. Lettmann serves on the Issuer’s Board of Directors.</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(a)(b) The following information with respect to the ownership of the Common Stock of the Issuer by the Reporting Persons filing this Statement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Schedule 13D is provided as of the date of this filing: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420" w:type="dxa"/>
            <w:vAlign w:val="bottom"/>
          </w:tcPr>
          <w:p>
            <w:pPr>
              <w:jc w:val="center"/>
              <w:ind w:left="1314"/>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Sole</w:t>
            </w: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Shared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Shared</w:t>
            </w: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Beneficial</w:t>
            </w:r>
          </w:p>
        </w:tc>
        <w:tc>
          <w:tcPr>
            <w:tcW w:w="9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20" w:type="dxa"/>
            <w:vAlign w:val="bottom"/>
          </w:tcPr>
          <w:p>
            <w:pPr>
              <w:jc w:val="center"/>
              <w:ind w:left="1314"/>
              <w:spacing w:after="0" w:line="149" w:lineRule="exact"/>
              <w:rPr>
                <w:sz w:val="20"/>
                <w:szCs w:val="20"/>
                <w:color w:val="auto"/>
              </w:rPr>
            </w:pPr>
            <w:r>
              <w:rPr>
                <w:rFonts w:ascii="Arial" w:cs="Arial" w:eastAsia="Arial" w:hAnsi="Arial"/>
                <w:sz w:val="14"/>
                <w:szCs w:val="14"/>
                <w:b w:val="1"/>
                <w:bCs w:val="1"/>
                <w:color w:val="auto"/>
                <w:w w:val="98"/>
              </w:rPr>
              <w:t>Held</w:t>
            </w:r>
          </w:p>
        </w:tc>
        <w:tc>
          <w:tcPr>
            <w:tcW w:w="94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Voting</w:t>
            </w:r>
          </w:p>
        </w:tc>
        <w:tc>
          <w:tcPr>
            <w:tcW w:w="94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Voting</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Dispositive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Dispositive</w:t>
            </w:r>
          </w:p>
        </w:tc>
        <w:tc>
          <w:tcPr>
            <w:tcW w:w="9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Arial" w:cs="Arial" w:eastAsia="Arial" w:hAnsi="Arial"/>
                <w:sz w:val="14"/>
                <w:szCs w:val="14"/>
                <w:b w:val="1"/>
                <w:bCs w:val="1"/>
                <w:color w:val="auto"/>
              </w:rPr>
              <w:t>Reporting Persons</w:t>
            </w:r>
          </w:p>
        </w:tc>
        <w:tc>
          <w:tcPr>
            <w:tcW w:w="2420" w:type="dxa"/>
            <w:vAlign w:val="bottom"/>
          </w:tcPr>
          <w:p>
            <w:pPr>
              <w:jc w:val="center"/>
              <w:ind w:left="1314"/>
              <w:spacing w:after="0"/>
              <w:rPr>
                <w:sz w:val="20"/>
                <w:szCs w:val="20"/>
                <w:color w:val="auto"/>
              </w:rPr>
            </w:pPr>
            <w:r>
              <w:rPr>
                <w:rFonts w:ascii="Arial" w:cs="Arial" w:eastAsia="Arial" w:hAnsi="Arial"/>
                <w:sz w:val="14"/>
                <w:szCs w:val="14"/>
                <w:b w:val="1"/>
                <w:bCs w:val="1"/>
                <w:color w:val="auto"/>
                <w:w w:val="96"/>
              </w:rPr>
              <w:t>Directly (1)</w:t>
            </w: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Power</w:t>
            </w: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Power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Power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Power</w:t>
            </w: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rPr>
              <w:t>Ownership</w:t>
            </w:r>
          </w:p>
        </w:tc>
        <w:tc>
          <w:tcPr>
            <w:tcW w:w="980" w:type="dxa"/>
            <w:vAlign w:val="bottom"/>
          </w:tcPr>
          <w:p>
            <w:pPr>
              <w:jc w:val="right"/>
              <w:ind w:right="113"/>
              <w:spacing w:after="0"/>
              <w:rPr>
                <w:sz w:val="20"/>
                <w:szCs w:val="20"/>
                <w:color w:val="auto"/>
              </w:rPr>
            </w:pPr>
            <w:r>
              <w:rPr>
                <w:rFonts w:ascii="Arial" w:cs="Arial" w:eastAsia="Arial" w:hAnsi="Arial"/>
                <w:sz w:val="14"/>
                <w:szCs w:val="14"/>
                <w:b w:val="1"/>
                <w:bCs w:val="1"/>
                <w:color w:val="auto"/>
              </w:rPr>
              <w:t>of Class (3)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LV LP</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2,268,087</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2,268,087</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2,268,087</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LV(A) LP</w:t>
            </w:r>
          </w:p>
        </w:tc>
        <w:tc>
          <w:tcPr>
            <w:tcW w:w="2420" w:type="dxa"/>
            <w:vAlign w:val="bottom"/>
          </w:tcPr>
          <w:p>
            <w:pPr>
              <w:jc w:val="right"/>
              <w:ind w:right="34"/>
              <w:spacing w:after="0"/>
              <w:rPr>
                <w:sz w:val="20"/>
                <w:szCs w:val="20"/>
                <w:color w:val="auto"/>
              </w:rPr>
            </w:pPr>
            <w:r>
              <w:rPr>
                <w:rFonts w:ascii="Arial" w:cs="Arial" w:eastAsia="Arial" w:hAnsi="Arial"/>
                <w:sz w:val="18"/>
                <w:szCs w:val="18"/>
                <w:color w:val="auto"/>
              </w:rPr>
              <w:t>309,222</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309,222</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309,222</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309,222</w:t>
            </w: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LSV Associates (2)</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2,577,309</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2,577,309</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2,577,309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LV II LP</w:t>
            </w:r>
          </w:p>
        </w:tc>
        <w:tc>
          <w:tcPr>
            <w:tcW w:w="2420" w:type="dxa"/>
            <w:vAlign w:val="bottom"/>
          </w:tcPr>
          <w:p>
            <w:pPr>
              <w:jc w:val="right"/>
              <w:ind w:right="34"/>
              <w:spacing w:after="0"/>
              <w:rPr>
                <w:sz w:val="20"/>
                <w:szCs w:val="20"/>
                <w:color w:val="auto"/>
              </w:rPr>
            </w:pPr>
            <w:r>
              <w:rPr>
                <w:rFonts w:ascii="Arial" w:cs="Arial" w:eastAsia="Arial" w:hAnsi="Arial"/>
                <w:sz w:val="18"/>
                <w:szCs w:val="18"/>
                <w:color w:val="auto"/>
              </w:rPr>
              <w:t>2,023,469</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99"/>
              </w:rPr>
              <w:t>2,023,469</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2,023,469</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2,023,469</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LV II(A) LP</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120,212</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120,212</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120,212</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LSV Associates II (2)</w:t>
            </w:r>
          </w:p>
        </w:tc>
        <w:tc>
          <w:tcPr>
            <w:tcW w:w="242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99"/>
              </w:rPr>
              <w:t>2,143,681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2,143,681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2,143,681</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Michael A. Carusi</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4,720,990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4,720,990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4,720,990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Jean M. George</w:t>
            </w:r>
          </w:p>
        </w:tc>
        <w:tc>
          <w:tcPr>
            <w:tcW w:w="242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4,720,990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4,720,990</w:t>
            </w:r>
          </w:p>
        </w:tc>
        <w:tc>
          <w:tcPr>
            <w:tcW w:w="920" w:type="dxa"/>
            <w:vAlign w:val="bottom"/>
          </w:tcPr>
          <w:p>
            <w:pPr>
              <w:jc w:val="right"/>
              <w:spacing w:after="0"/>
              <w:rPr>
                <w:sz w:val="20"/>
                <w:szCs w:val="20"/>
                <w:color w:val="auto"/>
              </w:rPr>
            </w:pPr>
            <w:r>
              <w:rPr>
                <w:rFonts w:ascii="Arial" w:cs="Arial" w:eastAsia="Arial" w:hAnsi="Arial"/>
                <w:sz w:val="18"/>
                <w:szCs w:val="18"/>
                <w:color w:val="auto"/>
              </w:rPr>
              <w:t>4,720,990</w:t>
            </w: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Henry A. Plain, Jr.</w:t>
            </w:r>
          </w:p>
        </w:tc>
        <w:tc>
          <w:tcPr>
            <w:tcW w:w="2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4,720,990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4,720,990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4,720,990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Jason W. Lettmann</w:t>
            </w:r>
          </w:p>
        </w:tc>
        <w:tc>
          <w:tcPr>
            <w:tcW w:w="2420" w:type="dxa"/>
            <w:vAlign w:val="bottom"/>
          </w:tcPr>
          <w:p>
            <w:pPr>
              <w:jc w:val="right"/>
              <w:ind w:right="34"/>
              <w:spacing w:after="0"/>
              <w:rPr>
                <w:sz w:val="20"/>
                <w:szCs w:val="20"/>
                <w:color w:val="auto"/>
              </w:rPr>
            </w:pPr>
            <w:r>
              <w:rPr>
                <w:rFonts w:ascii="Arial" w:cs="Arial" w:eastAsia="Arial" w:hAnsi="Arial"/>
                <w:sz w:val="18"/>
                <w:szCs w:val="18"/>
                <w:color w:val="auto"/>
              </w:rPr>
              <w:t>107,220</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107,220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2,143,681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107,220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2,143,681</w:t>
            </w:r>
          </w:p>
        </w:tc>
        <w:tc>
          <w:tcPr>
            <w:tcW w:w="920" w:type="dxa"/>
            <w:vAlign w:val="bottom"/>
          </w:tcPr>
          <w:p>
            <w:pPr>
              <w:jc w:val="right"/>
              <w:spacing w:after="0"/>
              <w:rPr>
                <w:sz w:val="20"/>
                <w:szCs w:val="20"/>
                <w:color w:val="auto"/>
              </w:rPr>
            </w:pPr>
            <w:r>
              <w:rPr>
                <w:rFonts w:ascii="Arial" w:cs="Arial" w:eastAsia="Arial" w:hAnsi="Arial"/>
                <w:sz w:val="18"/>
                <w:szCs w:val="18"/>
                <w:color w:val="auto"/>
              </w:rPr>
              <w:t>2,250,901</w:t>
            </w: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number of shares of Common Stock currently underlying all Securities held by the Reporting Persons.</w:t>
      </w:r>
    </w:p>
    <w:p>
      <w:pPr>
        <w:spacing w:after="0" w:line="23" w:lineRule="exact"/>
        <w:rPr>
          <w:rFonts w:ascii="Arial" w:cs="Arial" w:eastAsia="Arial" w:hAnsi="Arial"/>
          <w:sz w:val="18"/>
          <w:szCs w:val="18"/>
          <w:color w:val="auto"/>
        </w:rPr>
      </w:pPr>
    </w:p>
    <w:p>
      <w:pPr>
        <w:jc w:val="both"/>
        <w:ind w:left="460" w:right="10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LSV Associates serves as the general partner of LV LP and LV(A) LP. LSV Associates II serves as the general partner of LV II LP and LV II(A) LP. Messrs. Carusi and Plain, and Ms. George, the individual managing directors of LSV Associates, share voting and dispositive power with respect to the shares held of record by LV LP and LV(A) LP, and may be deemed to own beneficially the shares held by LV LP and LV(A) LP. Messrs. Carusi, Plain and Lettmann, and Ms. George, the individual managing directors of LSV Associates II, share voting and dispositive power with respect to the shares held of record by LV II LP and LV II(A) LP, and may be deemed to own beneficially the shares held by LV II LP and LV II(A) LP. Messrs.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Carusi and Plain, and Ms. George own no securities of the Issuer directly as of the date of this filing.</w:t>
      </w:r>
    </w:p>
    <w:p>
      <w:pPr>
        <w:spacing w:after="0" w:line="9"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36,486,553 shares of the Issuer’s Common Stock outstanding, as disclosed in the Issuer’s final prospectus dated July 16, 2020, as filed with the SEC on July 17, 2020, including the underwriters’ exercise in full of their over-allotment option.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information provided in Item 3 is hereby incorporated by reference.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LV Funds and certain other stockholders of the Issuer entered into an amended and restated investors’ rights agreement with the Issuer (the “Investors’ Rights Agreement”), dated as of April 1, 2020. Pursuant to the Investors’ Rights Agreement and subject to the terms and conditions therein, such persons have certain registration rights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holders, including the LV Funds, of an aggregate of 24,039,473 shares of Common Stock have certain demand registration rights. At any time beginning 180 days after July 16, 2020 and before the three-year anniversary of the date of the Investors’ Rights Agreement, the holders of at least 50% of the shares in the aggregate may request that the Issuer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 Registration Rights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holders, including the LV Funds, of an aggregate of 24,039,473 shares of Common Stock have certain Form S-3 registration rights. At any time when the Issuer is eligible to file a registration statement on Form S-3, the holders of at least 10% of these shares can make a request that the Issuer register their shares on Form S-3 if such request covers shares with an anticipated aggregate public offering price, net of underwriting discounts and expenses, of at least $1.0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holders, including the LV Funds, of an aggregate of 24,039,473 shares of Common Stock have certain “piggyback” registration rights. In the event that the Issuer registers any of its securities under the Securities Act, either for its own account or for the account of other security holders, the holders of these shares, including the Reporting Persons, will be entitled to certain piggyback registration rights allowing the holder to include their shares in such registration, subject to certain marketing and other limitations.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Investors’ Rights Agreement contains customary cross-indemnification provisions, under which the Issuer is obligated to indemnify holders of registrable securities in the event of material misstatements or omissions in the registration statement attributable to the Issuer, and they are obligated to indemnify the Issuer for material misstatements or omissions attributable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Issuer will pay the registration expenses, other than underwriting discounts and commissions, of the shares registered by the demand, Form S-3 and piggyback registrations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demand, Form S-3 and piggyback registration described above will expire upon the earliest of (1) the fifth anniversary after the closing of the Offering,</w:t>
      </w:r>
    </w:p>
    <w:p>
      <w:pPr>
        <w:spacing w:after="0" w:line="46" w:lineRule="exact"/>
        <w:rPr>
          <w:sz w:val="20"/>
          <w:szCs w:val="20"/>
          <w:color w:val="auto"/>
        </w:rPr>
      </w:pPr>
    </w:p>
    <w:p>
      <w:pPr>
        <w:ind w:right="240" w:firstLine="8"/>
        <w:spacing w:after="0" w:line="323"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deemed liquidation event (as defined in the Issuer’s amended and restated certificate of incorporation, as presently in effect) and (3) such time after the completion of the Offering that such stockholder can sell all of its shares entitled to registration rights under Rule 144 of the Securities Act.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Offering, the Issuer’s directors and officers, including Mr. Lettmann, the Issuer’s executive officers and substantially all of the Issuer’s stockholders, including the LV Funds, entered into market lock-up agreements (the “Lock-up Agreements”) with the underwriters for the Offering, pursuant to which they agreed, subject to certain exceptions, not to dispose of or hedge any of their Common Stock or securities convertible into or exchangeable for shares of common stock during the period from July 16, 2020 continuing through the date 180 days thereafter, except with the prior consent of Jefferies LLC, Credit Suisse Securities (USA) LLC and Piper Sandler &amp; Co.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description of the Investors’ Rights Agreement and the Lock-Up Agreement does not purport to be complete and are qualified in their entirety by reference to the full text of the Investors’ Rights Agreement and Lock-Up Agreement, which are filed as Exhibits B and C and incorporated herein by reference.</w:t>
      </w:r>
    </w:p>
    <w:p>
      <w:pPr>
        <w:spacing w:after="0" w:line="3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35"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Agreement regarding filing of joint Schedule 13D.</w:t>
      </w:r>
    </w:p>
    <w:p>
      <w:pPr>
        <w:spacing w:after="0" w:line="130" w:lineRule="exact"/>
        <w:rPr>
          <w:rFonts w:ascii="Arial" w:cs="Arial" w:eastAsia="Arial" w:hAnsi="Arial"/>
          <w:sz w:val="18"/>
          <w:szCs w:val="18"/>
          <w:color w:val="auto"/>
        </w:rPr>
      </w:pPr>
    </w:p>
    <w:p>
      <w:pPr>
        <w:ind w:left="560" w:right="320" w:hanging="552"/>
        <w:spacing w:after="0" w:line="342"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Amended and Restated Investors’ Rights Agreement among the Issuer and certain of its stockholders, dated April 1, 2020 (incorporated by reference to Exhibit 4.1 to the Issuer’s Registration Statement on Form S-1 (No. 333-239490), filed with the SEC on June 26, 2020.</w:t>
      </w:r>
    </w:p>
    <w:p>
      <w:pPr>
        <w:spacing w:after="0" w:line="29" w:lineRule="exact"/>
        <w:rPr>
          <w:rFonts w:ascii="Arial" w:cs="Arial" w:eastAsia="Arial" w:hAnsi="Arial"/>
          <w:sz w:val="16"/>
          <w:szCs w:val="16"/>
          <w:color w:val="auto"/>
        </w:rPr>
      </w:pPr>
    </w:p>
    <w:p>
      <w:pPr>
        <w:ind w:left="560" w:right="220" w:hanging="55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 of Lock-Up Agreement filed as Exhibit C to Exhibit 1.1 to Amendment No. 1 to the Issuer’s Registration Statement on Form S-1 (No. 333-239490), filed with the SEC on June 15, 2020.</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320" w:top="274" w:right="69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(A), L.P.</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LSV Associates, LLC</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03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LSV Associates,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(A), L.P.</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LSV Associates II, LLC</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03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LSV Associates II,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03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Michael A. Carusi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Jean M. George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Henry A. Plain,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Jason W. Lettmann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Attention: Intentional misstatements or omissions of fact</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constitute Federal criminal violations (See 18 U.S.C. 1001)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0" w:right="379" w:bottom="1440" w:gutter="0" w:footer="0" w:header="0"/>
        </w:sectPr>
      </w:pPr>
    </w:p>
    <w:bookmarkStart w:id="16" w:name="page17"/>
    <w:bookmarkEnd w:id="16"/>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 Carusi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LSV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Occupation: Managing Director of LSV Associates and LSV Associates 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Citizenship: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 M. George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LSV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Occupation: Managing Director of LSV Associates and LSV Associates 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Citizenship: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A. Plain, Jr.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LSV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Occupation: Managing Director of LSV Associates and LSV Associates 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Citizenship: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Jason W. Lettmann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LSV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2884 Sand Hill Road, Suite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Occupation: Managing Director of LSV Associates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Citizenship: United States of America</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139"/>
          </w:cols>
          <w:pgMar w:left="320" w:top="270" w:right="1440" w:bottom="1440" w:gutter="0" w:footer="0" w:header="0"/>
        </w:sectPr>
      </w:pPr>
    </w:p>
    <w:bookmarkStart w:id="17" w:name="page18"/>
    <w:bookmarkEnd w:id="17"/>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37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Agreement regarding filing of joint Schedule 13D</w:t>
        </w:r>
      </w:hyperlink>
    </w:p>
    <w:p>
      <w:pPr>
        <w:spacing w:after="0" w:line="200" w:lineRule="exact"/>
        <w:rPr>
          <w:sz w:val="20"/>
          <w:szCs w:val="20"/>
          <w:color w:val="auto"/>
        </w:rPr>
      </w:pP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39"/>
          </w:cols>
          <w:pgMar w:left="320" w:top="270"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 the undersigned, hereby express my agreement that the attached Schedule 13D (and any amendments thereto) relating to the Common Stock of ALX Oncology Holdings Inc. is filed on behalf of each of the undersigned.</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(A), L.P.</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LSV Associates, LLC</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LSV Associates,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(A), L.P.</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LSV Associates II, LLC</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LSV Associates II,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37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Travis Boettner, 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Michael A. Carusi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Jean M. George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Henry A. Plain,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Travis Boettner, Attorney-in-Fact for Jason W. Lettmann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1."/>
      <w:numFmt w:val="upperLetter"/>
      <w:start w:val="1"/>
    </w:lvl>
  </w:abstractNum>
  <w:abstractNum w:abstractNumId="16">
    <w:nsid w:val="25E45D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2020-07-31T05:59:37Z</dcterms:created>
  <dcterms:modified xsi:type="dcterms:W3CDTF">2020-07-31T05:59:37Z</dcterms:modified>
</cp:coreProperties>
</file>