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3"/>
                <w:szCs w:val="13"/>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1"/>
                <w:szCs w:val="21"/>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6"/>
                <w:szCs w:val="16"/>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26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Appointment of Chief Medical Officer</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2024, the Board of Directors (the “Board”) of ALX Oncology Holdings Inc. (the “Company”) appointed Alan Sandler, M.D., age 68, to the office of Chief Medical Officer to fill a recently created vacancy. Effective on the same date, Dr. Sandler resigned as a member of the Board and all committees thereof.</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Dr. Sandler’s biographical information, see the disclosure included in the Current Report on Form 8-K filed with the SEC by the Company on August 6, 2024, which disclosure is incorporated by reference herein.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are no arrangements or understandings between Dr. Sandler and any other persons pursuant to which he was appointed Chief Medical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Dr. Sandler and any director or executive officer of the Company.</w:t>
      </w:r>
    </w:p>
    <w:p>
      <w:pPr>
        <w:spacing w:after="0" w:line="9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appointment of Dr. Sandler as the Company’s Chief Medical Officer, the Company and Dr. Sandler entered into an employment offer letter. Dr. Sandler’s annual base salary will be $575,000, and he will receive a one-time signing bonus in an amount equal to $50,000, less any applicable withholdings. For 2025 and later years, Dr. Sandler will be eligible for an annual target cash bonus equal to 45% of his annual base salary based on achieving performance objectives established by the Board or the compensation committee of the Board. The employment letter also provides that he will be granted a stock option to purchase 700,000 shares of the Company’s common stock under the Company’s Amended and Restated 2020 Equity Incentive Plan (the “Plan”), with the option to purchase 100,000 of the 700,000 shares to be granted during 2025 as part of the Company’s annual refresh cycle.</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employment offer letter does not purport to be complete and is qualified in its entirety by reference to the full text of the employment offer letter, which the Company intends to file with the Securities and Exchange Commission as an exhibit to a subsequent periodic report.</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and Dr. Sandler entered into a change of control and severance agreement on the Company’s standard form, a copy of which has been filed as Exhibit 10.11 to the Company’s registration statement on Form S-1 (File No. 333-239490) on July 13, 2020.</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Dr. Sandler previously entered into an indemnification agreement on the Company’s standard form, a copy of which was filed as Exhibit 10.1 to the Company’s registration statement on Form S-1 (File No. 333-239490) on June 26, 2020.</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Arrangements Related to the Departure of Chief Financial Officer</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Peter Garcia resigned as Chief Financial Officer of the Company effective November 8, 2024, due to personal reasons. In connection with Mr. Garcia’s resignation, Mr. Garcia and the Company entered into a separation agreement on November 8, 2024. The separation agreement provides that Mr. Garcia be paid a single, lump sum, cash payment equal to $479,646, and for Company-paid premiums for COBRA coverage under the Company’s group health, dental and vision care plans for his and his eligible dependents for up to 12 months following his separation date. In addition, the separation agreement provides for the Company to cause his outstanding stock options and restricted stock units covering shares of the Company’s common stock that would otherwise vest in accordance with the terms of the Plan and the award agreements, absent a termination of employment, during the 12 month period immediately following his separation date to become fully vested and (as applicable) exercisable, and all stock options that are vested or may vest in connection with the separation shall be exercisable until February 8, 2026. Mr. Garcia will also remain eligible to receive certain additional severance benefits, which benefits are consistent with the additional benefits described in the change in control and severance agreement between the Company and Mr. Garcia dated July 9, 2020. In consideration for the compensation noted above, Mr. Garcia agreed to a customary general release of claims for the benefit of the Company.</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To facilitate an orderly transition from his position, Mr. Garcia and the Company entered into a consulting agreement in customary form that provides for Mr. Garcia to perform transition related consulting services for the Company on an as needed, hourly basis for up to 12 months following his separation date, subject to certain limitations.</w:t>
      </w:r>
    </w:p>
    <w:p>
      <w:pPr>
        <w:spacing w:after="0" w:line="68"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foregoing descriptions of the separation agreement does not purport to be complete and is qualified in its entirety by reference to the full text of the separation agreement, which the Company intends to file with the Securities and Exchange Commission as an exhibit to a subsequent periodic report.</w:t>
      </w:r>
    </w:p>
    <w:p>
      <w:pPr>
        <w:spacing w:after="0" w:line="14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RD Disclosure.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November 14, 2024, the Company issued a press release announcing the appointment of Dr. Sandler as Chief Medical Officer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press release is furnished as Exhibit 99.1 to this Current Report on Form 8-K.</w:t>
      </w:r>
    </w:p>
    <w:p>
      <w:pPr>
        <w:spacing w:after="0" w:line="9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3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Dr. Sandler’s resignation from the Board, the Board reduced its size to four directors, of which three are considered independent directors. On November 10, 2024, the Board approved the composition of committees of the Board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Audit Committee: Rekha Hemrajani, Chair; Scott Garland; Corey Goodman, Ph.D.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Committee: Corey Goodman, Ph.D., Chair; Scott Garland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Corporate Governance and Nominating Committee: Scott Garland, Chair; Corey Goodman, Ph.D.; Rekha Hemrajani</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appointing Dr. Goodman to the Audit Committee, the Board determined that Dr. Goodman qualifies as independent under the director independence standards set forth in the rules and regulations of the Securities and Exchange Commission and the applicable listing standards of the Nasdaq Stock Market. Dr. Goodman also satisfies the additional requirements of financial literacy and audit committee independence for audit committee service under the applicable rules and regulations of the SEC and the listing standards of Nasdaq.</w:t>
      </w:r>
    </w:p>
    <w:p>
      <w:pPr>
        <w:spacing w:after="0" w:line="29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14, 2024</w:t>
            </w:r>
          </w:p>
        </w:tc>
        <w:tc>
          <w:tcPr>
            <w:tcW w:w="20" w:type="dxa"/>
            <w:vAlign w:val="bottom"/>
            <w:tcBorders>
              <w:bottom w:val="single" w:sz="8" w:color="0000EE"/>
            </w:tcBorders>
          </w:tcPr>
          <w:p>
            <w:pPr>
              <w:spacing w:after="0"/>
              <w:rPr>
                <w:sz w:val="24"/>
                <w:szCs w:val="24"/>
                <w:color w:val="auto"/>
              </w:rPr>
            </w:pPr>
          </w:p>
        </w:tc>
        <w:tc>
          <w:tcPr>
            <w:tcW w:w="7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2"/>
        </w:trPr>
        <w:tc>
          <w:tcPr>
            <w:tcW w:w="800" w:type="dxa"/>
            <w:vAlign w:val="bottom"/>
          </w:tcPr>
          <w:p>
            <w:pPr>
              <w:spacing w:after="0"/>
              <w:rPr>
                <w:sz w:val="24"/>
                <w:szCs w:val="24"/>
                <w:color w:val="auto"/>
              </w:rPr>
            </w:pPr>
          </w:p>
        </w:tc>
        <w:tc>
          <w:tcPr>
            <w:tcW w:w="10440" w:type="dxa"/>
            <w:vAlign w:val="bottom"/>
            <w:gridSpan w:val="5"/>
          </w:tcPr>
          <w:p>
            <w:pPr>
              <w:jc w:val="right"/>
              <w:ind w:right="5508"/>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181737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ALX Oncology Appoints Alan Sandler, M.D., as Chief Medical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Sandler brings more than 30 years of experience as a distinguished leader in oncology and drug development</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November 14, 2024 -- </w:t>
      </w:r>
      <w:r>
        <w:rPr>
          <w:rFonts w:ascii="Times New Roman" w:cs="Times New Roman" w:eastAsia="Times New Roman" w:hAnsi="Times New Roman"/>
          <w:sz w:val="20"/>
          <w:szCs w:val="20"/>
          <w:color w:val="auto"/>
        </w:rPr>
        <w:t>ALX Oncology Holdings Inc., (“ALX Oncology” or “the Company”) (Nasdaq:</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ALXO), a clinical-stage biotechnology company advancing therapies that boost the immune system to treat cancer in new ways and extend patients’ lives, announced today the appointment of Alan Sandler, M.D., as Chief Medical Officer.</w:t>
      </w:r>
    </w:p>
    <w:p>
      <w:pPr>
        <w:spacing w:after="0" w:line="18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“Dr. Sandler’s breadth of experience and demonstrated leadership capabilities across oncology and drug development, as well as his in-depth knowledge of ALX Oncology while he was a member of our Board, will be instrumental in helping us achieve our near- and longer-term objectives,” said Jason Lettmann, Chief Executive Officer at ALX Oncology. “He is the ideal leader to advance the clinical development of evorpacept, our investigational lead compound, into late-stage clinical trials. We are thrilled to have him join our accomplished leadership team as we look towards 2025, which will be a transformational year for the company.”</w:t>
      </w:r>
    </w:p>
    <w:p>
      <w:pPr>
        <w:spacing w:after="0" w:line="1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Dr. Sandler’s expertise spans clinical development and operations, regulatory affairs, drug safety and development strategies. He previously held the position of Executive Vice President, Chief Medical Officer at Mirati Therapeutics, prior to its acquisition by Bristol Myers Squibb in early 2024. Before joining Mirati, Dr. Sandler was the President, Global Head of Development in Oncology at Zai Lab. Prior to that, he held roles of increasing responsibility at Genentech, a member of the Roche Group, where he ultimately served as Senior Vice President and Global Head, Product Development of Oncology Solid Tumors. Dr. Sandler’s academic positions include roles at Oregon Health and Science University, where he served as Professor of Medicine and Head of the Division of Hematology/Medical Oncology and Medical Lead of the Thoracic Oncology Program; Vanderbilt University as an Associate Professor of Medicine and Indiana University as Assistant Professor of Medicine.</w:t>
      </w:r>
    </w:p>
    <w:p>
      <w:pPr>
        <w:spacing w:after="0" w:line="203"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auto"/>
        </w:rPr>
        <w:t>“While I served as a member of ALX Oncology’s Board of Directors, I had the opportunity to observe firsthand both the company’s exceptional leadership team and the impressive clinical activity of evorpacept as an immuno-oncology agent capable of enhancing the efficacy of current and future cancer therapies,” said Dr. Sandler. “In my new role, I look forward to continuing the development of this investigational therapy with the vision to improve patient outcomes in a wide range of tumor types and treatment settings.”</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Dr. Sandler earned his M.D. from Rush Medical College and completed his training in internal medicine and fellowship in medical oncology at Yale-New Haven Medical Center. He has co-authored over 300 publications, including peer-reviewed articles, reviews, abstracts, and book chapters.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therapies that boost the immune system to treat cancer in new ways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More information is available at www.alxoncology.com and on LinkedIn @ALX Oncology.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 w:name="page6"/>
    <w:bookmarkEnd w:id="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Caitlyn Doherty, Manager, Corporate Communications, ALX Oncology</w:t>
      </w:r>
    </w:p>
    <w:p>
      <w:pPr>
        <w:spacing w:after="0"/>
        <w:rPr>
          <w:sz w:val="20"/>
          <w:szCs w:val="20"/>
          <w:color w:val="auto"/>
        </w:rPr>
      </w:pPr>
      <w:r>
        <w:rPr>
          <w:rFonts w:ascii="Times New Roman" w:cs="Times New Roman" w:eastAsia="Times New Roman" w:hAnsi="Times New Roman"/>
          <w:sz w:val="20"/>
          <w:szCs w:val="20"/>
          <w:color w:val="auto"/>
        </w:rPr>
        <w:t>cdoherty@alxoncology.com</w:t>
      </w:r>
    </w:p>
    <w:p>
      <w:pPr>
        <w:spacing w:after="0"/>
        <w:rPr>
          <w:sz w:val="20"/>
          <w:szCs w:val="20"/>
          <w:color w:val="auto"/>
        </w:rPr>
      </w:pPr>
      <w:r>
        <w:rPr>
          <w:rFonts w:ascii="Times New Roman" w:cs="Times New Roman" w:eastAsia="Times New Roman" w:hAnsi="Times New Roman"/>
          <w:sz w:val="20"/>
          <w:szCs w:val="20"/>
          <w:color w:val="auto"/>
        </w:rPr>
        <w:t>(650) 466-7125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Malini Chatterjee, Ph.D., Blueprint Life Science Group</w:t>
      </w:r>
    </w:p>
    <w:p>
      <w:pPr>
        <w:spacing w:after="0"/>
        <w:rPr>
          <w:sz w:val="20"/>
          <w:szCs w:val="20"/>
          <w:color w:val="auto"/>
        </w:rPr>
      </w:pPr>
      <w:r>
        <w:rPr>
          <w:rFonts w:ascii="Times New Roman" w:cs="Times New Roman" w:eastAsia="Times New Roman" w:hAnsi="Times New Roman"/>
          <w:sz w:val="20"/>
          <w:szCs w:val="20"/>
          <w:color w:val="auto"/>
        </w:rPr>
        <w:t>mchatterjee@bplifescience.com</w:t>
      </w:r>
    </w:p>
    <w:p>
      <w:pPr>
        <w:spacing w:after="0"/>
        <w:rPr>
          <w:sz w:val="20"/>
          <w:szCs w:val="20"/>
          <w:color w:val="auto"/>
        </w:rPr>
      </w:pPr>
      <w:r>
        <w:rPr>
          <w:rFonts w:ascii="Times New Roman" w:cs="Times New Roman" w:eastAsia="Times New Roman" w:hAnsi="Times New Roman"/>
          <w:sz w:val="20"/>
          <w:szCs w:val="20"/>
          <w:color w:val="auto"/>
        </w:rPr>
        <w:t>(917) 330-4269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Inc.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2024-11-14T07:11:55Z</dcterms:created>
  <dcterms:modified xsi:type="dcterms:W3CDTF">2024-11-14T07:11:55Z</dcterms:modified>
</cp:coreProperties>
</file>