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9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spacing w:after="0" w:line="265"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23"/>
          <w:szCs w:val="23"/>
          <w:color w:val="auto"/>
        </w:rPr>
        <w:t>☒</w:t>
      </w:r>
    </w:p>
    <w:p>
      <w:pPr>
        <w:spacing w:after="0" w:line="85" w:lineRule="exact"/>
        <w:rPr>
          <w:sz w:val="24"/>
          <w:szCs w:val="24"/>
          <w:color w:val="auto"/>
        </w:rPr>
      </w:pPr>
    </w:p>
    <w:p>
      <w:pPr>
        <w:spacing w:after="0" w:line="265"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23"/>
          <w:szCs w:val="23"/>
          <w:color w:val="auto"/>
        </w:rPr>
        <w: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2" w:lineRule="exact"/>
        <w:rPr>
          <w:sz w:val="24"/>
          <w:szCs w:val="24"/>
          <w:color w:val="auto"/>
        </w:rPr>
      </w:pPr>
    </w:p>
    <w:p>
      <w:pPr>
        <w:ind w:left="700" w:hanging="683"/>
        <w:spacing w:after="0"/>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Preliminary Proxy Statement</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7" w:lineRule="exact"/>
        <w:rPr>
          <w:sz w:val="24"/>
          <w:szCs w:val="24"/>
          <w:color w:val="auto"/>
        </w:rPr>
      </w:pPr>
    </w:p>
    <w:p>
      <w:pPr>
        <w:ind w:left="700" w:hanging="683"/>
        <w:spacing w:after="0"/>
        <w:tabs>
          <w:tab w:leader="none" w:pos="70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Proxy Statement</w:t>
      </w:r>
    </w:p>
    <w:p>
      <w:pPr>
        <w:spacing w:after="0" w:line="47" w:lineRule="exact"/>
        <w:rPr>
          <w:sz w:val="24"/>
          <w:szCs w:val="24"/>
          <w:color w:val="auto"/>
        </w:rPr>
      </w:pPr>
    </w:p>
    <w:p>
      <w:pPr>
        <w:ind w:left="700" w:hanging="683"/>
        <w:spacing w:after="0"/>
        <w:tabs>
          <w:tab w:leader="none" w:pos="700" w:val="left"/>
        </w:tabs>
        <w:numPr>
          <w:ilvl w:val="0"/>
          <w:numId w:val="3"/>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Additional Materials</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3"/>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Soliciting Material Pursuant to §240.14a-11(c) or §240.14a-2</w:t>
      </w:r>
    </w:p>
    <w:p>
      <w:pPr>
        <w:spacing w:after="0" w:line="16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ALX Oncology Holdings Inc.</w:t>
      </w:r>
    </w:p>
    <w:p>
      <w:pPr>
        <w:spacing w:after="0" w:line="4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2" w:lineRule="exact"/>
        <w:rPr>
          <w:sz w:val="24"/>
          <w:szCs w:val="24"/>
          <w:color w:val="auto"/>
        </w:rPr>
      </w:pPr>
    </w:p>
    <w:p>
      <w:pPr>
        <w:ind w:left="700" w:hanging="683"/>
        <w:spacing w:after="0"/>
        <w:tabs>
          <w:tab w:leader="none" w:pos="700" w:val="left"/>
        </w:tabs>
        <w:numPr>
          <w:ilvl w:val="0"/>
          <w:numId w:val="4"/>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700" w:hanging="683"/>
        <w:spacing w:after="0"/>
        <w:tabs>
          <w:tab w:leader="none" w:pos="700" w:val="left"/>
        </w:tabs>
        <w:numPr>
          <w:ilvl w:val="0"/>
          <w:numId w:val="5"/>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Fee paid previously with preliminary materials.</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5"/>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2925445</wp:posOffset>
            </wp:positionH>
            <wp:positionV relativeFrom="page">
              <wp:posOffset>911860</wp:posOffset>
            </wp:positionV>
            <wp:extent cx="1705610" cy="110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0561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Stockholder:</w:t>
      </w:r>
    </w:p>
    <w:p>
      <w:pPr>
        <w:spacing w:after="0" w:line="10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We are pleased to invite you to attend the 2025 Annual Meeting of Stockholders (the Annual Meeting) of ALX Oncology Holdings Inc. (ALX or the Company), which will be conducted via a live webcast on Wednesday, June 11, 2025 at 1:00 p.m. Pacific Time. The Annual Meeting will be held in a virtual format only. You will be able to attend the Annual Meeting by visiting www.virtualshareholdermeeting.com/ALXO2025, where you will be able to listen to the meeting live, submit questions and vote online by entering the control number located on your proxy card.</w:t>
      </w:r>
    </w:p>
    <w:p>
      <w:pPr>
        <w:spacing w:after="0" w:line="185"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attached Notice of Annual Meeting of Stockholders and Proxy Statement contain details of the business to be conducted at the Annual Meeting.</w:t>
      </w:r>
    </w:p>
    <w:p>
      <w:pPr>
        <w:spacing w:after="0" w:line="1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Whether or not you attend the virtual Annual Meeting,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the Company’s Board of Directors, we would like to thank you for your continued support of and interest in ALX.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69735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5918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151130</wp:posOffset>
            </wp:positionV>
            <wp:extent cx="214312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Corey Goodman, Ph.D.</w:t>
            </w:r>
          </w:p>
        </w:tc>
        <w:tc>
          <w:tcPr>
            <w:tcW w:w="700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Jason Lettmann</w:t>
            </w:r>
          </w:p>
        </w:tc>
      </w:tr>
      <w:tr>
        <w:trPr>
          <w:trHeight w:val="262"/>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Chairman of the Board of Directors</w:t>
            </w:r>
          </w:p>
        </w:tc>
        <w:tc>
          <w:tcPr>
            <w:tcW w:w="700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rPr>
              <w:t>Chief Executive Officer and Director</w:t>
            </w:r>
          </w:p>
        </w:tc>
      </w:tr>
      <w:tr>
        <w:trPr>
          <w:trHeight w:val="1621"/>
        </w:trPr>
        <w:tc>
          <w:tcPr>
            <w:tcW w:w="42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323 Allerton Avenue</w:t>
      </w:r>
    </w:p>
    <w:p>
      <w:pPr>
        <w:jc w:val="center"/>
        <w:spacing w:after="0"/>
        <w:rPr>
          <w:sz w:val="20"/>
          <w:szCs w:val="20"/>
          <w:color w:val="auto"/>
        </w:rPr>
      </w:pPr>
      <w:r>
        <w:rPr>
          <w:rFonts w:ascii="Times New Roman" w:cs="Times New Roman" w:eastAsia="Times New Roman" w:hAnsi="Times New Roman"/>
          <w:sz w:val="20"/>
          <w:szCs w:val="20"/>
          <w:b w:val="1"/>
          <w:bCs w:val="1"/>
          <w:color w:val="auto"/>
        </w:rPr>
        <w:t>South San Francisco, California 94080</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ectPr>
          <w:pgSz w:w="11900" w:h="16838" w:orient="portrait"/>
          <w:cols w:equalWidth="0" w:num="1">
            <w:col w:w="11240"/>
          </w:cols>
          <w:pgMar w:left="320" w:top="1409" w:right="339" w:bottom="1440" w:gutter="0" w:footer="0" w:header="0"/>
        </w:sectPr>
      </w:pP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June 11, 2025 at 1:00 p.m. Pacific Time</w:t>
      </w:r>
    </w:p>
    <w:p>
      <w:pPr>
        <w:spacing w:after="0" w:line="200" w:lineRule="exact"/>
        <w:rPr>
          <w:sz w:val="20"/>
          <w:szCs w:val="20"/>
          <w:color w:val="auto"/>
        </w:rPr>
      </w:pPr>
    </w:p>
    <w:p>
      <w:pPr>
        <w:sectPr>
          <w:pgSz w:w="11900" w:h="16838" w:orient="portrait"/>
          <w:cols w:equalWidth="0" w:num="2">
            <w:col w:w="1760" w:space="720"/>
            <w:col w:w="8760"/>
          </w:cols>
          <w:pgMar w:left="320" w:top="1409" w:right="339" w:bottom="144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stockholders, to be conducted via a live webcast. You will be able to attend the Annual Meeting virtually, submit questions and vote online during the meeting by visiting www.virtualshareholdermeeting.com/ALXO2025.</w:t>
      </w:r>
    </w:p>
    <w:p>
      <w:pPr>
        <w:spacing w:after="0" w:line="200" w:lineRule="exact"/>
        <w:rPr>
          <w:sz w:val="20"/>
          <w:szCs w:val="20"/>
          <w:color w:val="auto"/>
        </w:rPr>
      </w:pPr>
    </w:p>
    <w:p>
      <w:pPr>
        <w:sectPr>
          <w:pgSz w:w="11900" w:h="16838" w:orient="portrait"/>
          <w:cols w:equalWidth="0" w:num="2">
            <w:col w:w="1760" w:space="720"/>
            <w:col w:w="8760"/>
          </w:cols>
          <w:pgMar w:left="320" w:top="1409" w:right="339" w:bottom="1440" w:gutter="0" w:footer="0" w:header="0"/>
          <w:type w:val="continuous"/>
        </w:sectPr>
      </w:pP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elect two Class II directors to serve until the 2028 annual meeting of stockholders or until their successors are duly elected and qualified;</w:t>
      </w:r>
    </w:p>
    <w:p>
      <w:pPr>
        <w:spacing w:after="0" w:line="67" w:lineRule="exact"/>
        <w:rPr>
          <w:sz w:val="20"/>
          <w:szCs w:val="20"/>
          <w:color w:val="auto"/>
        </w:rPr>
      </w:pPr>
    </w:p>
    <w:p>
      <w:pPr>
        <w:sectPr>
          <w:pgSz w:w="11900" w:h="16838" w:orient="portrait"/>
          <w:cols w:equalWidth="0" w:num="3">
            <w:col w:w="1760" w:space="720"/>
            <w:col w:w="80" w:space="220"/>
            <w:col w:w="8460"/>
          </w:cols>
          <w:pgMar w:left="320" w:top="1409" w:right="33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To conduct an advisory vote to approve the compensation of our named executive officers (NEOs);</w:t>
      </w:r>
    </w:p>
    <w:p>
      <w:pPr>
        <w:spacing w:after="0" w:line="144" w:lineRule="exact"/>
        <w:rPr>
          <w:sz w:val="20"/>
          <w:szCs w:val="20"/>
          <w:color w:val="auto"/>
        </w:rPr>
      </w:pPr>
    </w:p>
    <w:p>
      <w:pPr>
        <w:sectPr>
          <w:pgSz w:w="11900" w:h="16838" w:orient="portrait"/>
          <w:cols w:equalWidth="0" w:num="2">
            <w:col w:w="2560" w:space="220"/>
            <w:col w:w="8460"/>
          </w:cols>
          <w:pgMar w:left="320" w:top="1409" w:right="33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December 31, 2025; and</w:t>
      </w:r>
    </w:p>
    <w:p>
      <w:pPr>
        <w:spacing w:after="0" w:line="67" w:lineRule="exact"/>
        <w:rPr>
          <w:sz w:val="20"/>
          <w:szCs w:val="20"/>
          <w:color w:val="auto"/>
        </w:rPr>
      </w:pPr>
    </w:p>
    <w:p>
      <w:pPr>
        <w:sectPr>
          <w:pgSz w:w="11900" w:h="16838" w:orient="portrait"/>
          <w:cols w:equalWidth="0" w:num="2">
            <w:col w:w="2560" w:space="220"/>
            <w:col w:w="8460"/>
          </w:cols>
          <w:pgMar w:left="320" w:top="1409" w:right="33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860"/>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00" w:lineRule="exact"/>
        <w:rPr>
          <w:sz w:val="20"/>
          <w:szCs w:val="20"/>
          <w:color w:val="auto"/>
        </w:rPr>
      </w:pPr>
    </w:p>
    <w:p>
      <w:pPr>
        <w:sectPr>
          <w:pgSz w:w="11900" w:h="16838" w:orient="portrait"/>
          <w:cols w:equalWidth="0" w:num="2">
            <w:col w:w="2560" w:space="220"/>
            <w:col w:w="8460"/>
          </w:cols>
          <w:pgMar w:left="320" w:top="1409" w:right="339" w:bottom="1440" w:gutter="0" w:footer="0" w:header="0"/>
          <w:type w:val="continuous"/>
        </w:sectPr>
      </w:pP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Tuesday, April 15, 2025 (the Record Date). Only stockholders of record at the close of business on the Record Date are entitled to receive notice of, and to vote at, the Annual Meeting.</w:t>
      </w:r>
    </w:p>
    <w:p>
      <w:pPr>
        <w:spacing w:after="0" w:line="200" w:lineRule="exact"/>
        <w:rPr>
          <w:sz w:val="20"/>
          <w:szCs w:val="20"/>
          <w:color w:val="auto"/>
        </w:rPr>
      </w:pPr>
    </w:p>
    <w:p>
      <w:pPr>
        <w:sectPr>
          <w:pgSz w:w="11900" w:h="16838" w:orient="portrait"/>
          <w:cols w:equalWidth="0" w:num="2">
            <w:col w:w="1760" w:space="720"/>
            <w:col w:w="8760"/>
          </w:cols>
          <w:pgMar w:left="320" w:top="1409" w:right="339" w:bottom="1440" w:gutter="0" w:footer="0" w:header="0"/>
          <w:type w:val="continuous"/>
        </w:sectPr>
      </w:pPr>
    </w:p>
    <w:p>
      <w:pPr>
        <w:spacing w:after="0" w:line="6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color w:val="auto"/>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7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Important Notice Regarding the Availability of Proxy Materials for the Annual Meeting to Be Held on June 11, 2025. </w:t>
      </w:r>
      <w:r>
        <w:rPr>
          <w:rFonts w:ascii="Times New Roman" w:cs="Times New Roman" w:eastAsia="Times New Roman" w:hAnsi="Times New Roman"/>
          <w:sz w:val="20"/>
          <w:szCs w:val="20"/>
          <w:color w:val="auto"/>
        </w:rPr>
        <w:t>Our proxy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and Annual Report to Stockholders are being made available on or about April 21, 2025 on our investor relations website at https://ir.alxoncology.com/ under “Financials &amp; Filings.” We are providing access to our proxy materials over the Internet under the rules adopted by the Securities and Exchange Commission.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82550</wp:posOffset>
            </wp:positionV>
            <wp:extent cx="1671320" cy="403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13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Jason Lettmann</w:t>
      </w:r>
    </w:p>
    <w:p>
      <w:pPr>
        <w:spacing w:after="0" w:line="10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Chief Executive Officer and Director</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color w:val="auto"/>
        </w:rPr>
        <w:t>South 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proxy statement is being mailed to stockholders on or about 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QUESTIONS AND ANSWERS ABOUT THE ANNUAL MEETING</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100" w:type="dxa"/>
            <w:vAlign w:val="bottom"/>
            <w:tcBorders>
              <w:top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Director Nominees</w:t>
            </w:r>
          </w:p>
        </w:tc>
        <w:tc>
          <w:tcPr>
            <w:tcW w:w="5340" w:type="dxa"/>
            <w:vAlign w:val="bottom"/>
            <w:gridSpan w:val="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5"/>
              </w:rPr>
              <w:t>Continuing Directors</w:t>
            </w:r>
          </w:p>
        </w:tc>
        <w:tc>
          <w:tcPr>
            <w:tcW w:w="7940" w:type="dxa"/>
            <w:vAlign w:val="bottom"/>
            <w:gridSpan w:val="3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Family Relationships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Director Independence</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Board Diversity</w:t>
            </w:r>
          </w:p>
        </w:tc>
        <w:tc>
          <w:tcPr>
            <w:tcW w:w="7460" w:type="dxa"/>
            <w:vAlign w:val="bottom"/>
            <w:gridSpan w:val="2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Role of the Board in Risk Oversight</w:t>
            </w:r>
          </w:p>
        </w:tc>
        <w:tc>
          <w:tcPr>
            <w:tcW w:w="20" w:type="dxa"/>
            <w:vAlign w:val="bottom"/>
            <w:tcBorders>
              <w:bottom w:val="single" w:sz="8" w:color="0000EE"/>
            </w:tcBorders>
          </w:tcPr>
          <w:p>
            <w:pPr>
              <w:spacing w:after="0"/>
              <w:rPr>
                <w:sz w:val="17"/>
                <w:szCs w:val="17"/>
                <w:color w:val="auto"/>
              </w:rPr>
            </w:pPr>
          </w:p>
        </w:tc>
        <w:tc>
          <w:tcPr>
            <w:tcW w:w="6820" w:type="dxa"/>
            <w:vAlign w:val="bottom"/>
            <w:gridSpan w:val="2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Environmental, Social and Governance (ESG) Practices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2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Committees of our Board of Directors</w:t>
            </w:r>
          </w:p>
        </w:tc>
        <w:tc>
          <w:tcPr>
            <w:tcW w:w="542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Attendance at Board and Stockholder Meetings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6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498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Considerations in Evaluating Director Nominees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Stockholder Recommendations for Nominations to the Board of Directors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20" w:type="dxa"/>
            <w:vAlign w:val="bottom"/>
            <w:tcBorders>
              <w:top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Communications with the Board of Directors</w:t>
            </w:r>
          </w:p>
        </w:tc>
        <w:tc>
          <w:tcPr>
            <w:tcW w:w="4120" w:type="dxa"/>
            <w:vAlign w:val="bottom"/>
            <w:gridSpan w:val="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52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 Guidelines and Code of Business Conduct and Ethics</w:t>
            </w:r>
          </w:p>
        </w:tc>
        <w:tc>
          <w:tcPr>
            <w:tcW w:w="392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Director Compensation</w:t>
            </w:r>
          </w:p>
        </w:tc>
        <w:tc>
          <w:tcPr>
            <w:tcW w:w="7760" w:type="dxa"/>
            <w:vAlign w:val="bottom"/>
            <w:gridSpan w:val="3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PROPOSAL NO. 1 ELECTION OF DIRECTORS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9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Nominees</w:t>
            </w:r>
          </w:p>
        </w:tc>
        <w:tc>
          <w:tcPr>
            <w:tcW w:w="6460" w:type="dxa"/>
            <w:vAlign w:val="bottom"/>
            <w:gridSpan w:val="1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Vote Required</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PROPOSAL NO. 2 ADVISORY VOTE ON THE COMPENSATION OF OUR NAMED EXECUTIVE OFFICERS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7720" w:type="dxa"/>
            <w:vAlign w:val="bottom"/>
            <w:tcBorders>
              <w:top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Vote Required</w:t>
            </w:r>
          </w:p>
        </w:tc>
        <w:tc>
          <w:tcPr>
            <w:tcW w:w="17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PROPOSAL NO. 3 RATIFICATION OF APPOINTMENT OF INDEPENDENT REGISTERED PUBLIC ACCOUNTING FIRM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80" w:type="dxa"/>
            <w:vAlign w:val="bottom"/>
            <w:tcBorders>
              <w:top w:val="single" w:sz="8" w:color="0000FF"/>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Fees Paid to the Independent Registered Public Accounting Firm</w:t>
            </w:r>
          </w:p>
        </w:tc>
        <w:tc>
          <w:tcPr>
            <w:tcW w:w="4060" w:type="dxa"/>
            <w:vAlign w:val="bottom"/>
            <w:tcBorders>
              <w:top w:val="single" w:sz="8" w:color="0000FF"/>
            </w:tcBorders>
            <w:gridSpan w:val="4"/>
          </w:tcPr>
          <w:p>
            <w:pPr>
              <w:spacing w:after="0"/>
              <w:rPr>
                <w:sz w:val="17"/>
                <w:szCs w:val="17"/>
                <w:color w:val="auto"/>
              </w:rPr>
            </w:pPr>
          </w:p>
        </w:tc>
        <w:tc>
          <w:tcPr>
            <w:tcW w:w="70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Auditor Independence</w:t>
            </w:r>
          </w:p>
        </w:tc>
        <w:tc>
          <w:tcPr>
            <w:tcW w:w="7800" w:type="dxa"/>
            <w:vAlign w:val="bottom"/>
            <w:gridSpan w:val="3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20" w:type="dxa"/>
            <w:vAlign w:val="bottom"/>
            <w:tcBorders>
              <w:bottom w:val="single" w:sz="8" w:color="0000FF"/>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Policy on Pre-Approval of Audit and Permissible Non-Audit Services of Independent Registered Public</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8180" w:type="dxa"/>
            <w:vAlign w:val="bottom"/>
            <w:gridSpan w:val="3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Vote Required</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Named Executive Officers</w:t>
            </w:r>
          </w:p>
        </w:tc>
        <w:tc>
          <w:tcPr>
            <w:tcW w:w="7520" w:type="dxa"/>
            <w:vAlign w:val="bottom"/>
            <w:gridSpan w:val="2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Summary</w:t>
            </w:r>
          </w:p>
        </w:tc>
        <w:tc>
          <w:tcPr>
            <w:tcW w:w="8720" w:type="dxa"/>
            <w:vAlign w:val="bottom"/>
            <w:gridSpan w:val="3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Compensation Philosophy</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4"/>
              </w:rPr>
              <w:t>“Say-on-Pay” Voting</w:t>
            </w:r>
          </w:p>
        </w:tc>
        <w:tc>
          <w:tcPr>
            <w:tcW w:w="380" w:type="dxa"/>
            <w:vAlign w:val="bottom"/>
            <w:tcBorders>
              <w:top w:val="single" w:sz="8" w:color="0000FF"/>
            </w:tcBorders>
            <w:gridSpan w:val="5"/>
          </w:tcPr>
          <w:p>
            <w:pPr>
              <w:spacing w:after="0"/>
              <w:rPr>
                <w:sz w:val="17"/>
                <w:szCs w:val="17"/>
                <w:color w:val="auto"/>
              </w:rPr>
            </w:pPr>
          </w:p>
        </w:tc>
        <w:tc>
          <w:tcPr>
            <w:tcW w:w="7560" w:type="dxa"/>
            <w:vAlign w:val="bottom"/>
            <w:gridSpan w:val="2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Determination Process</w:t>
            </w:r>
          </w:p>
        </w:tc>
        <w:tc>
          <w:tcPr>
            <w:tcW w:w="6700" w:type="dxa"/>
            <w:vAlign w:val="bottom"/>
            <w:gridSpan w:val="1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Pay Components</w:t>
            </w:r>
          </w:p>
        </w:tc>
        <w:tc>
          <w:tcPr>
            <w:tcW w:w="8200" w:type="dxa"/>
            <w:vAlign w:val="bottom"/>
            <w:gridSpan w:val="3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Severance and Change in Control Protections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6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Other Compensation</w:t>
            </w:r>
          </w:p>
        </w:tc>
        <w:tc>
          <w:tcPr>
            <w:tcW w:w="6180" w:type="dxa"/>
            <w:vAlign w:val="bottom"/>
            <w:gridSpan w:val="1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Borders>
              <w:right w:val="single" w:sz="8" w:color="0000EE"/>
            </w:tcBorders>
            <w:gridSpan w:val="7"/>
            <w:shd w:val="clear" w:color="auto" w:fill="0000FF"/>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8"/>
              </w:rPr>
              <w:t>Additional Policies and Practices</w:t>
            </w:r>
          </w:p>
        </w:tc>
        <w:tc>
          <w:tcPr>
            <w:tcW w:w="7060" w:type="dxa"/>
            <w:vAlign w:val="bottom"/>
            <w:gridSpan w:val="2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Summary Compensation Table</w:t>
            </w:r>
          </w:p>
        </w:tc>
        <w:tc>
          <w:tcPr>
            <w:tcW w:w="20" w:type="dxa"/>
            <w:vAlign w:val="bottom"/>
            <w:tcBorders>
              <w:bottom w:val="single" w:sz="8" w:color="0000EE"/>
            </w:tcBorders>
          </w:tcPr>
          <w:p>
            <w:pPr>
              <w:spacing w:after="0"/>
              <w:rPr>
                <w:sz w:val="17"/>
                <w:szCs w:val="17"/>
                <w:color w:val="auto"/>
              </w:rPr>
            </w:pPr>
          </w:p>
        </w:tc>
        <w:tc>
          <w:tcPr>
            <w:tcW w:w="7180" w:type="dxa"/>
            <w:vAlign w:val="bottom"/>
            <w:gridSpan w:val="2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Outstanding Equity Awards at 2024 Year-End</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Employment Letter Agreements</w:t>
            </w:r>
          </w:p>
        </w:tc>
        <w:tc>
          <w:tcPr>
            <w:tcW w:w="20" w:type="dxa"/>
            <w:vAlign w:val="bottom"/>
            <w:tcBorders>
              <w:top w:val="single" w:sz="8" w:color="0000FF"/>
              <w:bottom w:val="single" w:sz="8" w:color="0000EE"/>
            </w:tcBorders>
          </w:tcPr>
          <w:p>
            <w:pPr>
              <w:spacing w:after="0"/>
              <w:rPr>
                <w:sz w:val="17"/>
                <w:szCs w:val="17"/>
                <w:color w:val="auto"/>
              </w:rPr>
            </w:pPr>
          </w:p>
        </w:tc>
        <w:tc>
          <w:tcPr>
            <w:tcW w:w="220" w:type="dxa"/>
            <w:vAlign w:val="bottom"/>
            <w:tcBorders>
              <w:top w:val="single" w:sz="8" w:color="0000FF"/>
            </w:tcBorders>
            <w:gridSpan w:val="3"/>
          </w:tcPr>
          <w:p>
            <w:pPr>
              <w:spacing w:after="0"/>
              <w:rPr>
                <w:sz w:val="17"/>
                <w:szCs w:val="17"/>
                <w:color w:val="auto"/>
              </w:rPr>
            </w:pPr>
          </w:p>
        </w:tc>
        <w:tc>
          <w:tcPr>
            <w:tcW w:w="6120" w:type="dxa"/>
            <w:vAlign w:val="bottom"/>
            <w:gridSpan w:val="1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Change in Control and Severance Agreements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7"/>
                <w:szCs w:val="17"/>
                <w:color w:val="auto"/>
              </w:rPr>
            </w:pPr>
          </w:p>
        </w:tc>
      </w:tr>
      <w:tr>
        <w:trPr>
          <w:trHeight w:val="1310"/>
        </w:trPr>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Executive Incentive Compensation Plan</w:t>
            </w:r>
          </w:p>
        </w:tc>
        <w:tc>
          <w:tcPr>
            <w:tcW w:w="6420" w:type="dxa"/>
            <w:vAlign w:val="bottom"/>
            <w:gridSpan w:val="6"/>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2025 Inducement Equity Incentive Plan</w:t>
            </w:r>
          </w:p>
        </w:tc>
        <w:tc>
          <w:tcPr>
            <w:tcW w:w="644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Recovery (Clawback)</w:t>
            </w:r>
          </w:p>
        </w:tc>
        <w:tc>
          <w:tcPr>
            <w:tcW w:w="160" w:type="dxa"/>
            <w:vAlign w:val="bottom"/>
            <w:tcBorders>
              <w:top w:val="single" w:sz="8" w:color="0000FF"/>
            </w:tcBorders>
          </w:tcPr>
          <w:p>
            <w:pPr>
              <w:spacing w:after="0"/>
              <w:rPr>
                <w:sz w:val="17"/>
                <w:szCs w:val="17"/>
                <w:color w:val="auto"/>
              </w:rPr>
            </w:pPr>
          </w:p>
        </w:tc>
        <w:tc>
          <w:tcPr>
            <w:tcW w:w="648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bottom w:val="single" w:sz="8" w:color="0000EE"/>
            </w:tcBorders>
          </w:tcPr>
          <w:p>
            <w:pPr>
              <w:spacing w:after="0"/>
              <w:rPr>
                <w:sz w:val="17"/>
                <w:szCs w:val="17"/>
                <w:color w:val="auto"/>
              </w:rPr>
            </w:pPr>
          </w:p>
        </w:tc>
        <w:tc>
          <w:tcPr>
            <w:tcW w:w="7660" w:type="dxa"/>
            <w:vAlign w:val="bottom"/>
            <w:gridSpan w:val="2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Pay Versus Performance</w:t>
            </w:r>
          </w:p>
        </w:tc>
        <w:tc>
          <w:tcPr>
            <w:tcW w:w="20" w:type="dxa"/>
            <w:vAlign w:val="bottom"/>
            <w:tcBorders>
              <w:bottom w:val="single" w:sz="8" w:color="0000EE"/>
            </w:tcBorders>
          </w:tcPr>
          <w:p>
            <w:pPr>
              <w:spacing w:after="0"/>
              <w:rPr>
                <w:sz w:val="17"/>
                <w:szCs w:val="17"/>
                <w:color w:val="auto"/>
              </w:rPr>
            </w:pPr>
          </w:p>
        </w:tc>
        <w:tc>
          <w:tcPr>
            <w:tcW w:w="750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Relationship Between Compensation Actually Paid and Company Total Shareholder Return (or TSR)</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Relationship Between NEO Compensation Actually Paid and Net Income/(Loss)</w:t>
            </w:r>
          </w:p>
        </w:tc>
        <w:tc>
          <w:tcPr>
            <w:tcW w:w="1480" w:type="dxa"/>
            <w:vAlign w:val="bottom"/>
            <w:tcBorders>
              <w:top w:val="single" w:sz="8" w:color="0000FF"/>
            </w:tcBorders>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412"/>
        </w:trPr>
        <w:tc>
          <w:tcPr>
            <w:tcW w:w="100" w:type="dxa"/>
            <w:vAlign w:val="bottom"/>
          </w:tcPr>
          <w:p>
            <w:pPr>
              <w:spacing w:after="0"/>
              <w:rPr>
                <w:sz w:val="24"/>
                <w:szCs w:val="24"/>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RELATED PARTY AND OTHER TRANSACTIONS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120" w:type="dxa"/>
            <w:vAlign w:val="bottom"/>
            <w:tcBorders>
              <w:top w:val="single" w:sz="8" w:color="0000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Investors’ Rights Agreement</w:t>
            </w:r>
          </w:p>
        </w:tc>
        <w:tc>
          <w:tcPr>
            <w:tcW w:w="3460" w:type="dxa"/>
            <w:vAlign w:val="bottom"/>
            <w:tcBorders>
              <w:top w:val="single" w:sz="8" w:color="0000FF"/>
            </w:tcBorders>
            <w:gridSpan w:val="12"/>
          </w:tcPr>
          <w:p>
            <w:pPr>
              <w:spacing w:after="0"/>
              <w:rPr>
                <w:sz w:val="17"/>
                <w:szCs w:val="17"/>
                <w:color w:val="auto"/>
              </w:rPr>
            </w:pPr>
          </w:p>
        </w:tc>
        <w:tc>
          <w:tcPr>
            <w:tcW w:w="372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venBio Consulting Agreement</w:t>
            </w:r>
          </w:p>
        </w:tc>
        <w:tc>
          <w:tcPr>
            <w:tcW w:w="20" w:type="dxa"/>
            <w:vAlign w:val="bottom"/>
            <w:tcBorders>
              <w:bottom w:val="single" w:sz="8" w:color="0000EE"/>
            </w:tcBorders>
          </w:tcPr>
          <w:p>
            <w:pPr>
              <w:spacing w:after="0"/>
              <w:rPr>
                <w:sz w:val="17"/>
                <w:szCs w:val="17"/>
                <w:color w:val="auto"/>
              </w:rPr>
            </w:pPr>
          </w:p>
        </w:tc>
        <w:tc>
          <w:tcPr>
            <w:tcW w:w="708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Tallac Therapeutics Agreements</w:t>
            </w:r>
          </w:p>
        </w:tc>
        <w:tc>
          <w:tcPr>
            <w:tcW w:w="696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ScalmiBio Milestone Payments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Indemnification Agreements</w:t>
            </w:r>
          </w:p>
        </w:tc>
        <w:tc>
          <w:tcPr>
            <w:tcW w:w="20" w:type="dxa"/>
            <w:vAlign w:val="bottom"/>
            <w:tcBorders>
              <w:top w:val="single" w:sz="8" w:color="0000FF"/>
              <w:bottom w:val="single" w:sz="8" w:color="0000EE"/>
            </w:tcBorders>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4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Related-Party Transaction Policy</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20" w:type="dxa"/>
            <w:vAlign w:val="bottom"/>
            <w:gridSpan w:val="1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Borders>
              <w:right w:val="single" w:sz="8" w:color="0000EE"/>
            </w:tcBorders>
            <w:gridSpan w:val="14"/>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Fiscal Year 2024 Annual Report and SEC Filings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310"/>
        </w:trPr>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2025 ANNUAL MEETING OF STOCKHOLDERS</w:t>
      </w: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at 1:00 p.m. Pacific Time on Wednesday, June 11, 2025</w:t>
      </w:r>
    </w:p>
    <w:p>
      <w:pPr>
        <w:spacing w:after="0" w:line="194"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9"/>
          <w:szCs w:val="19"/>
          <w:color w:val="auto"/>
        </w:rPr>
        <w:t>This proxy statement and the enclosed form of proxy are furnished in connection with the solicitation of proxies by our board of directors for use at the 2025 annual meeting of stockholders of ALX Oncology Holdings Inc. (the Annual Meeting), and any postponements, adjournments or continuations thereof. The Annual Meeting will be held on Wednesday, June 11, 2025 at 1:00 p.m. Pacific Time virtually via a live webcast. You will be able to attend the Annual Meeting virtually by visiting www.virtualshareholdermeeting.com/ALXO2025, where you will be able to listen to the meeting live, submit questions and vote online by entering the control number on your proxy card.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MEETING</w:t>
      </w:r>
    </w:p>
    <w:p>
      <w:pPr>
        <w:spacing w:after="0" w:line="22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am I receiving these materials?</w:t>
      </w:r>
    </w:p>
    <w:p>
      <w:pPr>
        <w:spacing w:after="0" w:line="112" w:lineRule="exact"/>
        <w:rPr>
          <w:sz w:val="20"/>
          <w:szCs w:val="20"/>
          <w:color w:val="auto"/>
        </w:rPr>
      </w:pPr>
    </w:p>
    <w:p>
      <w:pPr>
        <w:ind w:right="120" w:firstLine="749"/>
        <w:spacing w:after="0" w:line="245" w:lineRule="auto"/>
        <w:rPr>
          <w:sz w:val="20"/>
          <w:szCs w:val="20"/>
          <w:color w:val="auto"/>
        </w:rPr>
      </w:pPr>
      <w:r>
        <w:rPr>
          <w:rFonts w:ascii="Times New Roman" w:cs="Times New Roman" w:eastAsia="Times New Roman" w:hAnsi="Times New Roman"/>
          <w:sz w:val="20"/>
          <w:szCs w:val="20"/>
          <w:color w:val="auto"/>
        </w:rPr>
        <w:t>Our board of directors is providing these proxy materials to you in connection with its solicitation of proxies for use at the Annual Meeting, which will take place on June 11, 2025. Stockholders are invited to attend the virtual Annual Meeting and are requested to vote on the proposals described in this proxy statement. This proxy statement and the accompanying proxy card are being mailed on or about April 21, 2025. The proxy materials and our Annual Report on Form 10-K as filed with the Securities and Exchange Commission (the SEC) on March 6, 2025 (the Annual Report) will also be accessible on the SEC’s website at www.sec.gov, and our investor relations website at https://ir.alxoncology.com.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proposals will be voted on at the Annual Meeting?</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three proposals scheduled to be voted on at the Annual Meeting:</w:t>
      </w:r>
    </w:p>
    <w:p>
      <w:pPr>
        <w:spacing w:after="0" w:line="216" w:lineRule="exact"/>
        <w:rPr>
          <w:sz w:val="20"/>
          <w:szCs w:val="20"/>
          <w:color w:val="auto"/>
        </w:rPr>
      </w:pPr>
    </w:p>
    <w:p>
      <w:pPr>
        <w:ind w:left="1140" w:right="600" w:hanging="383"/>
        <w:spacing w:after="0" w:line="269" w:lineRule="auto"/>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of Scott Garland and Barbara Klencke, M.D., as Class II directors to serve until the 2028 annual meeting of stockholders or until their successors are duly elected and qualified;</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advisory vote to approve the compensation of our named executive officers; and</w:t>
      </w:r>
    </w:p>
    <w:p>
      <w:pPr>
        <w:spacing w:after="0" w:line="107" w:lineRule="exact"/>
        <w:rPr>
          <w:rFonts w:ascii="Times New Roman" w:cs="Times New Roman" w:eastAsia="Times New Roman" w:hAnsi="Times New Roman"/>
          <w:sz w:val="20"/>
          <w:szCs w:val="20"/>
          <w:color w:val="auto"/>
        </w:rPr>
      </w:pPr>
    </w:p>
    <w:p>
      <w:pPr>
        <w:ind w:left="1140" w:right="440" w:hanging="383"/>
        <w:spacing w:after="0" w:line="269" w:lineRule="auto"/>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ratification of the appointment of KPMG LLP as our independent registered public accounting firm for our fiscal year ending December 31, 2025.</w:t>
      </w:r>
    </w:p>
    <w:p>
      <w:pPr>
        <w:spacing w:after="0" w:line="159" w:lineRule="exact"/>
        <w:rPr>
          <w:sz w:val="20"/>
          <w:szCs w:val="20"/>
          <w:color w:val="auto"/>
        </w:rPr>
      </w:pPr>
    </w:p>
    <w:p>
      <w:pPr>
        <w:jc w:val="both"/>
        <w:ind w:right="400" w:firstLine="749"/>
        <w:spacing w:after="0" w:line="295" w:lineRule="auto"/>
        <w:rPr>
          <w:sz w:val="20"/>
          <w:szCs w:val="20"/>
          <w:color w:val="auto"/>
        </w:rPr>
      </w:pPr>
      <w:r>
        <w:rPr>
          <w:rFonts w:ascii="Times New Roman" w:cs="Times New Roman" w:eastAsia="Times New Roman" w:hAnsi="Times New Roman"/>
          <w:sz w:val="19"/>
          <w:szCs w:val="19"/>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6" w:name="page7"/>
    <w:bookmarkEnd w:id="6"/>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does our board of directors recommend that I vote?</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Our board of directors recommends that you vote:</w:t>
      </w:r>
    </w:p>
    <w:p>
      <w:pPr>
        <w:spacing w:after="0" w:line="216"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each of Scott Garland and Barbara Klencke, M.D., as Class II directors;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on an advisory basis, of the compensation of our named executive officers; and</w:t>
      </w:r>
    </w:p>
    <w:p>
      <w:pPr>
        <w:spacing w:after="0" w:line="107" w:lineRule="exact"/>
        <w:rPr>
          <w:rFonts w:ascii="Times New Roman" w:cs="Times New Roman" w:eastAsia="Times New Roman" w:hAnsi="Times New Roman"/>
          <w:sz w:val="20"/>
          <w:szCs w:val="20"/>
          <w:color w:val="auto"/>
        </w:rPr>
      </w:pPr>
    </w:p>
    <w:p>
      <w:pPr>
        <w:ind w:left="1140" w:hanging="383"/>
        <w:spacing w:after="0" w:line="269"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ratification of the appointment of KPMG LLP as our independent registered public accounting firm for our fiscal year ending December 31,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entitled to vote at the Annual Meeting?</w:t>
      </w:r>
    </w:p>
    <w:p>
      <w:pPr>
        <w:spacing w:after="0" w:line="112" w:lineRule="exact"/>
        <w:rPr>
          <w:sz w:val="20"/>
          <w:szCs w:val="20"/>
          <w:color w:val="auto"/>
        </w:rPr>
      </w:pPr>
    </w:p>
    <w:p>
      <w:pPr>
        <w:jc w:val="both"/>
        <w:ind w:right="40" w:firstLine="749"/>
        <w:spacing w:after="0" w:line="249" w:lineRule="auto"/>
        <w:rPr>
          <w:sz w:val="20"/>
          <w:szCs w:val="20"/>
          <w:color w:val="auto"/>
        </w:rPr>
      </w:pPr>
      <w:r>
        <w:rPr>
          <w:rFonts w:ascii="Times New Roman" w:cs="Times New Roman" w:eastAsia="Times New Roman" w:hAnsi="Times New Roman"/>
          <w:sz w:val="20"/>
          <w:szCs w:val="20"/>
          <w:color w:val="auto"/>
        </w:rPr>
        <w:t>Holders of our common stock at the close of business on April 15, 2025, the record date for the Annual Meeting (the Record Date), are entitled to notice of and to vote at the Annual Meeting. Each stockholder is entitled to one vote for each share of our common stock held as of the Record Date. As of the Record Date, there were 53,395,770 shares of common stock outstanding and entitled to vote. Stockholders are not permitted to cumulate votes with respect to the election of directors.</w:t>
      </w:r>
    </w:p>
    <w:p>
      <w:pPr>
        <w:spacing w:after="0" w:line="176" w:lineRule="exact"/>
        <w:rPr>
          <w:sz w:val="20"/>
          <w:szCs w:val="20"/>
          <w:color w:val="auto"/>
        </w:rPr>
      </w:pPr>
    </w:p>
    <w:p>
      <w:pPr>
        <w:ind w:right="180" w:firstLine="749"/>
        <w:spacing w:after="0" w:line="247" w:lineRule="auto"/>
        <w:rPr>
          <w:sz w:val="20"/>
          <w:szCs w:val="20"/>
          <w:color w:val="auto"/>
        </w:rPr>
      </w:pPr>
      <w:r>
        <w:rPr>
          <w:rFonts w:ascii="Times New Roman" w:cs="Times New Roman" w:eastAsia="Times New Roman" w:hAnsi="Times New Roman"/>
          <w:sz w:val="20"/>
          <w:szCs w:val="20"/>
          <w:i w:val="1"/>
          <w:iCs w:val="1"/>
          <w:color w:val="auto"/>
        </w:rPr>
        <w:t>Stockholders of Record – Shares Registered in Your Name</w:t>
      </w:r>
      <w:r>
        <w:rPr>
          <w:rFonts w:ascii="Times New Roman" w:cs="Times New Roman" w:eastAsia="Times New Roman" w:hAnsi="Times New Roman"/>
          <w:sz w:val="20"/>
          <w:szCs w:val="20"/>
          <w:color w:val="auto"/>
        </w:rPr>
        <w:t>. If, at the close of business on the Record Date, your shares were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80"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i w:val="1"/>
          <w:iCs w:val="1"/>
          <w:color w:val="auto"/>
        </w:rPr>
        <w:t>Street Name Stockholders – Shares Registered in the Name of a Broker, Bank or Other Nominee</w:t>
      </w:r>
      <w:r>
        <w:rPr>
          <w:rFonts w:ascii="Times New Roman" w:cs="Times New Roman" w:eastAsia="Times New Roman" w:hAnsi="Times New Roman"/>
          <w:sz w:val="20"/>
          <w:szCs w:val="20"/>
          <w:color w:val="auto"/>
        </w:rPr>
        <w:t>. If, at the close of business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are needed for approval of each proposal?</w:t>
      </w:r>
    </w:p>
    <w:p>
      <w:pPr>
        <w:spacing w:after="0" w:line="108" w:lineRule="exact"/>
        <w:rPr>
          <w:sz w:val="20"/>
          <w:szCs w:val="20"/>
          <w:color w:val="auto"/>
        </w:rPr>
      </w:pPr>
    </w:p>
    <w:p>
      <w:pPr>
        <w:ind w:left="1140" w:right="80" w:hanging="383"/>
        <w:spacing w:after="0" w:line="245" w:lineRule="auto"/>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Proposal No. 1: </w:t>
      </w:r>
      <w:r>
        <w:rPr>
          <w:rFonts w:ascii="Times New Roman" w:cs="Times New Roman" w:eastAsia="Times New Roman" w:hAnsi="Times New Roman"/>
          <w:sz w:val="20"/>
          <w:szCs w:val="20"/>
          <w:color w:val="auto"/>
        </w:rPr>
        <w:t>The election of each Class II director requires a plurality of the votes of the shares of our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 in person (including virtually) or represented by proxy at the Annual Meeting and entitled to vote thereon to be approved. “Plurality” means that the two nominees who receive the most votes cast FOR will be elected as Class II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77" w:lineRule="exact"/>
        <w:rPr>
          <w:sz w:val="20"/>
          <w:szCs w:val="20"/>
          <w:color w:val="auto"/>
        </w:rPr>
      </w:pPr>
    </w:p>
    <w:p>
      <w:pPr>
        <w:ind w:left="1140" w:right="20" w:hanging="383"/>
        <w:spacing w:after="0" w:line="245" w:lineRule="auto"/>
        <w:tabs>
          <w:tab w:leader="none" w:pos="11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Proposal No. 2: </w:t>
      </w:r>
      <w:r>
        <w:rPr>
          <w:rFonts w:ascii="Times New Roman" w:cs="Times New Roman" w:eastAsia="Times New Roman" w:hAnsi="Times New Roman"/>
          <w:sz w:val="20"/>
          <w:szCs w:val="20"/>
          <w:color w:val="auto"/>
        </w:rPr>
        <w:t>The approval, on an advisory basis, of the compensation of our named executive officers requires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 Because this vote is advisory only, it will not be binding on us, our compensation committee or our board of directors. However, we value our stockholders’ input and will take the vote into consideration when evaluating executive compensation decisions.</w:t>
      </w:r>
    </w:p>
    <w:p>
      <w:pPr>
        <w:spacing w:after="0" w:line="71" w:lineRule="exact"/>
        <w:rPr>
          <w:rFonts w:ascii="Times New Roman" w:cs="Times New Roman" w:eastAsia="Times New Roman" w:hAnsi="Times New Roman"/>
          <w:sz w:val="20"/>
          <w:szCs w:val="20"/>
          <w:color w:val="auto"/>
        </w:rPr>
      </w:pPr>
    </w:p>
    <w:p>
      <w:pPr>
        <w:ind w:left="1140" w:right="80" w:hanging="383"/>
        <w:spacing w:after="0" w:line="264" w:lineRule="auto"/>
        <w:tabs>
          <w:tab w:leader="none" w:pos="11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Proposal No. 3: </w:t>
      </w:r>
      <w:r>
        <w:rPr>
          <w:rFonts w:ascii="Times New Roman" w:cs="Times New Roman" w:eastAsia="Times New Roman" w:hAnsi="Times New Roman"/>
          <w:sz w:val="19"/>
          <w:szCs w:val="19"/>
          <w:color w:val="auto"/>
        </w:rPr>
        <w:t>The ratification of the appointment of KPMG LLP as our independent registered public accounting firm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fiscal year ended December 31, 2025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3, the abstention will have the same effect as a vote AGAINST the proposal. Broker non-votes will have no effect on the outcome of this proposal.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112" w:lineRule="exact"/>
        <w:rPr>
          <w:sz w:val="20"/>
          <w:szCs w:val="20"/>
          <w:color w:val="auto"/>
        </w:rPr>
      </w:pPr>
    </w:p>
    <w:p>
      <w:pPr>
        <w:jc w:val="both"/>
        <w:ind w:right="40" w:firstLine="749"/>
        <w:spacing w:after="0" w:line="260" w:lineRule="auto"/>
        <w:rPr>
          <w:sz w:val="20"/>
          <w:szCs w:val="20"/>
          <w:color w:val="auto"/>
        </w:rPr>
      </w:pPr>
      <w:r>
        <w:rPr>
          <w:rFonts w:ascii="Times New Roman" w:cs="Times New Roman" w:eastAsia="Times New Roman" w:hAnsi="Times New Roman"/>
          <w:sz w:val="19"/>
          <w:szCs w:val="19"/>
          <w:color w:val="auto"/>
        </w:rPr>
        <w:t>A quorum is the minimum number of shares required to be present at the Annual Meeting for the annual meeting of stockholders to be properly held under our amended and restated bylaws (Bylaws) and Delaware law. A majority of the shares of common stock outstanding and entitled to vote, in person (including virtually) or by proxy, constitutes a quorum for the transaction of business at the Annual Meeting.</w:t>
      </w:r>
    </w:p>
    <w:p>
      <w:pPr>
        <w:spacing w:after="0" w:line="246" w:lineRule="auto"/>
        <w:rPr>
          <w:sz w:val="20"/>
          <w:szCs w:val="20"/>
          <w:color w:val="auto"/>
        </w:rPr>
      </w:pPr>
      <w:r>
        <w:rPr>
          <w:rFonts w:ascii="Times New Roman" w:cs="Times New Roman" w:eastAsia="Times New Roman" w:hAnsi="Times New Roman"/>
          <w:sz w:val="20"/>
          <w:szCs w:val="20"/>
          <w:color w:val="auto"/>
        </w:rPr>
        <w:t>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 I need to do to attend the Annual Meeting?</w:t>
      </w:r>
    </w:p>
    <w:p>
      <w:pPr>
        <w:spacing w:after="0" w:line="11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You will be able to attend the Annual Meeting virtually, submit your questions during the meeting and vote your shares electronically at the meeting by visiting www.virtualshareholdermeeting.com/ALXO2025.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is the Annual Meeting held virtually?</w:t>
      </w:r>
    </w:p>
    <w:p>
      <w:pPr>
        <w:spacing w:after="0" w:line="112"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Our board of directors believes that a virtual Annual Meeting allows for participation by a broader group of stockholders, reduces the costs to stockholders associated with holding an in-person meeting, and is the best option for ensuring the health and safety of the participants. The virtual meeting format is intended to facilitate a level of transparency as close as possible to an in-person meeting by providing for, among other things, the ability of stockholders to submit appropriate questions in advance of the meeting to ensure thoughtful responses from management and our board of directors.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 and what are the voting deadlines?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you can vote in one of the following ways:</w:t>
      </w:r>
    </w:p>
    <w:p>
      <w:pPr>
        <w:spacing w:after="0" w:line="216" w:lineRule="exact"/>
        <w:rPr>
          <w:sz w:val="20"/>
          <w:szCs w:val="20"/>
          <w:color w:val="auto"/>
        </w:rPr>
      </w:pPr>
    </w:p>
    <w:p>
      <w:pPr>
        <w:ind w:left="1140" w:right="280" w:hanging="383"/>
        <w:spacing w:after="0" w:line="250"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You may vote via the Internet</w:t>
      </w:r>
      <w:r>
        <w:rPr>
          <w:rFonts w:ascii="Times New Roman" w:cs="Times New Roman" w:eastAsia="Times New Roman" w:hAnsi="Times New Roman"/>
          <w:sz w:val="20"/>
          <w:szCs w:val="20"/>
          <w:color w:val="auto"/>
        </w:rPr>
        <w:t>. To vote via the Internet prior to the Annual Meeting, go to http://www.proxyvote.com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an electronic proxy card. You will be asked to provide the control number from the proxy card you receive. Your vote must be received by 11:59 p.m. Eastern Time on June 10, 2025 to be counted. If you vote via the Internet prior to the Annual Meeting, you do not need to return a proxy card by mail.</w:t>
      </w:r>
    </w:p>
    <w:p>
      <w:pPr>
        <w:spacing w:after="0" w:line="67" w:lineRule="exact"/>
        <w:rPr>
          <w:rFonts w:ascii="Times New Roman" w:cs="Times New Roman" w:eastAsia="Times New Roman" w:hAnsi="Times New Roman"/>
          <w:sz w:val="20"/>
          <w:szCs w:val="20"/>
          <w:color w:val="auto"/>
        </w:rPr>
      </w:pPr>
    </w:p>
    <w:p>
      <w:pPr>
        <w:ind w:left="1140" w:right="140" w:hanging="383"/>
        <w:spacing w:after="0" w:line="250"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by telephone. </w:t>
      </w:r>
      <w:r>
        <w:rPr>
          <w:rFonts w:ascii="Times New Roman" w:cs="Times New Roman" w:eastAsia="Times New Roman" w:hAnsi="Times New Roman"/>
          <w:sz w:val="20"/>
          <w:szCs w:val="20"/>
          <w:color w:val="auto"/>
        </w:rPr>
        <w:t>To vote by telephone, dial 1-800-690-6903 (toll-free in the United States and Canada; toll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charges apply to calls from other countries) and follow the recorded instructions. You will be asked to provide the control number from the proxy card. Your vote must be received by 11:59 p.m. Eastern Time on June 10, 2025 to be counted. If you vote by telephone, you do not need to return a proxy card by mail.</w:t>
      </w:r>
    </w:p>
    <w:p>
      <w:pPr>
        <w:spacing w:after="0" w:line="67" w:lineRule="exact"/>
        <w:rPr>
          <w:rFonts w:ascii="Times New Roman" w:cs="Times New Roman" w:eastAsia="Times New Roman" w:hAnsi="Times New Roman"/>
          <w:sz w:val="20"/>
          <w:szCs w:val="20"/>
          <w:color w:val="auto"/>
        </w:rPr>
      </w:pPr>
    </w:p>
    <w:p>
      <w:pPr>
        <w:ind w:left="1140" w:hanging="383"/>
        <w:spacing w:after="0" w:line="261" w:lineRule="auto"/>
        <w:tabs>
          <w:tab w:leader="none" w:pos="11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You may vote by mail</w:t>
      </w:r>
      <w:r>
        <w:rPr>
          <w:rFonts w:ascii="Times New Roman" w:cs="Times New Roman" w:eastAsia="Times New Roman" w:hAnsi="Times New Roman"/>
          <w:sz w:val="19"/>
          <w:szCs w:val="19"/>
          <w:color w:val="auto"/>
        </w:rPr>
        <w:t>. To vote by mail, you need to complete, date and sign the proxy card that accompanies this proxy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statement and return it promptly by mail in the enclosed postage-paid envelope so that it is received no later than June 10, 2025.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59" w:lineRule="exact"/>
        <w:rPr>
          <w:rFonts w:ascii="Times New Roman" w:cs="Times New Roman" w:eastAsia="Times New Roman" w:hAnsi="Times New Roman"/>
          <w:sz w:val="19"/>
          <w:szCs w:val="19"/>
          <w:color w:val="auto"/>
        </w:rPr>
      </w:pPr>
    </w:p>
    <w:p>
      <w:pPr>
        <w:ind w:left="1140" w:right="440" w:hanging="383"/>
        <w:spacing w:after="0" w:line="256"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You may vote virtually during the Annual Meeting</w:t>
      </w:r>
      <w:r>
        <w:rPr>
          <w:rFonts w:ascii="Times New Roman" w:cs="Times New Roman" w:eastAsia="Times New Roman" w:hAnsi="Times New Roman"/>
          <w:sz w:val="20"/>
          <w:szCs w:val="20"/>
          <w:color w:val="auto"/>
        </w:rPr>
        <w:t>. If you plan to attend the Annual Meeting by visiting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www.virtualshareholdermeeting.com/ALXO2025, you may vote electronically and submit questions during the meeting. Please have your proxy card in hand when you visit the website.</w:t>
      </w:r>
    </w:p>
    <w:p>
      <w:pPr>
        <w:spacing w:after="0" w:line="173"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Even if you plan to attend the Annual Meeting, we recommend that you also vote by proxy so that your vote will be counted if you later decide not to attend the Annual Meeting.</w:t>
      </w:r>
    </w:p>
    <w:p>
      <w:pPr>
        <w:spacing w:after="0" w:line="15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i w:val="1"/>
          <w:iCs w:val="1"/>
          <w:color w:val="auto"/>
        </w:rPr>
        <w:t>Street Name Stockholders</w:t>
      </w:r>
      <w:r>
        <w:rPr>
          <w:rFonts w:ascii="Times New Roman" w:cs="Times New Roman" w:eastAsia="Times New Roman" w:hAnsi="Times New Roman"/>
          <w:sz w:val="20"/>
          <w:szCs w:val="20"/>
          <w:color w:val="auto"/>
        </w:rPr>
        <w:t>. If you are the beneficial owner of shares held of record by a broker, bank or other nominee, you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cs="Times New Roman" w:eastAsia="Times New Roman" w:hAnsi="Times New Roman"/>
          <w:sz w:val="20"/>
          <w:szCs w:val="20"/>
          <w:b w:val="1"/>
          <w:bCs w:val="1"/>
          <w:color w:val="auto"/>
        </w:rPr>
        <w:t>As discussed above, if you are a street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stockholder, you may not vote your shares live at the Annual Meeting unless you obtain a legal proxy from your broker, bank or other nominee.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 or revoke my proxy?</w:t>
      </w:r>
    </w:p>
    <w:p>
      <w:pPr>
        <w:spacing w:after="0" w:line="108" w:lineRule="exact"/>
        <w:rPr>
          <w:sz w:val="20"/>
          <w:szCs w:val="20"/>
          <w:color w:val="auto"/>
        </w:rPr>
      </w:pPr>
    </w:p>
    <w:p>
      <w:pPr>
        <w:ind w:right="24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you may revoke your proxy or change your proxy instructions at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before your proxy is voted at the Annual Meeting by:</w:t>
      </w:r>
    </w:p>
    <w:p>
      <w:pPr>
        <w:spacing w:after="0" w:line="156"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a new vote by Internet or telephone;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signing and returning a new proxy card with a later date;</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81" w:lineRule="exact"/>
        <w:rPr>
          <w:sz w:val="20"/>
          <w:szCs w:val="20"/>
          <w:color w:val="auto"/>
        </w:rPr>
      </w:pPr>
    </w:p>
    <w:p>
      <w:pPr>
        <w:ind w:left="1140" w:right="200" w:hanging="383"/>
        <w:spacing w:after="0" w:line="269" w:lineRule="auto"/>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a written revocation to our Secretary at ALX Oncology Holdings Inc., 323 Allerton Avenue, South San Francisco, California 94080, by 11:59 p.m. Eastern Time on June 10, 2025; or</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the Annual Meeting and voting in person (including virtually).</w:t>
      </w:r>
    </w:p>
    <w:p>
      <w:pPr>
        <w:spacing w:after="0" w:line="212" w:lineRule="exact"/>
        <w:rPr>
          <w:sz w:val="20"/>
          <w:szCs w:val="20"/>
          <w:color w:val="auto"/>
        </w:rPr>
      </w:pPr>
    </w:p>
    <w:p>
      <w:pPr>
        <w:ind w:right="22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Street Name Stockholders</w:t>
      </w:r>
      <w:r>
        <w:rPr>
          <w:rFonts w:ascii="Times New Roman" w:cs="Times New Roman" w:eastAsia="Times New Roman" w:hAnsi="Times New Roman"/>
          <w:sz w:val="20"/>
          <w:szCs w:val="20"/>
          <w:color w:val="auto"/>
        </w:rPr>
        <w:t>. If you are a street name stockholder, you must contact the broker, bank or other nominee holding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and follow their instructions to change your vote or revoke your proxy.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effect of giving a proxy?</w:t>
      </w:r>
    </w:p>
    <w:p>
      <w:pPr>
        <w:spacing w:after="0" w:line="11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Proxies are solicited by and on behalf of our board of directors. Jason Lettmann and Harish Shantharam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do not specify how my shares are to be voted?</w:t>
      </w:r>
    </w:p>
    <w:p>
      <w:pPr>
        <w:spacing w:after="0" w:line="108" w:lineRule="exact"/>
        <w:rPr>
          <w:sz w:val="20"/>
          <w:szCs w:val="20"/>
          <w:color w:val="auto"/>
        </w:rPr>
      </w:pPr>
    </w:p>
    <w:p>
      <w:pPr>
        <w:ind w:right="12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and you submit a proxy but you do not provide voting instructions,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will be voted:</w:t>
      </w:r>
    </w:p>
    <w:p>
      <w:pPr>
        <w:spacing w:after="0" w:line="156" w:lineRule="exact"/>
        <w:rPr>
          <w:sz w:val="20"/>
          <w:szCs w:val="20"/>
          <w:color w:val="auto"/>
        </w:rPr>
      </w:pPr>
    </w:p>
    <w:p>
      <w:pPr>
        <w:ind w:left="1140" w:right="160" w:hanging="383"/>
        <w:spacing w:after="0" w:line="269" w:lineRule="auto"/>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each of the two directors nominated by our board of directors and named in this proxy statement as Class II directors (Proposal No. 1);</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on an advisory basis, of the compensation of our named executive officers (Proposal No. 2);</w:t>
      </w:r>
    </w:p>
    <w:p>
      <w:pPr>
        <w:spacing w:after="0" w:line="107" w:lineRule="exact"/>
        <w:rPr>
          <w:rFonts w:ascii="Times New Roman" w:cs="Times New Roman" w:eastAsia="Times New Roman" w:hAnsi="Times New Roman"/>
          <w:sz w:val="20"/>
          <w:szCs w:val="20"/>
          <w:color w:val="auto"/>
        </w:rPr>
      </w:pPr>
    </w:p>
    <w:p>
      <w:pPr>
        <w:ind w:left="1140" w:right="20" w:hanging="383"/>
        <w:spacing w:after="0" w:line="269" w:lineRule="auto"/>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ratification of the appointment of KPMG LLP as our independent registered public accounting firm for our fiscal year ending December 31, 2025 (Proposal No. 3); and</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discretion of the named proxy holders regarding any other matters properly presented for a vote at the Annual Meeting.</w:t>
      </w:r>
    </w:p>
    <w:p>
      <w:pPr>
        <w:spacing w:after="0" w:line="21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9"/>
          <w:szCs w:val="19"/>
          <w:i w:val="1"/>
          <w:iCs w:val="1"/>
          <w:color w:val="auto"/>
        </w:rPr>
        <w:t>Street Name Stockholders</w:t>
      </w:r>
      <w:r>
        <w:rPr>
          <w:rFonts w:ascii="Times New Roman" w:cs="Times New Roman" w:eastAsia="Times New Roman" w:hAnsi="Times New Roman"/>
          <w:sz w:val="19"/>
          <w:szCs w:val="19"/>
          <w:color w:val="auto"/>
        </w:rPr>
        <w:t>. If you are a street name stockholder and you do not provide your broker, bank or other nominee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holds your shares with voting instructions, then your broker, bank or other nominee will determine if it has discretion to vote on each matter. Brokers do not have discretion to vote on non-routine matters. Proposal No. 1 (election of directors) and Proposal No. 2 (approval, on an advisory basis, of the compensation of our named executive officers) are non-routine matters, while Proposal No. 3 (ratification of the appointment of our independent registered public accounting firm) is a routine matter. As a result, if you do not provide voting instructions to your broker, bank or other nominee, then your broker, bank or other nominee may not vote your shares with respect to Proposal No. 1 or Proposal No. 2, which would result in a “broker non-vote,” but may, in its discretion, vote your shares with respect to Proposal No. 3. For additional information regarding broker non-votes, see “—What are the effects of abstentions and broker non-votes?” below.</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effects of abstentions and broker non-votes?</w:t>
      </w:r>
    </w:p>
    <w:p>
      <w:pPr>
        <w:spacing w:after="0" w:line="11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Proposal No. 2 and Proposal No. 3). However, because the outcome of Proposal No. 1 (election of directors) will be determined by a plurality vote, abstentions will have no impact on the outcome of such proposal as long as a quorum exists.</w:t>
      </w:r>
    </w:p>
    <w:p>
      <w:pPr>
        <w:spacing w:after="0" w:line="186"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9"/>
          <w:szCs w:val="19"/>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proxies solicited for the Annual Meeting and who is paying for such solicitation?</w:t>
      </w:r>
    </w:p>
    <w:p>
      <w:pPr>
        <w:spacing w:after="0" w:line="11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86"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received more than one Notice?</w:t>
      </w:r>
    </w:p>
    <w:p>
      <w:pPr>
        <w:spacing w:after="0" w:line="112"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If you receive more than one Notice, your shares may be registered in more than one name or in different accounts. Please follow the voting instructions on each Notice to ensure that all of your shares are voted.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 my vote confidential?</w:t>
      </w:r>
    </w:p>
    <w:p>
      <w:pPr>
        <w:spacing w:after="0" w:line="112" w:lineRule="exact"/>
        <w:rPr>
          <w:sz w:val="20"/>
          <w:szCs w:val="20"/>
          <w:color w:val="auto"/>
        </w:rPr>
      </w:pPr>
    </w:p>
    <w:p>
      <w:pPr>
        <w:jc w:val="both"/>
        <w:ind w:right="280" w:firstLine="749"/>
        <w:spacing w:after="0" w:line="274" w:lineRule="auto"/>
        <w:rPr>
          <w:sz w:val="20"/>
          <w:szCs w:val="20"/>
          <w:color w:val="auto"/>
        </w:rPr>
      </w:pPr>
      <w:r>
        <w:rPr>
          <w:rFonts w:ascii="Times New Roman" w:cs="Times New Roman" w:eastAsia="Times New Roman" w:hAnsi="Times New Roman"/>
          <w:sz w:val="19"/>
          <w:szCs w:val="19"/>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93"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color w:val="auto"/>
        </w:rPr>
        <w:t>I share an address with another stockholder, and we received only one paper copy of the proxy materials. How may I obtain an additional copy of the proxy materials?</w:t>
      </w:r>
    </w:p>
    <w:p>
      <w:pPr>
        <w:spacing w:after="0" w:line="48"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0"/>
          <w:szCs w:val="20"/>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Attention: Secretary</w:t>
      </w:r>
    </w:p>
    <w:p>
      <w:pPr>
        <w:jc w:val="center"/>
        <w:spacing w:after="0"/>
        <w:rPr>
          <w:sz w:val="20"/>
          <w:szCs w:val="20"/>
          <w:color w:val="auto"/>
        </w:rPr>
      </w:pPr>
      <w:r>
        <w:rPr>
          <w:rFonts w:ascii="Times New Roman" w:cs="Times New Roman" w:eastAsia="Times New Roman" w:hAnsi="Times New Roman"/>
          <w:sz w:val="20"/>
          <w:szCs w:val="20"/>
          <w:color w:val="auto"/>
        </w:rPr>
        <w:t>323 Allerton Avenue</w:t>
      </w:r>
    </w:p>
    <w:p>
      <w:pPr>
        <w:jc w:val="center"/>
        <w:spacing w:after="0"/>
        <w:rPr>
          <w:sz w:val="20"/>
          <w:szCs w:val="20"/>
          <w:color w:val="auto"/>
        </w:rPr>
      </w:pPr>
      <w:r>
        <w:rPr>
          <w:rFonts w:ascii="Times New Roman" w:cs="Times New Roman" w:eastAsia="Times New Roman" w:hAnsi="Times New Roman"/>
          <w:sz w:val="20"/>
          <w:szCs w:val="20"/>
          <w:color w:val="auto"/>
        </w:rPr>
        <w:t>South San Francisco, California 94080</w:t>
      </w:r>
    </w:p>
    <w:p>
      <w:pPr>
        <w:jc w:val="center"/>
        <w:spacing w:after="0"/>
        <w:rPr>
          <w:sz w:val="20"/>
          <w:szCs w:val="20"/>
          <w:color w:val="auto"/>
        </w:rPr>
      </w:pPr>
      <w:r>
        <w:rPr>
          <w:rFonts w:ascii="Times New Roman" w:cs="Times New Roman" w:eastAsia="Times New Roman" w:hAnsi="Times New Roman"/>
          <w:sz w:val="20"/>
          <w:szCs w:val="20"/>
          <w:color w:val="auto"/>
        </w:rPr>
        <w:t>(650) 466-7125</w:t>
      </w:r>
    </w:p>
    <w:p>
      <w:pPr>
        <w:spacing w:after="0" w:line="194" w:lineRule="exact"/>
        <w:rPr>
          <w:sz w:val="20"/>
          <w:szCs w:val="20"/>
          <w:color w:val="auto"/>
        </w:rPr>
      </w:pPr>
    </w:p>
    <w:p>
      <w:pPr>
        <w:ind w:right="420" w:firstLine="749"/>
        <w:spacing w:after="0" w:line="269" w:lineRule="auto"/>
        <w:rPr>
          <w:sz w:val="20"/>
          <w:szCs w:val="20"/>
          <w:color w:val="auto"/>
        </w:rPr>
      </w:pPr>
      <w:r>
        <w:rPr>
          <w:rFonts w:ascii="Times New Roman" w:cs="Times New Roman" w:eastAsia="Times New Roman" w:hAnsi="Times New Roman"/>
          <w:sz w:val="20"/>
          <w:szCs w:val="20"/>
          <w:color w:val="auto"/>
        </w:rPr>
        <w:t>Stockholders who hold shares in street name may contact their brokerage firm, bank, broker-dealer or other nominee to request information about householding.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Annual Meeting?</w:t>
      </w:r>
    </w:p>
    <w:p>
      <w:pPr>
        <w:spacing w:after="0" w:line="11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9"/>
          <w:szCs w:val="19"/>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6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What is the deadline to propose actions for consideration at next year’s annual meeting of stockholders or to nominate individuals to serve as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Proposals or Director Nominations</w:t>
      </w:r>
    </w:p>
    <w:p>
      <w:pPr>
        <w:spacing w:after="0" w:line="11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2026 annual meeting of stockholders, our Secretary must receive the written proposal at our principal executive offices not later than December 22, 2025.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Attention: Secretary</w:t>
      </w:r>
    </w:p>
    <w:p>
      <w:pPr>
        <w:jc w:val="center"/>
        <w:spacing w:after="0"/>
        <w:rPr>
          <w:sz w:val="20"/>
          <w:szCs w:val="20"/>
          <w:color w:val="auto"/>
        </w:rPr>
      </w:pPr>
      <w:r>
        <w:rPr>
          <w:rFonts w:ascii="Times New Roman" w:cs="Times New Roman" w:eastAsia="Times New Roman" w:hAnsi="Times New Roman"/>
          <w:sz w:val="20"/>
          <w:szCs w:val="20"/>
          <w:color w:val="auto"/>
        </w:rPr>
        <w:t>323 Allerton Avenue</w:t>
      </w:r>
    </w:p>
    <w:p>
      <w:pPr>
        <w:jc w:val="center"/>
        <w:spacing w:after="0"/>
        <w:rPr>
          <w:sz w:val="20"/>
          <w:szCs w:val="20"/>
          <w:color w:val="auto"/>
        </w:rPr>
      </w:pPr>
      <w:r>
        <w:rPr>
          <w:rFonts w:ascii="Times New Roman" w:cs="Times New Roman" w:eastAsia="Times New Roman" w:hAnsi="Times New Roman"/>
          <w:sz w:val="20"/>
          <w:szCs w:val="20"/>
          <w:color w:val="auto"/>
        </w:rPr>
        <w:t>South San Francisco, California 94080</w:t>
      </w:r>
    </w:p>
    <w:p>
      <w:pPr>
        <w:spacing w:after="0" w:line="194"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Our Bylaws also establish an advance notice procedure for stockholders who wish to present a proposal or nominate a director at an annual meeting of stockholders but do not intend for the proposal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director nominee to be included in our proxy statement. In addition to satisfying the requirements of our Bylaws, shareholders who intend to nominate directors other than the directors we have nominated must also comply with the additional requirements of Rule 14a-19 under the Exchange Act.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2026 annual meeting of stockholders, our Secretary must receive the written notice at our principal executive offices:</w:t>
      </w:r>
    </w:p>
    <w:p>
      <w:pPr>
        <w:spacing w:after="0" w:line="186"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earlier than February 5, 2026 at 8:00 a.m., Pacific time;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March 9, 2026 at 5:00 p.m., Pacific time.</w:t>
      </w:r>
    </w:p>
    <w:p>
      <w:pPr>
        <w:spacing w:after="0" w:line="216"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In the event that we hold our 2026 annual meeting of stockholders more than 25 days before or more than 25 days after the first anniversary of the date of the Annual Meeting, then notice of a stockholder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180"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90th day prior to such annual meeting; or</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10th day following the day on which public announcement of the date of such annual meeting is first made.</w:t>
      </w:r>
    </w:p>
    <w:p>
      <w:pPr>
        <w:spacing w:after="0" w:line="216" w:lineRule="exact"/>
        <w:rPr>
          <w:sz w:val="20"/>
          <w:szCs w:val="20"/>
          <w:color w:val="auto"/>
        </w:rPr>
      </w:pPr>
    </w:p>
    <w:p>
      <w:pPr>
        <w:ind w:right="340" w:firstLine="749"/>
        <w:spacing w:after="0" w:line="269" w:lineRule="auto"/>
        <w:rPr>
          <w:sz w:val="20"/>
          <w:szCs w:val="20"/>
          <w:color w:val="auto"/>
        </w:rPr>
      </w:pPr>
      <w:r>
        <w:rPr>
          <w:rFonts w:ascii="Times New Roman" w:cs="Times New Roman" w:eastAsia="Times New Roman" w:hAnsi="Times New Roman"/>
          <w:sz w:val="20"/>
          <w:szCs w:val="20"/>
          <w:color w:val="auto"/>
        </w:rPr>
        <w:t>If a stockholder who has notified us of their intention to present a proposal at an annual meeting does not appear to present their proposal at such annual meeting, we are not required to present the proposal for a vote at such annual meeting.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Availability of Bylaws</w:t>
      </w:r>
    </w:p>
    <w:p>
      <w:pPr>
        <w:spacing w:after="0" w:line="112"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20"/>
          <w:szCs w:val="20"/>
          <w:color w:val="auto"/>
        </w:rPr>
        <w:t>A copy of our Bylaws may be obtained by accessing our public filings on the SEC’s website at http://www.sec.gov. You may also contact our Secretary at our principal executive office for a copy of the relevant provisions in our Bylaws regarding the requirements for making stockholder proposals and nominating director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BOARD OF DIRECTORS AND CORPORATE GOVERNANCE</w:t>
      </w:r>
    </w:p>
    <w:p>
      <w:pPr>
        <w:spacing w:after="0" w:line="22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9"/>
          <w:szCs w:val="19"/>
          <w:color w:val="auto"/>
        </w:rPr>
        <w:t>Our business affairs are managed under the direction of our board of directors, which currently consists of six members. Our board of directors has affirmatively determined that five of our six directors qualify as “independent” within the meaning of the listing standards of the Nasdaq Stock Market LLC. Our board of directors is divided into three classes with staggered three-year terms. At each annual meeting of stockholders, a class of director(s) will be elected for a three-year term to succeed the same class whose term is then expiring.</w:t>
      </w:r>
    </w:p>
    <w:p>
      <w:pPr>
        <w:spacing w:after="0" w:line="165"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20"/>
          <w:szCs w:val="20"/>
          <w:color w:val="auto"/>
        </w:rPr>
        <w:t>Upon the recommendation of our corporate governance and nominating committee, we are nominating Scott Garland and Barbara Klencke, M.D., as Class II directors at the Annual Meeting. If elected, Mr. Garland and Dr. Klencke will each hold office for a three-year term until the annual meeting of stockholders to be held in 2028 or until their successors are duly elected and qualified.</w:t>
      </w:r>
    </w:p>
    <w:p>
      <w:pPr>
        <w:spacing w:after="0" w:line="174"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The following table sets forth the names, ages and certain other information, including the composition of the committees, as of the date of this proxy statement, for each of the directors with terms expiring at the Annual Meeting (who are also nominees for election as a director at the Annual Meeting), and for each of the continuing directors: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20" w:type="dxa"/>
            <w:vAlign w:val="bottom"/>
          </w:tcPr>
          <w:p>
            <w:pPr>
              <w:spacing w:after="0"/>
              <w:rPr>
                <w:sz w:val="13"/>
                <w:szCs w:val="13"/>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9"/>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2"/>
                <w:szCs w:val="12"/>
                <w:color w:val="auto"/>
              </w:rPr>
            </w:pPr>
          </w:p>
        </w:tc>
        <w:tc>
          <w:tcPr>
            <w:tcW w:w="29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For Which</w:t>
            </w:r>
          </w:p>
        </w:tc>
        <w:tc>
          <w:tcPr>
            <w:tcW w:w="0" w:type="dxa"/>
            <w:vAlign w:val="bottom"/>
          </w:tcPr>
          <w:p>
            <w:pPr>
              <w:spacing w:after="0"/>
              <w:rPr>
                <w:sz w:val="1"/>
                <w:szCs w:val="1"/>
                <w:color w:val="auto"/>
              </w:rPr>
            </w:pPr>
          </w:p>
        </w:tc>
      </w:tr>
      <w:tr>
        <w:trPr>
          <w:trHeight w:val="173"/>
        </w:trPr>
        <w:tc>
          <w:tcPr>
            <w:tcW w:w="27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Scott Garland</w:t>
            </w:r>
            <w:r>
              <w:rPr>
                <w:rFonts w:ascii="Times New Roman" w:cs="Times New Roman" w:eastAsia="Times New Roman" w:hAnsi="Times New Roman"/>
                <w:sz w:val="21"/>
                <w:szCs w:val="21"/>
                <w:color w:val="auto"/>
                <w:vertAlign w:val="superscript"/>
              </w:rPr>
              <w:t>(1)(2)(3)</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II</w:t>
            </w:r>
          </w:p>
        </w:tc>
        <w:tc>
          <w:tcPr>
            <w:tcW w:w="9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56</w:t>
            </w:r>
          </w:p>
        </w:tc>
        <w:tc>
          <w:tcPr>
            <w:tcW w:w="16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Barbara Klencke, M.D.</w:t>
            </w:r>
            <w:r>
              <w:rPr>
                <w:rFonts w:ascii="Times New Roman" w:cs="Times New Roman" w:eastAsia="Times New Roman" w:hAnsi="Times New Roman"/>
                <w:sz w:val="21"/>
                <w:szCs w:val="21"/>
                <w:color w:val="auto"/>
                <w:vertAlign w:val="superscript"/>
              </w:rPr>
              <w:t>(1)(4)</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II</w:t>
            </w:r>
          </w:p>
        </w:tc>
        <w:tc>
          <w:tcPr>
            <w:tcW w:w="94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67</w:t>
            </w:r>
          </w:p>
        </w:tc>
        <w:tc>
          <w:tcPr>
            <w:tcW w:w="16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Rekha Hemrajani</w:t>
            </w:r>
            <w:r>
              <w:rPr>
                <w:rFonts w:ascii="Times New Roman" w:cs="Times New Roman" w:eastAsia="Times New Roman" w:hAnsi="Times New Roman"/>
                <w:sz w:val="21"/>
                <w:szCs w:val="21"/>
                <w:color w:val="auto"/>
                <w:vertAlign w:val="superscript"/>
              </w:rPr>
              <w:t>(1)(3)</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94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55</w:t>
            </w:r>
          </w:p>
        </w:tc>
        <w:tc>
          <w:tcPr>
            <w:tcW w:w="16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78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Chris Takimoto, M.D., Ph.D., F.A.C.P.</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94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w w:val="99"/>
              </w:rPr>
              <w:t>66</w:t>
            </w:r>
          </w:p>
        </w:tc>
        <w:tc>
          <w:tcPr>
            <w:tcW w:w="160" w:type="dxa"/>
            <w:vAlign w:val="bottom"/>
          </w:tcPr>
          <w:p>
            <w:pPr>
              <w:spacing w:after="0"/>
              <w:rPr>
                <w:sz w:val="12"/>
                <w:szCs w:val="12"/>
                <w:color w:val="auto"/>
              </w:rPr>
            </w:pPr>
          </w:p>
        </w:tc>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1"/>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Corey Goodman, Ph.D.</w:t>
            </w:r>
            <w:r>
              <w:rPr>
                <w:rFonts w:ascii="Times New Roman" w:cs="Times New Roman" w:eastAsia="Times New Roman" w:hAnsi="Times New Roman"/>
                <w:sz w:val="21"/>
                <w:szCs w:val="21"/>
                <w:color w:val="auto"/>
                <w:vertAlign w:val="superscript"/>
              </w:rPr>
              <w:t>(2)(3)(4)</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94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73</w:t>
            </w:r>
          </w:p>
        </w:tc>
        <w:tc>
          <w:tcPr>
            <w:tcW w:w="16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Chairman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Jason Lettmann</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9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47</w:t>
            </w:r>
          </w:p>
        </w:tc>
        <w:tc>
          <w:tcPr>
            <w:tcW w:w="16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audit committee</w:t>
      </w:r>
    </w:p>
    <w:p>
      <w:pPr>
        <w:spacing w:after="0" w:line="8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compensation committee</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corporate governance and nominating committee</w:t>
      </w:r>
    </w:p>
    <w:p>
      <w:pPr>
        <w:spacing w:after="0" w:line="8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research and development committee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Nominees</w:t>
      </w:r>
    </w:p>
    <w:p>
      <w:pPr>
        <w:spacing w:after="0" w:line="216"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Scott Garland </w:t>
      </w:r>
      <w:r>
        <w:rPr>
          <w:rFonts w:ascii="Times New Roman" w:cs="Times New Roman" w:eastAsia="Times New Roman" w:hAnsi="Times New Roman"/>
          <w:sz w:val="20"/>
          <w:szCs w:val="20"/>
          <w:color w:val="auto"/>
        </w:rPr>
        <w:t>has served as a member of our board of directors since November 2022. Mr. Garland served as the Chief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 of PACT Pharma, Inc., an immuno-oncology company, from March 2021 to February 2023. He previously served as President, Chief Executive Officer and a member of the board of Portola Pharmaceuticals, Inc., a biopharmaceutical company, from October 2018 until July 2020 when it was acquired by Alexion Pharmaceuticals, Inc. From April 2017 to September 2018, Mr. Garland served as President of Relypsa Inc., a biopharmaceutical company, and as Senior Vice President and Chief Commercial Officer from October 2014 to April 2017. From October 2011 to October 2014, he served as Executive Vice President and Chief Commercial Officer of Exelixis, Inc., a biopharmaceutical company focused on developing and commercializing cancer treatments. Mr. Garland currently serves as a member of the board of directors of Day One Pharmaceuticals, Inc., Olema Pharmaceuticals and LB Pharmaceuticals, and previously served on the board of directors of Karyopharm Therapeutics Inc. and Calithera Biosciences Inc. He holds a B.S. in Biological Sciences from California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 w:name="page15"/>
    <w:bookmarkEnd w:id="1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Polytechnic State University (San Luis Obispo) and an M.B.A. from Duke University’s Fuqua School of Business.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We believe Mr. Garland’s experience in the biotechnology industry qualifies him to serve on our board of directors.</w:t>
      </w:r>
    </w:p>
    <w:p>
      <w:pPr>
        <w:spacing w:after="0" w:line="212"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Barbara Klencke, M.D. </w:t>
      </w:r>
      <w:r>
        <w:rPr>
          <w:rFonts w:ascii="Times New Roman" w:cs="Times New Roman" w:eastAsia="Times New Roman" w:hAnsi="Times New Roman"/>
          <w:sz w:val="20"/>
          <w:szCs w:val="20"/>
          <w:color w:val="auto"/>
        </w:rPr>
        <w:t>has served as a member of our board of directors since January 2025. Dr. Klencke currently serves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of the board of directors of TScan Therapeutics, Inc., a biopharmaceutical company, Xencor, Inc., a biopharmaceutical company, and Immune-Onc, Inc., a privately-held biopharmaceutical company and previously served as a member of the board of directors of eFFECTOR Therapeutics, a biopharmaceutical company and Lexent Bio, Inc., a biopharmaceutical company, before that company’s acquisition by Foundation Medicine. She previously served as the Chief Medical and Chief Development Officer of Sierra Oncology, Inc., a clinical-stage biopharmaceutical company from June 2015 to December 2023 following its acquisition by GlaxoSmithKline plc in 2022. From 2011 to 2015, Dr. Klencke served as Senior Vice President, Global Development, at Onyx Pharmaceuticals, which was acquired by Amgen Inc., in 2013. Prior to joining Onyx Pharmaceuticals, she led a variety of both early- and late-stage oncology programs while at Genentech, Inc. from 2003 to 2011. Dr. Klencke completed Internal Medicine and Hematology/Oncology training at the University of California, San Francisco and remained there as an Assistant Professor of Medicine in Oncology focusing on clinical research from 1995 to 2002. She holds a B.S. from Indiana University and an M.D. from the University of California, Davis.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We believe Dr. Klencke’s experience in the biotechnology industry qualifies her to serve on our board of directors.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Continuing Directors</w:t>
      </w:r>
    </w:p>
    <w:p>
      <w:pPr>
        <w:spacing w:after="0" w:line="216"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Rekha Hemrajani </w:t>
      </w:r>
      <w:r>
        <w:rPr>
          <w:rFonts w:ascii="Times New Roman" w:cs="Times New Roman" w:eastAsia="Times New Roman" w:hAnsi="Times New Roman"/>
          <w:sz w:val="20"/>
          <w:szCs w:val="20"/>
          <w:color w:val="auto"/>
        </w:rPr>
        <w:t>has served as a member of our board of directors since April 2020. Ms. Hemrajani served as Chief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 and Director of Jiya Acquisition Corporation from August 2020 to November 2022.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She currently serves as a director of MaxCyte, Inc., a provider of cell-engineering platform technologies, and BioAge Labs, Inc., a biopharmaceutical company and previously served as a director of Adverum Biotechnologies, Inc., Aravive, Inc. and Jiya Acquisition Corp. Ms. Hemrajani holds a B.S. in Economics and Computer Science from the University of Michigan and an M.B.A. from the Kellogg Graduate School of Management at Northwestern University.</w:t>
      </w:r>
    </w:p>
    <w:p>
      <w:pPr>
        <w:spacing w:after="0" w:line="191"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We believe Ms. Hemrajani is qualified to serve on our board of directors due to her executive and financial experience at multiple companies in the biopharmaceutical and biotechnology industries.</w:t>
      </w:r>
    </w:p>
    <w:p>
      <w:pPr>
        <w:spacing w:after="0" w:line="155" w:lineRule="exact"/>
        <w:rPr>
          <w:sz w:val="20"/>
          <w:szCs w:val="20"/>
          <w:color w:val="auto"/>
        </w:rPr>
      </w:pPr>
    </w:p>
    <w:p>
      <w:pPr>
        <w:ind w:firstLine="749"/>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Chris Takimoto, M.D., Ph.D., F.A.C.P. </w:t>
      </w:r>
      <w:r>
        <w:rPr>
          <w:rFonts w:ascii="Times New Roman" w:cs="Times New Roman" w:eastAsia="Times New Roman" w:hAnsi="Times New Roman"/>
          <w:sz w:val="19"/>
          <w:szCs w:val="19"/>
          <w:color w:val="auto"/>
        </w:rPr>
        <w:t>has served as a member of our board of directors since January 2025. Dr. Takimoto has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served as the Chief Medical Officer of the START Center for Cancer Research, a global network of specialized early phase oncology clinical trial sites since October 2024. He previously served as the Chief Medical Officer of IGM Biosciences, Inc., a clinical-stage biotechnology</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8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company, or IGM, from July 2021 to October 2024. Prior to joining IGM, Dr. Takimoto served as Senior Vice President, Oncology at Gilead Sciences from April 2020 to July 2021. From February 2016 to April 2020, Dr. Takimoto served as the Chief Medical Officer of Forty Seven, Inc. until Gilead Sciences acquired Forty Seven. Dr. Takimoto previously held various leadership positions at biotechnology companies including Janssen Research Development and Ortho Biotech Oncology Research and Development and multiple positions at academic institutions such as the University of Texas Health Science Center, the National Cancer Institute, and the Uniformed Services University of the Health Sciences. Dr. Takimoto has also served as a Commissioned Officer in the U.S. Public Health Service. Dr. Takimoto holds a B.S. in Chemistry from Stanford University, a Ph.D. in Pharmacology from Yale University, and an M.D. from Yale University School of Medicine.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We believe Dr. Takimoto’s experience in the biotechnology industry qualifies him to serve on our board of directors.</w:t>
      </w:r>
    </w:p>
    <w:p>
      <w:pPr>
        <w:spacing w:after="0" w:line="21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Corey Goodman, Ph.D. </w:t>
      </w:r>
      <w:r>
        <w:rPr>
          <w:rFonts w:ascii="Times New Roman" w:cs="Times New Roman" w:eastAsia="Times New Roman" w:hAnsi="Times New Roman"/>
          <w:sz w:val="20"/>
          <w:szCs w:val="20"/>
          <w:color w:val="auto"/>
        </w:rPr>
        <w:t>is our co-founder and has served as a member of our board of directors and as Chairman since March 2015.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U.C. San Diego.</w:t>
      </w:r>
    </w:p>
    <w:p>
      <w:pPr>
        <w:spacing w:after="0" w:line="191" w:lineRule="exact"/>
        <w:rPr>
          <w:sz w:val="20"/>
          <w:szCs w:val="20"/>
          <w:color w:val="auto"/>
        </w:rPr>
      </w:pPr>
    </w:p>
    <w:p>
      <w:pPr>
        <w:ind w:right="1160" w:firstLine="749"/>
        <w:spacing w:after="0" w:line="269" w:lineRule="auto"/>
        <w:rPr>
          <w:sz w:val="20"/>
          <w:szCs w:val="20"/>
          <w:color w:val="auto"/>
        </w:rPr>
      </w:pPr>
      <w:r>
        <w:rPr>
          <w:rFonts w:ascii="Times New Roman" w:cs="Times New Roman" w:eastAsia="Times New Roman" w:hAnsi="Times New Roman"/>
          <w:sz w:val="20"/>
          <w:szCs w:val="20"/>
          <w:color w:val="auto"/>
        </w:rPr>
        <w:t>We believe Dr. Goodman is qualified to serve on our board of directors due to his experience founding and managing biotechnology companies in both the private and public markets.</w:t>
      </w:r>
    </w:p>
    <w:p>
      <w:pPr>
        <w:spacing w:after="0" w:line="155"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Jason Lettmann </w:t>
      </w:r>
      <w:r>
        <w:rPr>
          <w:rFonts w:ascii="Times New Roman" w:cs="Times New Roman" w:eastAsia="Times New Roman" w:hAnsi="Times New Roman"/>
          <w:sz w:val="20"/>
          <w:szCs w:val="20"/>
          <w:color w:val="auto"/>
        </w:rPr>
        <w:t>has served as our Chief Executive Officer since September 2023, as a member of our board of directors since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April 2020 and previously served as a member of our board of directors from March 2015 to May 2017. Mr. Lettmann has served as a Partner at Morgenthaler Ventures, a venture capital and private equity firm, since June 2009, and served as a General Partner of Lightstone Ventures from March 2012 to July 2023.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86" w:lineRule="exact"/>
        <w:rPr>
          <w:sz w:val="20"/>
          <w:szCs w:val="20"/>
          <w:color w:val="auto"/>
        </w:rPr>
      </w:pPr>
    </w:p>
    <w:p>
      <w:pPr>
        <w:jc w:val="both"/>
        <w:ind w:right="40" w:firstLine="749"/>
        <w:spacing w:after="0" w:line="254" w:lineRule="auto"/>
        <w:rPr>
          <w:sz w:val="20"/>
          <w:szCs w:val="20"/>
          <w:color w:val="auto"/>
        </w:rPr>
      </w:pPr>
      <w:r>
        <w:rPr>
          <w:rFonts w:ascii="Times New Roman" w:cs="Times New Roman" w:eastAsia="Times New Roman" w:hAnsi="Times New Roman"/>
          <w:sz w:val="20"/>
          <w:szCs w:val="20"/>
          <w:color w:val="auto"/>
        </w:rPr>
        <w:t>We believe Mr. Lettmann is qualified to serve on our board of directors because of the perspective and experience he brings as our chief executive officer, his industry experience, his experience serving on the boards of directors for multiple life sciences companies and his extensive experience with venture capital investments.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family relationships among any of our directors or executive officers.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12"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9"/>
          <w:szCs w:val="19"/>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3"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Goodman, Klencke and Takimoto, Mr. Garland and Ms. Hemrajani, representing five of our six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86"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0"/>
          <w:szCs w:val="20"/>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12" w:lineRule="exact"/>
        <w:rPr>
          <w:sz w:val="20"/>
          <w:szCs w:val="20"/>
          <w:color w:val="auto"/>
        </w:rPr>
      </w:pPr>
    </w:p>
    <w:p>
      <w:pPr>
        <w:ind w:right="180" w:firstLine="749"/>
        <w:spacing w:after="0" w:line="245" w:lineRule="auto"/>
        <w:rPr>
          <w:sz w:val="20"/>
          <w:szCs w:val="20"/>
          <w:color w:val="auto"/>
        </w:rPr>
      </w:pPr>
      <w:r>
        <w:rPr>
          <w:rFonts w:ascii="Times New Roman" w:cs="Times New Roman" w:eastAsia="Times New Roman" w:hAnsi="Times New Roman"/>
          <w:sz w:val="20"/>
          <w:szCs w:val="20"/>
          <w:color w:val="auto"/>
        </w:rPr>
        <w:t>Our board of directors is currently chaired by Dr. Goodman. As a general policy, our board of directors believes that separation of the positions of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Lettmann serves as our Chief Executive Officer while Dr. Goodman serves as the Chairman of our board of directors and is not an officer of the company. We currently expect and intend the positions of Chairman of our board of directors and Chief Executive Officer to continue to be held by two individuals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Diversity</w:t>
      </w:r>
    </w:p>
    <w:p>
      <w:pPr>
        <w:spacing w:after="0" w:line="11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Although we do not have a specific policy with respect to board diversity, diversity is important to us, and we have always had diversity across the company. We recognize the benefits associated with a diverse mix of individuals within our board of directors, including a diversity of experience, backgrounds, gender, race, ethnicity, sexual orientation and age.</w:t>
      </w:r>
    </w:p>
    <w:p>
      <w:pPr>
        <w:spacing w:after="0" w:line="174"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The corporate governance and nominating committee is committed to continuing to identify and recruit highly qualified director candidates with diverse experiences, perspectives, and backgrounds to join our board of directors. The following table sets forth information on the voluntarily self-identified diversity characteristics of the members of our board of directors: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520" w:type="dxa"/>
            <w:vAlign w:val="bottom"/>
            <w:tcBorders>
              <w:top w:val="single" w:sz="8" w:color="auto"/>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Board Diversity Matrix</w:t>
            </w:r>
          </w:p>
        </w:tc>
        <w:tc>
          <w:tcPr>
            <w:tcW w:w="94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auto"/>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98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auto"/>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96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r>
      <w:tr>
        <w:trPr>
          <w:trHeight w:val="179"/>
        </w:trPr>
        <w:tc>
          <w:tcPr>
            <w:tcW w:w="352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Times New Roman" w:cs="Times New Roman" w:eastAsia="Times New Roman" w:hAnsi="Times New Roman"/>
                <w:sz w:val="16"/>
                <w:szCs w:val="16"/>
                <w:color w:val="auto"/>
              </w:rPr>
              <w:t>Total Number of Directors</w:t>
            </w:r>
          </w:p>
        </w:tc>
        <w:tc>
          <w:tcPr>
            <w:tcW w:w="9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699"/>
              <w:spacing w:after="0" w:line="179" w:lineRule="exact"/>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759"/>
              <w:spacing w:after="0" w:line="179" w:lineRule="exact"/>
              <w:rPr>
                <w:sz w:val="20"/>
                <w:szCs w:val="20"/>
                <w:color w:val="auto"/>
              </w:rPr>
            </w:pPr>
            <w:r>
              <w:rPr>
                <w:rFonts w:ascii="Times New Roman" w:cs="Times New Roman" w:eastAsia="Times New Roman" w:hAnsi="Times New Roman"/>
                <w:sz w:val="16"/>
                <w:szCs w:val="16"/>
                <w:color w:val="auto"/>
                <w:w w:val="99"/>
              </w:rPr>
              <w:t>8</w:t>
            </w:r>
          </w:p>
        </w:tc>
        <w:tc>
          <w:tcPr>
            <w:tcW w:w="960" w:type="dxa"/>
            <w:vAlign w:val="bottom"/>
            <w:tcBorders>
              <w:bottom w:val="single" w:sz="8" w:color="auto"/>
              <w:right w:val="single" w:sz="8" w:color="auto"/>
            </w:tcBorders>
          </w:tcPr>
          <w:p>
            <w:pPr>
              <w:spacing w:after="0"/>
              <w:rPr>
                <w:sz w:val="15"/>
                <w:szCs w:val="15"/>
                <w:color w:val="auto"/>
              </w:rPr>
            </w:pPr>
          </w:p>
        </w:tc>
      </w:tr>
      <w:tr>
        <w:trPr>
          <w:trHeight w:val="180"/>
        </w:trPr>
        <w:tc>
          <w:tcPr>
            <w:tcW w:w="3520" w:type="dxa"/>
            <w:vAlign w:val="bottom"/>
            <w:tcBorders>
              <w:left w:val="single" w:sz="8" w:color="auto"/>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Did Not</w:t>
            </w:r>
          </w:p>
        </w:tc>
        <w:tc>
          <w:tcPr>
            <w:tcW w:w="98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Did Not</w:t>
            </w:r>
          </w:p>
        </w:tc>
      </w:tr>
      <w:tr>
        <w:trPr>
          <w:trHeight w:val="203"/>
        </w:trPr>
        <w:tc>
          <w:tcPr>
            <w:tcW w:w="352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9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Disclose</w:t>
            </w:r>
          </w:p>
        </w:tc>
        <w:tc>
          <w:tcPr>
            <w:tcW w:w="9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8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Disclose</w:t>
            </w:r>
          </w:p>
        </w:tc>
      </w:tr>
      <w:tr>
        <w:trPr>
          <w:trHeight w:val="215"/>
        </w:trPr>
        <w:tc>
          <w:tcPr>
            <w:tcW w:w="35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Gender</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Gender</w:t>
            </w:r>
          </w:p>
        </w:tc>
      </w:tr>
      <w:tr>
        <w:trPr>
          <w:trHeight w:val="199"/>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Directors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3</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7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5</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940" w:type="dxa"/>
            <w:vAlign w:val="bottom"/>
            <w:tcBorders>
              <w:bottom w:val="single" w:sz="8" w:color="auto"/>
              <w:right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960" w:type="dxa"/>
            <w:vAlign w:val="bottom"/>
            <w:tcBorders>
              <w:bottom w:val="single" w:sz="8" w:color="auto"/>
              <w:right w:val="single" w:sz="8" w:color="CCEEFF"/>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Asian</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Hispanic or Latinx</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7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1</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3</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4</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LGBTQ+</w:t>
            </w:r>
          </w:p>
        </w:tc>
        <w:tc>
          <w:tcPr>
            <w:tcW w:w="9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6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7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spacing w:after="0"/>
              <w:rPr>
                <w:sz w:val="17"/>
                <w:szCs w:val="17"/>
                <w:color w:val="auto"/>
              </w:rPr>
            </w:pP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9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6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7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11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and cybersecurity risks. The corporate governance and nominating committee is responsible for overseeing the management of risks associated with the independence of our board of directors and potential conflicts of interest. The research and development committee is responsible for overseeing the management of risks associated with research and development initiatives, including intellectual property protection, regulatory compliance, and scientific uncertainties.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(ESG) Practices</w:t>
      </w:r>
    </w:p>
    <w:p>
      <w:pPr>
        <w:spacing w:after="0" w:line="112" w:lineRule="exact"/>
        <w:rPr>
          <w:sz w:val="20"/>
          <w:szCs w:val="20"/>
          <w:color w:val="auto"/>
        </w:rPr>
      </w:pPr>
    </w:p>
    <w:p>
      <w:pPr>
        <w:jc w:val="both"/>
        <w:ind w:right="160" w:firstLine="749"/>
        <w:spacing w:after="0" w:line="254" w:lineRule="auto"/>
        <w:rPr>
          <w:sz w:val="20"/>
          <w:szCs w:val="20"/>
          <w:color w:val="auto"/>
        </w:rPr>
      </w:pPr>
      <w:r>
        <w:rPr>
          <w:rFonts w:ascii="Times New Roman" w:cs="Times New Roman" w:eastAsia="Times New Roman" w:hAnsi="Times New Roman"/>
          <w:sz w:val="20"/>
          <w:szCs w:val="20"/>
          <w:color w:val="auto"/>
        </w:rPr>
        <w:t>We are committed to ethical, responsible and sustainable business practices. Corporate social responsibility is an enterprise-wide commitment. Our management team and board of directors are working together to oversee the company’s efforts to take into account ESG considerations into the company’s business practices and corporate culture.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&amp; Inclusion</w:t>
      </w:r>
    </w:p>
    <w:p>
      <w:pPr>
        <w:spacing w:after="0" w:line="11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our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Competitive Pay &amp; Benefits</w:t>
      </w:r>
    </w:p>
    <w:p>
      <w:pPr>
        <w:spacing w:after="0" w:line="11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We strive to provide competitive and robust compensation and benefits programs that help meet the varying needs of our employees. Our total rewards package includes competitive pay, comprehensive healthcare benefits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a 401(k) plan and we provide an employer contribution up to a certain limit.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Development &amp; Training</w:t>
      </w:r>
    </w:p>
    <w:p>
      <w:pPr>
        <w:spacing w:after="0" w:line="112" w:lineRule="exact"/>
        <w:rPr>
          <w:sz w:val="20"/>
          <w:szCs w:val="20"/>
          <w:color w:val="auto"/>
        </w:rPr>
      </w:pPr>
    </w:p>
    <w:p>
      <w:pPr>
        <w:jc w:val="both"/>
        <w:ind w:right="60" w:firstLine="749"/>
        <w:spacing w:after="0" w:line="254" w:lineRule="auto"/>
        <w:rPr>
          <w:sz w:val="20"/>
          <w:szCs w:val="20"/>
          <w:color w:val="auto"/>
        </w:rPr>
      </w:pPr>
      <w:r>
        <w:rPr>
          <w:rFonts w:ascii="Times New Roman" w:cs="Times New Roman" w:eastAsia="Times New Roman" w:hAnsi="Times New Roman"/>
          <w:sz w:val="20"/>
          <w:szCs w:val="20"/>
          <w:color w:val="auto"/>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review process in which managers provide regular feedback and a formal annual review to assist with the development of our employees, including the use of individual plans to assist with career development.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our Board of Directors</w:t>
      </w:r>
    </w:p>
    <w:p>
      <w:pPr>
        <w:spacing w:after="0" w:line="112"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9"/>
          <w:szCs w:val="19"/>
          <w:color w:val="auto"/>
        </w:rPr>
        <w:t>Our board of directors has established an audit committee, a compensation committee, a corporate governance and nominating committee and a research and development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112"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20"/>
          <w:szCs w:val="20"/>
          <w:color w:val="auto"/>
        </w:rPr>
        <w:t>Our audit committee consists of Ms. Hemrajani, Mr. Garland and Dr. Klencke. Ms. Hemrajani is the chair of our audit committee and is our audit committee financial expert, as that term is defined under the SEC rules implementing Section 407 of Sarbanes-Oxley Act of 2002,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p>
    <w:p>
      <w:pPr>
        <w:spacing w:after="0" w:line="184"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selects and hires the independent registered public accounting firm to audit our consolidated financial statements;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helps to ensure the independence and evaluate the performance of the registered public accounting firm;</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approves audit and non-audit services and fees;</w:t>
      </w:r>
    </w:p>
    <w:p>
      <w:pPr>
        <w:spacing w:after="0" w:line="107" w:lineRule="exact"/>
        <w:rPr>
          <w:rFonts w:ascii="Times New Roman" w:cs="Times New Roman" w:eastAsia="Times New Roman" w:hAnsi="Times New Roman"/>
          <w:sz w:val="20"/>
          <w:szCs w:val="20"/>
          <w:color w:val="auto"/>
        </w:rPr>
      </w:pPr>
    </w:p>
    <w:p>
      <w:pPr>
        <w:ind w:left="1140" w:hanging="383"/>
        <w:spacing w:after="0" w:line="254"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our consolidated financial statements and discusses with management and the independent registered public accounting firm our annual audited and quarterly reviewed consolidated financial statements and the results of the independent audits and the quarterly reviews;</w:t>
      </w:r>
    </w:p>
    <w:p>
      <w:pPr>
        <w:spacing w:after="0" w:line="66"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the audit committee report that the SEC requires to be included in our annual proxy statement;</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reports and communications from the independent registered public accounting firm;</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the adequacy and effectiveness of our internal controls and disclosure controls and procedure;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our policies on risk assessment and risk management;</w:t>
      </w:r>
    </w:p>
    <w:p>
      <w:pPr>
        <w:spacing w:after="0" w:line="107" w:lineRule="exact"/>
        <w:rPr>
          <w:rFonts w:ascii="Times New Roman" w:cs="Times New Roman" w:eastAsia="Times New Roman" w:hAnsi="Times New Roman"/>
          <w:sz w:val="20"/>
          <w:szCs w:val="20"/>
          <w:color w:val="auto"/>
        </w:rPr>
      </w:pPr>
    </w:p>
    <w:p>
      <w:pPr>
        <w:ind w:left="1140" w:right="120" w:hanging="383"/>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monitors conflicts of interest situations, and approves or prohibits any involvement in matters that may involve a conflict of interest or taking of a corporate opportunity;</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related party transactions; and</w:t>
      </w:r>
    </w:p>
    <w:p>
      <w:pPr>
        <w:spacing w:after="0" w:line="107" w:lineRule="exact"/>
        <w:rPr>
          <w:rFonts w:ascii="Times New Roman" w:cs="Times New Roman" w:eastAsia="Times New Roman" w:hAnsi="Times New Roman"/>
          <w:sz w:val="20"/>
          <w:szCs w:val="20"/>
          <w:color w:val="auto"/>
        </w:rPr>
      </w:pPr>
    </w:p>
    <w:p>
      <w:pPr>
        <w:ind w:left="1140" w:right="860" w:hanging="383"/>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spacing w:after="0" w:line="189"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20"/>
          <w:szCs w:val="20"/>
          <w:color w:val="auto"/>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2024, our audit committee held four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112"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Our compensation committee consists of Drs. Goodman and Takimoto and Mr. Garland. Dr. Goodman is the chair of our compensation committee. Our board of directors has determined that each of the members of our compensation committee is independent under the listing standards of Nasdaq and a “non-employee director” as defined in Rule 16b-3 under the Exchange Act. Our compensation committee oversees our compensation policies, plans, and benefits programs. The compensation committee also:</w:t>
      </w:r>
    </w:p>
    <w:p>
      <w:pPr>
        <w:spacing w:after="0" w:line="180" w:lineRule="exact"/>
        <w:rPr>
          <w:sz w:val="20"/>
          <w:szCs w:val="20"/>
          <w:color w:val="auto"/>
        </w:rPr>
      </w:pPr>
    </w:p>
    <w:p>
      <w:pPr>
        <w:ind w:left="1140" w:hanging="383"/>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oversees our overall compensation philosophy and compensation policies, including the Compensation Recovery Policy, plans and benefit programs;</w:t>
      </w:r>
    </w:p>
    <w:p>
      <w:pPr>
        <w:spacing w:after="0" w:line="51" w:lineRule="exact"/>
        <w:rPr>
          <w:rFonts w:ascii="Times New Roman" w:cs="Times New Roman" w:eastAsia="Times New Roman" w:hAnsi="Times New Roman"/>
          <w:sz w:val="20"/>
          <w:szCs w:val="20"/>
          <w:color w:val="auto"/>
        </w:rPr>
      </w:pPr>
    </w:p>
    <w:p>
      <w:pPr>
        <w:ind w:left="1140" w:right="200" w:hanging="383"/>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approves, or recommends to the board of directors for approval, the compensation of our executive officers and directors;</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the compensation committee report, if required by the SEC to be included in our annual proxy statement;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administers our equity compensation plans.</w:t>
      </w:r>
    </w:p>
    <w:p>
      <w:pPr>
        <w:spacing w:after="0" w:line="21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2024, our compensation committee held six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Governance and Nominating Committee</w:t>
      </w:r>
    </w:p>
    <w:p>
      <w:pPr>
        <w:spacing w:after="0" w:line="11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20"/>
          <w:szCs w:val="20"/>
          <w:color w:val="auto"/>
        </w:rPr>
        <w:t>Our corporate governance and nominating committee currently consists of Mr. Garland, Dr. Goodman and Ms. Hemrajani. Mr. Garland is the chair of our corporate governance and nominating committee. Our board of directors has determined that each member of our corporate governance and nominating committee is independent under the listing standards of Nasdaq.</w:t>
      </w:r>
    </w:p>
    <w:p>
      <w:pPr>
        <w:spacing w:after="0" w:line="174"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Our corporate governance and nominating committee oversees and assists our board of directors in reviewing and recommending nominees for election as directors. Specifically, the corporate governance and nominating committee:</w:t>
      </w:r>
    </w:p>
    <w:p>
      <w:pPr>
        <w:spacing w:after="0" w:line="159" w:lineRule="exact"/>
        <w:rPr>
          <w:sz w:val="20"/>
          <w:szCs w:val="20"/>
          <w:color w:val="auto"/>
        </w:rPr>
      </w:pPr>
    </w:p>
    <w:p>
      <w:pPr>
        <w:ind w:left="1140" w:right="280" w:hanging="383"/>
        <w:spacing w:after="0" w:line="269" w:lineRule="auto"/>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identifies, evaluates, and makes recommendations to our board of directors regarding nominees for election to our board of directors and its committees;</w:t>
      </w:r>
    </w:p>
    <w:p>
      <w:pPr>
        <w:spacing w:after="0" w:line="51" w:lineRule="exact"/>
        <w:rPr>
          <w:rFonts w:ascii="Times New Roman" w:cs="Times New Roman" w:eastAsia="Times New Roman" w:hAnsi="Times New Roman"/>
          <w:sz w:val="20"/>
          <w:szCs w:val="20"/>
          <w:color w:val="auto"/>
        </w:rPr>
      </w:pPr>
    </w:p>
    <w:p>
      <w:pPr>
        <w:ind w:left="1140" w:right="280" w:hanging="383"/>
        <w:spacing w:after="0" w:line="269" w:lineRule="auto"/>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considers and makes recommendations to our board of directors regarding the composition of our board of directors and its committees;</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developments in corporate governance practices;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the adequacy of our corporate governance practices and reporting;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the performance of our board of directors and of individual directors.</w:t>
      </w:r>
    </w:p>
    <w:p>
      <w:pPr>
        <w:spacing w:after="0" w:line="216"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Our corporate governance and nominating committee operates under a written charter that satisfies the listing standards of Nasdaq. A copy of the charter for our corporate governance and</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 w:name="page22"/>
    <w:bookmarkEnd w:id="21"/>
    <w:p>
      <w:pPr>
        <w:spacing w:after="0" w:line="18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nominating committee is available on our investor relations website at https://ir.alxoncology.com/. During 2024, our corporate governance and nominating committee held four meetings.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Committee</w:t>
      </w:r>
    </w:p>
    <w:p>
      <w:pPr>
        <w:spacing w:after="0" w:line="112"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Our research and development committee currently consists of Drs. Goodman, Klencke and Takimoto. Dr. Goodman is the chair of our research and development committee.</w:t>
      </w:r>
    </w:p>
    <w:p>
      <w:pPr>
        <w:spacing w:after="0" w:line="159"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Our research and development committee oversees and assists our board of directors in reviewing and advising the Company’s research and development efforts, including as it relates to the research and development strategy, product pipeline and manufacturing thereof, and other clinical, scientific and research and development matters. The Committee also provides advice on the scientific, technical, medical, or clinical implications of potential business development opportunities.</w:t>
      </w:r>
    </w:p>
    <w:p>
      <w:pPr>
        <w:spacing w:after="0" w:line="180" w:lineRule="exact"/>
        <w:rPr>
          <w:sz w:val="20"/>
          <w:szCs w:val="20"/>
          <w:color w:val="auto"/>
        </w:rPr>
      </w:pPr>
    </w:p>
    <w:p>
      <w:pPr>
        <w:jc w:val="both"/>
        <w:ind w:right="80" w:firstLine="749"/>
        <w:spacing w:after="0" w:line="274" w:lineRule="auto"/>
        <w:rPr>
          <w:sz w:val="20"/>
          <w:szCs w:val="20"/>
          <w:color w:val="auto"/>
        </w:rPr>
      </w:pPr>
      <w:r>
        <w:rPr>
          <w:rFonts w:ascii="Times New Roman" w:cs="Times New Roman" w:eastAsia="Times New Roman" w:hAnsi="Times New Roman"/>
          <w:sz w:val="19"/>
          <w:szCs w:val="19"/>
          <w:color w:val="auto"/>
        </w:rPr>
        <w:t>Our research and development committee operates under a written charter setting forth the purpose, composition and responsibility of our research and development committee. A copy of the charter for our research and development committee is available on our investor relations website at https://ir.alxoncology.com/. Our research and development committee was formally established on January 16, 2025.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Attendance at Board and Stockholder Meetings</w:t>
      </w:r>
    </w:p>
    <w:p>
      <w:pPr>
        <w:spacing w:after="0" w:line="112"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0"/>
          <w:szCs w:val="20"/>
          <w:color w:val="auto"/>
        </w:rPr>
        <w:t>During our fiscal year ended December 31, 2024, our board of directors held seven meetings (including regularly scheduled and special meetings), and each director attended at least 75% of the aggregate of (i) the total number of meetings of our board of directors held during the period for which they have been a director and (ii) the total number of meetings held by all committees of our board of directors on which they served during the periods that they served on such committee.</w:t>
      </w:r>
    </w:p>
    <w:p>
      <w:pPr>
        <w:spacing w:after="0" w:line="180"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20"/>
          <w:szCs w:val="20"/>
          <w:color w:val="auto"/>
        </w:rPr>
        <w:t>Although we do not have a formal policy regarding attendance by members of our board of directors at annual meetings of stockholders, we strongly encourage, but do not require, our directors to attend. This is our fifth annual meeting of stockholders as a public company. All except for one of our then-current directors attended our 2024 annual meeting of stockholders.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1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During 2024, Drs. Goodman and Sandler and Messrs. Garland and Nielsen served on our compensation committee. Mr. Nielsen resigned as a member of our compensation committee on April 28, 2024. Dr. Sandler was appointed to the compensation committee on August 5, 2024 and resigned as a member of the compensation committee on November 10, 2024 prior to his appointment as our Chief Medical Officer. Other than Dr. Sandler and Mr. Lettmann who served on the compensation committee in 2023 and prior to his appointment as our Chief Executive Officer,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Considerations in Evaluating Director Nominees</w:t>
      </w:r>
    </w:p>
    <w:p>
      <w:pPr>
        <w:spacing w:after="0" w:line="112" w:lineRule="exact"/>
        <w:rPr>
          <w:sz w:val="20"/>
          <w:szCs w:val="20"/>
          <w:color w:val="auto"/>
        </w:rPr>
      </w:pPr>
    </w:p>
    <w:p>
      <w:pPr>
        <w:ind w:right="320" w:firstLine="749"/>
        <w:spacing w:after="0" w:line="274" w:lineRule="auto"/>
        <w:rPr>
          <w:sz w:val="20"/>
          <w:szCs w:val="20"/>
          <w:color w:val="auto"/>
        </w:rPr>
      </w:pPr>
      <w:r>
        <w:rPr>
          <w:rFonts w:ascii="Times New Roman" w:cs="Times New Roman" w:eastAsia="Times New Roman" w:hAnsi="Times New Roman"/>
          <w:sz w:val="19"/>
          <w:szCs w:val="19"/>
          <w:color w:val="auto"/>
        </w:rPr>
        <w:t>Our corporate governance and nominating committee uses a variety of methods, including engaging the services of outside consultants and search firms, to identify and evaluate director nominees. We have in the past used a search firm to identify, interview and screen director nominee candidates and conduct background and reference checks. In its evaluation of director candidates, our corporate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90"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directors and committee evaluations. After completing its review and evaluation of director candidates, our corporate governance and nominating committee recommends to our full board of directors the director nominees for selection.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Recommendations for Nominations to the Board of Directors</w:t>
      </w:r>
    </w:p>
    <w:p>
      <w:pPr>
        <w:spacing w:after="0" w:line="11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9"/>
          <w:szCs w:val="19"/>
          <w:color w:val="auto"/>
        </w:rPr>
        <w:t>Our corporate governance and nominating committee will consider director candidates recommended by stockholders holding no less than $2,000 in market value, or 1%, of the outstanding shares of our common stock continuously for at least 12 months prior to the date of the submission of the recommendation or nomination, as long as such recommendations or nominations comply with our amended and restated certificate of incorporation, Bylaws, policies and procedures for director candidates, and applicable laws, rules and regulations, including those promulgated by the SEC. Our corporate governance and nominating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including the principal occupation or employment of the candidate; a statement of support executed by the candidate acknowledging that as a director of the corporation, the nominee will owe a fiduciary duty under Delaware law with respect to the corporation and its stockholders; evidence of the recommending stockholder’s ownership of our capital stock; a description of all arrangements or understandings between the stockholder and each nominee and any other person or persons (naming such person or persons) pursuant to which the nominations are to be made by the stockholder; and any additional information required by our Bylaws and our policies and procedures for director candidates. Our corporate governance and nominating committee has discretion to decide which individuals to recommend for nomination as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Communications with the Board of Directors</w:t>
      </w:r>
    </w:p>
    <w:p>
      <w:pPr>
        <w:spacing w:after="0" w:line="112"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Interested parties wishing to communicate with non-management members of our board of directors may do so by writing and mailing the correspondence to our Secretary at ALX Oncology Holdings Inc., 323 Allerton Avenue, South San Francisco, California 94080. Our Secretary monitors these communications and will provide a summary of all received bona fide messages to our board of directors at each regularly scheduled meeting of our board of directors. Where the nature of a communication warrants, our Secretary may determine, in their judgment, to obtain the more immediate attention of the appropriate committee of the board of directors or non-management director, of independent advisors or of our management.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This procedure does not apply to (1) communications to non-management directors from officers or directors who are stockholders,</w:t>
      </w:r>
    </w:p>
    <w:p>
      <w:pPr>
        <w:spacing w:after="0" w:line="33" w:lineRule="exact"/>
        <w:rPr>
          <w:sz w:val="20"/>
          <w:szCs w:val="20"/>
          <w:color w:val="auto"/>
        </w:rPr>
      </w:pPr>
    </w:p>
    <w:p>
      <w:pPr>
        <w:ind w:right="120" w:firstLine="8"/>
        <w:spacing w:after="0" w:line="246" w:lineRule="auto"/>
        <w:tabs>
          <w:tab w:leader="none" w:pos="2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 proposals submitted pursuant to Rule 14a-8 under the Exchange Act or (3) communications to our audit committee pursuant to our complaint procedures for accounting and auditing matters.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 and Code of Business Conduct and Ethics</w:t>
      </w:r>
    </w:p>
    <w:p>
      <w:pPr>
        <w:spacing w:after="0" w:line="11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12"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20"/>
          <w:szCs w:val="20"/>
          <w:color w:val="auto"/>
        </w:rPr>
        <w:t>We maintain an Outside Director Compensation Policy that provides for certain compensation to our non-employee directors. Our Outside Director Compensation Policy is designed to attract, retain and reward non-employee directors. This policy is reviewed periodically by our board of directors and our compensation committee with input from our compensation committee’s independent compensation consultant, Compensia, regarding practices and compensation levels at comparable companies. On January 16, 2025, our board of directors amended the Outside Director Compensation Policy in consultation with Compensia following review of updated market data for peer companies.</w:t>
      </w:r>
    </w:p>
    <w:p>
      <w:pPr>
        <w:spacing w:after="0" w:line="184"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Under the Outside Director Compensation Policy, each non-employee director receives cash and equity compensation for his or her services as a member of our board of directors, as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Compensation</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Outside Director Compensation Policy provides for the following cash compensation program for our non-employee directors:</w:t>
      </w:r>
    </w:p>
    <w:p>
      <w:pPr>
        <w:spacing w:after="0" w:line="227"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 per year for service as a non-employee director;</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$35,000 per year for service as non-employee chair of our board of directors;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per year for service as chair of the audit committee;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$7,500 per year for service as a member of the audit committee;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81"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 per year for service as chair of the compensation committee;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$6,000 per year for service as a member of the compensation committee;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chair of the corporate governance and nominating committee;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per year for service as a member of the corporate governance and nominating committee;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chair of the research and development committee;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per year for service as a member of the research and development committee.</w:t>
      </w:r>
    </w:p>
    <w:p>
      <w:pPr>
        <w:spacing w:after="0" w:line="216"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Compensation</w:t>
      </w:r>
    </w:p>
    <w:p>
      <w:pPr>
        <w:spacing w:after="0" w:line="108"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i w:val="1"/>
          <w:iCs w:val="1"/>
          <w:color w:val="auto"/>
        </w:rPr>
        <w:t>Initial Award</w:t>
      </w:r>
      <w:r>
        <w:rPr>
          <w:rFonts w:ascii="Times New Roman" w:cs="Times New Roman" w:eastAsia="Times New Roman" w:hAnsi="Times New Roman"/>
          <w:sz w:val="20"/>
          <w:szCs w:val="20"/>
          <w:color w:val="auto"/>
        </w:rPr>
        <w:t>. Pursuant to our Outside Director Compensation Policy, each person who first becomes a non-employee director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effective date of such policy will receive, on the first trading day on or after the date that the person first becomes a non-employee director, an initial award, or the Initial Award, of stock options to purchase 40,400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7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i w:val="1"/>
          <w:iCs w:val="1"/>
          <w:color w:val="auto"/>
        </w:rPr>
        <w:t>Annual Award</w:t>
      </w:r>
      <w:r>
        <w:rPr>
          <w:rFonts w:ascii="Times New Roman" w:cs="Times New Roman" w:eastAsia="Times New Roman" w:hAnsi="Times New Roman"/>
          <w:sz w:val="20"/>
          <w:szCs w:val="20"/>
          <w:color w:val="auto"/>
        </w:rPr>
        <w:t>. Pursuant to our Outside Director Compensation Policy as effective in 2024, each non-employee director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automatically would receive, on the first trading day immediately after the date of each annual meeting of our stockholders, an annual award, or the Annual Award, of stock options to purchase 20,200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Pursuant to our Outside Director Compensation Policy that was amended in January 2025, each non-employee director automatically will receive, on the first trading day on or after January 20 of each year, an Annual Award of stock options to purchase 40,400 shares of our common stock, with such number of shares prorated if the recipient commenced service as a non-employee director after the first trading day on or after January 20 of the immediately preceding year,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8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 in Control. </w:t>
      </w:r>
      <w:r>
        <w:rPr>
          <w:rFonts w:ascii="Times New Roman" w:cs="Times New Roman" w:eastAsia="Times New Roman" w:hAnsi="Times New Roman"/>
          <w:sz w:val="20"/>
          <w:szCs w:val="20"/>
          <w:color w:val="auto"/>
        </w:rPr>
        <w:t>In the event of a change in control, as defined in our Amended and Restated 2020 Equity Incentive Plan (2020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each non-employee director’s then outstanding equity awards covering shares of our common stock will accelerate vesting in full, provided that he or she remains a non-employee director through the date of our change in control.</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 w:name="page26"/>
    <w:bookmarkEnd w:id="25"/>
    <w:p>
      <w:pPr>
        <w:spacing w:after="0" w:line="185" w:lineRule="exact"/>
        <w:rPr>
          <w:sz w:val="20"/>
          <w:szCs w:val="20"/>
          <w:color w:val="auto"/>
        </w:rPr>
      </w:pPr>
    </w:p>
    <w:p>
      <w:pPr>
        <w:ind w:right="420" w:firstLine="749"/>
        <w:spacing w:after="0" w:line="276" w:lineRule="auto"/>
        <w:rPr>
          <w:sz w:val="20"/>
          <w:szCs w:val="20"/>
          <w:color w:val="auto"/>
        </w:rPr>
      </w:pPr>
      <w:r>
        <w:rPr>
          <w:rFonts w:ascii="Times New Roman" w:cs="Times New Roman" w:eastAsia="Times New Roman" w:hAnsi="Times New Roman"/>
          <w:sz w:val="19"/>
          <w:szCs w:val="19"/>
          <w:i w:val="1"/>
          <w:iCs w:val="1"/>
          <w:color w:val="auto"/>
        </w:rPr>
        <w:t>Other Award Terms</w:t>
      </w:r>
      <w:r>
        <w:rPr>
          <w:rFonts w:ascii="Times New Roman" w:cs="Times New Roman" w:eastAsia="Times New Roman" w:hAnsi="Times New Roman"/>
          <w:sz w:val="19"/>
          <w:szCs w:val="19"/>
          <w:color w:val="auto"/>
        </w:rPr>
        <w:t>. Each Initial Award and Annual Award will be granted under our 2020 Plan (or its successor plan,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51"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Director Compensation Limits. </w:t>
      </w:r>
      <w:r>
        <w:rPr>
          <w:rFonts w:ascii="Times New Roman" w:cs="Times New Roman" w:eastAsia="Times New Roman" w:hAnsi="Times New Roman"/>
          <w:sz w:val="20"/>
          <w:szCs w:val="20"/>
          <w:color w:val="auto"/>
        </w:rPr>
        <w:t>Our Outside Director Compensation Policy and our 2020 Plan 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Compensation</w:t>
      </w:r>
    </w:p>
    <w:p>
      <w:pPr>
        <w:spacing w:after="0" w:line="11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Directors who are also our employees receive no additional compensation for their service as directors. During 2024, Mr. Lettmann and Drs. Pons and Randolph were employees and executive officers of the Company and did not receive compensation as directors. On November 10, 2024, Dr. Sandler resigned as a member of the board of directors and became an employee and executive officer of the Company. See the section titled “Executive Compensation” for additional information about Mr. Lettmann’s and Drs. Pons’, Randolph’s and Sandler’s compensation for the year ended December 31, 2024.</w:t>
      </w:r>
    </w:p>
    <w:p>
      <w:pPr>
        <w:spacing w:after="0" w:line="185"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total compensation of each of our non-employee directors received during the year ended December 31, 2024. Other than as set forth in the table, we did not pay any compensation, make any equity awards or non-equity awards to or pay any other compensation to any of our non-employee directors in 2024. Drs. Klencke and Takimoto joined our board of directors on January 18, 2025 and are excluded from the table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 Compensation for Fiscal Year 2024</w:t>
      </w:r>
      <w:r>
        <w:rPr>
          <w:rFonts w:ascii="Times New Roman" w:cs="Times New Roman" w:eastAsia="Times New Roman" w:hAnsi="Times New Roman"/>
          <w:sz w:val="26"/>
          <w:szCs w:val="26"/>
          <w:i w:val="1"/>
          <w:iCs w:val="1"/>
          <w:color w:val="auto"/>
          <w:vertAlign w:val="superscript"/>
        </w:rPr>
        <w:t>(1)</w:t>
      </w:r>
    </w:p>
    <w:tbl>
      <w:tblPr>
        <w:tblLayout w:type="fixed"/>
        <w:tblInd w:w="0" w:type="dxa"/>
        <w:tblCellMar>
          <w:top w:w="0" w:type="dxa"/>
          <w:left w:w="0" w:type="dxa"/>
          <w:bottom w:w="0" w:type="dxa"/>
          <w:right w:w="0" w:type="dxa"/>
        </w:tblCellMar>
      </w:tblPr>
      <w:tr>
        <w:trPr>
          <w:trHeight w:val="130"/>
        </w:trPr>
        <w:tc>
          <w:tcPr>
            <w:tcW w:w="520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1"/>
                <w:szCs w:val="11"/>
                <w:color w:val="auto"/>
              </w:rPr>
            </w:pPr>
          </w:p>
        </w:tc>
        <w:tc>
          <w:tcPr>
            <w:tcW w:w="176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40" w:type="dxa"/>
            <w:vAlign w:val="bottom"/>
          </w:tcPr>
          <w:p>
            <w:pPr>
              <w:spacing w:after="0"/>
              <w:rPr>
                <w:sz w:val="11"/>
                <w:szCs w:val="11"/>
                <w:color w:val="auto"/>
              </w:rPr>
            </w:pPr>
          </w:p>
        </w:tc>
        <w:tc>
          <w:tcPr>
            <w:tcW w:w="17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9"/>
                <w:szCs w:val="19"/>
                <w:b w:val="1"/>
                <w:bCs w:val="1"/>
                <w:color w:val="auto"/>
                <w:vertAlign w:val="superscript"/>
              </w:rPr>
              <w:t>(2)</w:t>
            </w:r>
          </w:p>
        </w:tc>
        <w:tc>
          <w:tcPr>
            <w:tcW w:w="240" w:type="dxa"/>
            <w:vAlign w:val="bottom"/>
          </w:tcPr>
          <w:p>
            <w:pPr>
              <w:spacing w:after="0"/>
              <w:rPr>
                <w:sz w:val="11"/>
                <w:szCs w:val="11"/>
                <w:color w:val="auto"/>
              </w:rPr>
            </w:pPr>
          </w:p>
        </w:tc>
        <w:tc>
          <w:tcPr>
            <w:tcW w:w="17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4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Itziar Canamasas, Ph.D.</w:t>
            </w:r>
            <w:r>
              <w:rPr>
                <w:rFonts w:ascii="Times New Roman" w:cs="Times New Roman" w:eastAsia="Times New Roman" w:hAnsi="Times New Roman"/>
                <w:sz w:val="21"/>
                <w:szCs w:val="21"/>
                <w:color w:val="auto"/>
                <w:vertAlign w:val="superscript"/>
              </w:rPr>
              <w:t>(3)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Scott Garland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121,828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Corey Goodman, Ph.D.</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95,018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121,828</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Rekha Hemrajani</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121,828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Jack Nielsen</w:t>
            </w:r>
            <w:r>
              <w:rPr>
                <w:rFonts w:ascii="Times New Roman" w:cs="Times New Roman" w:eastAsia="Times New Roman" w:hAnsi="Times New Roman"/>
                <w:sz w:val="21"/>
                <w:szCs w:val="21"/>
                <w:color w:val="auto"/>
                <w:vertAlign w:val="superscript"/>
              </w:rPr>
              <w:t>(4)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Alan Sandler, M.D.</w:t>
            </w:r>
            <w:r>
              <w:rPr>
                <w:rFonts w:ascii="Times New Roman" w:cs="Times New Roman" w:eastAsia="Times New Roman" w:hAnsi="Times New Roman"/>
                <w:sz w:val="21"/>
                <w:szCs w:val="21"/>
                <w:color w:val="auto"/>
                <w:vertAlign w:val="superscript"/>
              </w:rPr>
              <w:t>(5)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82,978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compensation paid in 2024 is consistent with our Outside Director Compensation Policy as effective in 2024, described above.</w:t>
      </w:r>
    </w:p>
    <w:p>
      <w:pPr>
        <w:spacing w:after="0" w:line="76"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column reflects the aggregate grant date fair value of option awards granted to the director computed in accordance with Financial Accounting Standards Board (FASB) Accounting Standards Codification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See Note 8 to our consolidated financial statements included in our Annual Report on Form 10-K for the year ended December 31, 2024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spacing w:after="0" w:line="4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Canamasas resigned as a member of our board of directors on April 30, 2024.</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Nielsen resigned as a member of our board of directors on April 28, 2024.</w:t>
      </w:r>
    </w:p>
    <w:p>
      <w:pPr>
        <w:spacing w:after="0" w:line="76"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2024, Dr. Sandler resigned as a member of our board of directors and was subsequently appointed as the Chief Medical Officer. The amounts reflected are solely payments for Dr. Sandler’s service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5"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as a non-employee director. For Dr. Sandler’s compensation as the Chief Medical Officer, see section titled “—Executive Employment Letter Agreements.”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following table lists all outstanding equity awards held by non-employee directors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3"/>
          </w:tcPr>
          <w:p>
            <w:pPr>
              <w:jc w:val="right"/>
              <w:ind w:right="116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2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520" w:type="dxa"/>
            <w:vAlign w:val="bottom"/>
          </w:tcPr>
          <w:p>
            <w:pPr>
              <w:spacing w:after="0"/>
              <w:rPr>
                <w:sz w:val="10"/>
                <w:szCs w:val="10"/>
                <w:color w:val="auto"/>
              </w:rPr>
            </w:pPr>
          </w:p>
        </w:tc>
        <w:tc>
          <w:tcPr>
            <w:tcW w:w="152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00" w:type="dxa"/>
            <w:vAlign w:val="bottom"/>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Exercisable</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Expiration Date</w:t>
            </w:r>
          </w:p>
        </w:tc>
        <w:tc>
          <w:tcPr>
            <w:tcW w:w="0" w:type="dxa"/>
            <w:vAlign w:val="bottom"/>
          </w:tcPr>
          <w:p>
            <w:pPr>
              <w:spacing w:after="0"/>
              <w:rPr>
                <w:sz w:val="1"/>
                <w:szCs w:val="1"/>
                <w:color w:val="auto"/>
              </w:rPr>
            </w:pPr>
          </w:p>
        </w:tc>
      </w:tr>
      <w:tr>
        <w:trPr>
          <w:trHeight w:val="173"/>
        </w:trPr>
        <w:tc>
          <w:tcPr>
            <w:tcW w:w="22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Options</w:t>
            </w:r>
          </w:p>
        </w:tc>
        <w:tc>
          <w:tcPr>
            <w:tcW w:w="520" w:type="dxa"/>
            <w:vAlign w:val="bottom"/>
          </w:tcPr>
          <w:p>
            <w:pPr>
              <w:spacing w:after="0"/>
              <w:rPr>
                <w:sz w:val="15"/>
                <w:szCs w:val="15"/>
                <w:color w:val="auto"/>
              </w:rPr>
            </w:pPr>
          </w:p>
        </w:tc>
        <w:tc>
          <w:tcPr>
            <w:tcW w:w="15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Scott Garland</w:t>
            </w:r>
          </w:p>
        </w:tc>
        <w:tc>
          <w:tcPr>
            <w:tcW w:w="17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06/13/24</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5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06/12/34</w:t>
            </w: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06/20/23</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06/19/33</w:t>
            </w: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11/28/22</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5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11/27/32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189"/>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Corey Goodman, Ph.D.</w:t>
            </w:r>
          </w:p>
        </w:tc>
        <w:tc>
          <w:tcPr>
            <w:tcW w:w="2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06/13/24</w:t>
            </w:r>
          </w:p>
        </w:tc>
        <w:tc>
          <w:tcPr>
            <w:tcW w:w="19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w:t>
            </w:r>
          </w:p>
        </w:tc>
      </w:tr>
      <w:tr>
        <w:trPr>
          <w:trHeight w:val="203"/>
        </w:trPr>
        <w:tc>
          <w:tcPr>
            <w:tcW w:w="2220" w:type="dxa"/>
            <w:vAlign w:val="bottom"/>
          </w:tcPr>
          <w:p>
            <w:pPr>
              <w:spacing w:after="0"/>
              <w:rPr>
                <w:sz w:val="17"/>
                <w:szCs w:val="17"/>
                <w:color w:val="auto"/>
              </w:rPr>
            </w:pPr>
          </w:p>
        </w:tc>
        <w:tc>
          <w:tcPr>
            <w:tcW w:w="2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06/20/23</w:t>
            </w:r>
          </w:p>
        </w:tc>
        <w:tc>
          <w:tcPr>
            <w:tcW w:w="19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20,200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20" w:type="dxa"/>
            <w:vAlign w:val="bottom"/>
          </w:tcPr>
          <w:p>
            <w:pPr>
              <w:spacing w:after="0"/>
              <w:rPr>
                <w:sz w:val="17"/>
                <w:szCs w:val="17"/>
                <w:color w:val="auto"/>
              </w:rPr>
            </w:pPr>
          </w:p>
        </w:tc>
        <w:tc>
          <w:tcPr>
            <w:tcW w:w="2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06/15/22</w:t>
            </w:r>
          </w:p>
        </w:tc>
        <w:tc>
          <w:tcPr>
            <w:tcW w:w="19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12,004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20" w:type="dxa"/>
            <w:vAlign w:val="bottom"/>
          </w:tcPr>
          <w:p>
            <w:pPr>
              <w:spacing w:after="0"/>
              <w:rPr>
                <w:sz w:val="17"/>
                <w:szCs w:val="17"/>
                <w:color w:val="auto"/>
              </w:rPr>
            </w:pPr>
          </w:p>
        </w:tc>
        <w:tc>
          <w:tcPr>
            <w:tcW w:w="2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06/11/21</w:t>
            </w:r>
          </w:p>
        </w:tc>
        <w:tc>
          <w:tcPr>
            <w:tcW w:w="19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12,004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220" w:type="dxa"/>
            <w:vAlign w:val="bottom"/>
          </w:tcPr>
          <w:p>
            <w:pPr>
              <w:spacing w:after="0"/>
              <w:rPr>
                <w:sz w:val="18"/>
                <w:szCs w:val="18"/>
                <w:color w:val="auto"/>
              </w:rPr>
            </w:pPr>
          </w:p>
        </w:tc>
        <w:tc>
          <w:tcPr>
            <w:tcW w:w="2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07/16/20</w:t>
            </w:r>
          </w:p>
        </w:tc>
        <w:tc>
          <w:tcPr>
            <w:tcW w:w="19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24,009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93"/>
              </w:rPr>
              <w:t>(1)</w:t>
            </w: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8.44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06/12/34</w:t>
            </w:r>
          </w:p>
        </w:tc>
      </w:tr>
      <w:tr>
        <w:trPr>
          <w:trHeight w:val="203"/>
        </w:trPr>
        <w:tc>
          <w:tcPr>
            <w:tcW w:w="84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93"/>
              </w:rPr>
              <w:t>(2)</w:t>
            </w: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8.14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06/19/33</w:t>
            </w:r>
          </w:p>
        </w:tc>
      </w:tr>
      <w:tr>
        <w:trPr>
          <w:trHeight w:val="203"/>
        </w:trPr>
        <w:tc>
          <w:tcPr>
            <w:tcW w:w="84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93"/>
              </w:rPr>
              <w:t>(2)</w:t>
            </w: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6.67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06/14/32</w:t>
            </w:r>
          </w:p>
        </w:tc>
      </w:tr>
      <w:tr>
        <w:trPr>
          <w:trHeight w:val="203"/>
        </w:trPr>
        <w:tc>
          <w:tcPr>
            <w:tcW w:w="84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93"/>
              </w:rPr>
              <w:t>(2)</w:t>
            </w: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59.66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06/10/31</w:t>
            </w:r>
          </w:p>
        </w:tc>
      </w:tr>
      <w:tr>
        <w:trPr>
          <w:trHeight w:val="210"/>
        </w:trPr>
        <w:tc>
          <w:tcPr>
            <w:tcW w:w="84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93"/>
              </w:rPr>
              <w:t>(2)</w:t>
            </w: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19.00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07/16/30</w:t>
            </w:r>
          </w:p>
        </w:tc>
      </w:tr>
    </w:tbl>
    <w:p>
      <w:pPr>
        <w:spacing w:after="0" w:line="20" w:lineRule="exact"/>
        <w:rPr>
          <w:sz w:val="20"/>
          <w:szCs w:val="20"/>
          <w:color w:val="auto"/>
        </w:rPr>
      </w:pPr>
    </w:p>
    <w:p>
      <w:pPr>
        <w:sectPr>
          <w:pgSz w:w="11900" w:h="16838" w:orient="portrait"/>
          <w:cols w:equalWidth="0" w:num="2">
            <w:col w:w="7360" w:space="120"/>
            <w:col w:w="3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Rekha Hemrajani</w:t>
            </w:r>
          </w:p>
        </w:tc>
        <w:tc>
          <w:tcPr>
            <w:tcW w:w="1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06/13/24</w:t>
            </w:r>
          </w:p>
        </w:tc>
        <w:tc>
          <w:tcPr>
            <w:tcW w:w="22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10,100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9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1"/>
                <w:szCs w:val="11"/>
                <w:color w:val="auto"/>
              </w:rPr>
              <w:t>(1)</w:t>
            </w:r>
          </w:p>
        </w:tc>
        <w:tc>
          <w:tcPr>
            <w:tcW w:w="17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8.44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06/12/34</w:t>
            </w:r>
          </w:p>
        </w:tc>
      </w:tr>
      <w:tr>
        <w:trPr>
          <w:trHeight w:val="203"/>
        </w:trPr>
        <w:tc>
          <w:tcPr>
            <w:tcW w:w="2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06/20/23</w:t>
            </w:r>
          </w:p>
        </w:tc>
        <w:tc>
          <w:tcPr>
            <w:tcW w:w="22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20,200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1"/>
                <w:szCs w:val="11"/>
                <w:color w:val="auto"/>
              </w:rPr>
              <w:t>(2)</w:t>
            </w:r>
          </w:p>
        </w:tc>
        <w:tc>
          <w:tcPr>
            <w:tcW w:w="17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8.14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06/19/33</w:t>
            </w:r>
          </w:p>
        </w:tc>
      </w:tr>
      <w:tr>
        <w:trPr>
          <w:trHeight w:val="203"/>
        </w:trPr>
        <w:tc>
          <w:tcPr>
            <w:tcW w:w="2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06/15/22</w:t>
            </w:r>
          </w:p>
        </w:tc>
        <w:tc>
          <w:tcPr>
            <w:tcW w:w="22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12,004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1"/>
                <w:szCs w:val="11"/>
                <w:color w:val="auto"/>
              </w:rPr>
              <w:t>(2)</w:t>
            </w:r>
          </w:p>
        </w:tc>
        <w:tc>
          <w:tcPr>
            <w:tcW w:w="17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6.67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06/14/32</w:t>
            </w:r>
          </w:p>
        </w:tc>
      </w:tr>
      <w:tr>
        <w:trPr>
          <w:trHeight w:val="203"/>
        </w:trPr>
        <w:tc>
          <w:tcPr>
            <w:tcW w:w="2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06/11/21</w:t>
            </w:r>
          </w:p>
        </w:tc>
        <w:tc>
          <w:tcPr>
            <w:tcW w:w="22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12,004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1"/>
                <w:szCs w:val="11"/>
                <w:color w:val="auto"/>
              </w:rPr>
              <w:t>(2)</w:t>
            </w:r>
          </w:p>
        </w:tc>
        <w:tc>
          <w:tcPr>
            <w:tcW w:w="17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59.66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06/10/31</w:t>
            </w:r>
          </w:p>
        </w:tc>
      </w:tr>
      <w:tr>
        <w:trPr>
          <w:trHeight w:val="203"/>
        </w:trPr>
        <w:tc>
          <w:tcPr>
            <w:tcW w:w="2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04/30/20</w:t>
            </w:r>
          </w:p>
        </w:tc>
        <w:tc>
          <w:tcPr>
            <w:tcW w:w="22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87,378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1"/>
                <w:szCs w:val="11"/>
                <w:color w:val="auto"/>
              </w:rPr>
              <w:t>(2)</w:t>
            </w:r>
          </w:p>
        </w:tc>
        <w:tc>
          <w:tcPr>
            <w:tcW w:w="17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4.81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04/30/30</w:t>
            </w:r>
          </w:p>
        </w:tc>
      </w:tr>
    </w:tbl>
    <w:p>
      <w:pPr>
        <w:spacing w:after="0" w:line="198" w:lineRule="exact"/>
        <w:rPr>
          <w:sz w:val="20"/>
          <w:szCs w:val="20"/>
          <w:color w:val="auto"/>
        </w:rPr>
      </w:pPr>
    </w:p>
    <w:p>
      <w:pPr>
        <w:ind w:left="520" w:right="1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12 equal monthly installments on the same day of month of grant date, or if earlier, the day immediately before the day of the next annual meeting of stockholders,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are fully vested and immediately exercisable.</w:t>
      </w:r>
    </w:p>
    <w:p>
      <w:pPr>
        <w:spacing w:after="0" w:line="76"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36 equal monthly installments beginning on December 28, 2022, in each case subject to continued service through the applicable vesting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NO. 1</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194" w:lineRule="exact"/>
        <w:rPr>
          <w:sz w:val="20"/>
          <w:szCs w:val="20"/>
          <w:color w:val="auto"/>
        </w:rPr>
      </w:pPr>
    </w:p>
    <w:p>
      <w:pPr>
        <w:ind w:right="580" w:firstLine="749"/>
        <w:spacing w:after="0" w:line="254" w:lineRule="auto"/>
        <w:rPr>
          <w:sz w:val="20"/>
          <w:szCs w:val="20"/>
          <w:color w:val="auto"/>
        </w:rPr>
      </w:pPr>
      <w:r>
        <w:rPr>
          <w:rFonts w:ascii="Times New Roman" w:cs="Times New Roman" w:eastAsia="Times New Roman" w:hAnsi="Times New Roman"/>
          <w:sz w:val="20"/>
          <w:szCs w:val="20"/>
          <w:color w:val="auto"/>
        </w:rPr>
        <w:t>Our board of directors is currently composed of six members. In accordance with our amended and restated certificate of incorporation, our board of directors is divided into three classes with staggered three-year terms. At the Annual Meeting, two Class II directors will be elected for a three-year term to succeed the same class whose term is then expiring.</w:t>
      </w:r>
    </w:p>
    <w:p>
      <w:pPr>
        <w:spacing w:after="0" w:line="174"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w:t>
      </w:r>
    </w:p>
    <w:p>
      <w:pPr>
        <w:spacing w:after="0" w:line="112"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19"/>
          <w:szCs w:val="19"/>
          <w:color w:val="auto"/>
        </w:rPr>
        <w:t>Our corporate governance and nominating committee has recommended, and our board of directors has approved, Scott Garland and Barbara Klencke, M.D. as nominees for election as Class II directors at the Annual Meeting. If elected, each of Mr. Garland and Dr. Klencke will serve as a Class II director until the 2028 annual meeting of stockholders or until his or her successor is duly elected and qualified. Mr. Garland and Dr. Klencke are currently directors of our company, and each has agreed to being named in this proxy statement as a nominee. For information concerning the nominees, please see the section titled “Board of Directors and Corporate Governance.”</w:t>
      </w:r>
    </w:p>
    <w:p>
      <w:pPr>
        <w:spacing w:after="0" w:line="16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If you are a stockholder of record and you sign your proxy card or vote over the Internet or by telephone but do not give instructions with respect to the voting of directors, your shares will be voted FOR the election of Mr. Garland and Dr. Klencke. If you are a street name stockholder of shares of our common stock and you do not give voting instructions to your broker, bank or other nominee, then your broker, bank or other nominee will leave your shares unvoted on this matter. We expect that Mr. Garland and Dr. Klencke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12"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The election of Class II directors requires a plurality of the votes of the shares of our common stock present in person (including virtually) or represented by proxy at the Annual Meeting and entitled to vote thereon to be approved. “Plurality” means that the two nominees who receive the most votes cast ‘FOR’ will be elected as Class II directors. As a result, any shares not voted ‘FOR’ a particular nominee (whether as a result of voting withheld or a broker non-vote) will not be counted in such nominee’s favor and will have no effect on the outcome of the election.</w:t>
      </w:r>
    </w:p>
    <w:p>
      <w:pPr>
        <w:spacing w:after="0" w:line="181"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ELECTION OF EACH OF THE TWO NOMINEES NAMED ABOVE AS CLASS II DIRECTORS TO SERVE FOR A THREE-YEAR TERM.</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PROPOSAL NO. 2</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ADVISORY VOTE ON THE COMPENSATION OF OUR NAMED EXECUTIVE OFFICERS</w:t>
      </w:r>
    </w:p>
    <w:p>
      <w:pPr>
        <w:spacing w:after="0" w:line="194" w:lineRule="exact"/>
        <w:rPr>
          <w:sz w:val="20"/>
          <w:szCs w:val="20"/>
          <w:color w:val="auto"/>
        </w:rPr>
      </w:pPr>
    </w:p>
    <w:p>
      <w:pPr>
        <w:ind w:right="240" w:firstLine="749"/>
        <w:spacing w:after="0" w:line="249" w:lineRule="auto"/>
        <w:rPr>
          <w:sz w:val="20"/>
          <w:szCs w:val="20"/>
          <w:color w:val="auto"/>
        </w:rPr>
      </w:pPr>
      <w:r>
        <w:rPr>
          <w:rFonts w:ascii="Times New Roman" w:cs="Times New Roman" w:eastAsia="Times New Roman" w:hAnsi="Times New Roman"/>
          <w:sz w:val="20"/>
          <w:szCs w:val="20"/>
          <w:color w:val="auto"/>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Board recommends a vote “FOR” the following resolution:</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“RESOLVED, that the stockholders of ALX Oncology Holdings Inc. approve, on an advisory basis, the compensation of the named executive officers, as disclosed in the proxy statement pursuant to Item 402 of Regulation S-K, including the compensation tables and any related narrative discussion.”</w:t>
      </w:r>
    </w:p>
    <w:p>
      <w:pPr>
        <w:spacing w:after="0" w:line="174"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0"/>
          <w:szCs w:val="20"/>
          <w:color w:val="auto"/>
        </w:rPr>
        <w:t>We became a public company in July 2020 and since that time we have made important changes to our executive compensation program to reflect our transition from a private to public company. This is the third time we have included an advisory “say-on-pay” vote at the annual meeting of the stockholders. In 2024, our stockholders approved the “say-on-pay” vote with 97% of the shares of our common stock present and entitled to vote in support of our named executive officer compensation as disclosed in our 2024 proxy statement. Each year we intend to submit the executive compensation of our named executive officers to an advisory vote at our annual meeting of stockholders, consistent with the “say-when-on-pay” recommendation from our stockholders at our 2022 annual meeting, until such time as the say-when-on-pay proposal is brought before our stockholders again.</w:t>
      </w:r>
    </w:p>
    <w:p>
      <w:pPr>
        <w:spacing w:after="0" w:line="186"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9"/>
          <w:szCs w:val="19"/>
          <w:color w:val="auto"/>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341"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20"/>
          <w:szCs w:val="20"/>
          <w:color w:val="auto"/>
        </w:rPr>
        <w:t>The approval, on an advisory basis, of the compensation of our named executive officers requires an affirmative vote of a majority of the shares of our common stock present in person (including virtually) or represented by proxy at the Annual Meeting and entitled to vote thereon. Abstention will have the same effect as a vote AGAINST the proposal, and broker non-votes will have no effect.</w:t>
      </w:r>
    </w:p>
    <w:p>
      <w:pPr>
        <w:spacing w:after="0" w:line="400"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0"/>
          <w:szCs w:val="20"/>
          <w:b w:val="1"/>
          <w:bCs w:val="1"/>
          <w:color w:val="auto"/>
        </w:rPr>
        <w:t>OUR BOARD OF DIRECTORS RECOMMENDS A VOTE “FOR” THE APPROVAL OF THE COMPENSATION OF OUR NAMED EXECUTIVE OFFICERS AS DISCLOSED IN THE PROXY STATEMENT.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PROPOSAL NO. 3</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RATIFICATION OF APPOINTMENT OF</w:t>
      </w: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194"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20"/>
          <w:szCs w:val="20"/>
          <w:color w:val="auto"/>
        </w:rPr>
        <w:t>Our audit committee has appointed KPMG LLP, an independent registered public accounting firm, to audit our consolidated financial statements for our fiscal year ending December 31, 2025. KPMG LLP has served as our independent registered public accounting firm since 2016.</w:t>
      </w:r>
    </w:p>
    <w:p>
      <w:pPr>
        <w:spacing w:after="0" w:line="174"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At the Annual Meeting, our stockholders are being asked to ratify the appointment of KPMG LLP as our independent registered public accounting firm for our fiscal year ending December 31, 2025.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our company and our stockholders. A representative of KPMG LLP is expected to be present at the Annual Meeting, will have an opportunity to make a statement if they wish to do so, and is expected to be available to respond to appropriate questions from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 Paid to the Independent Registered Public Accounting Firm</w:t>
      </w:r>
    </w:p>
    <w:p>
      <w:pPr>
        <w:spacing w:after="0" w:line="112"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The following table presents fees for professional audit services and other services rendered to us by KPMG LLP for our fiscal years ended December 31, 2024 and 2023.</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972,666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1,368,200</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976,321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1,381,554</w:t>
            </w:r>
          </w:p>
        </w:tc>
        <w:tc>
          <w:tcPr>
            <w:tcW w:w="100" w:type="dxa"/>
            <w:vAlign w:val="bottom"/>
            <w:shd w:val="clear" w:color="auto" w:fill="CFF0FC"/>
          </w:tcPr>
          <w:p>
            <w:pPr>
              <w:spacing w:after="0"/>
              <w:rPr>
                <w:sz w:val="17"/>
                <w:szCs w:val="17"/>
                <w:color w:val="auto"/>
              </w:rPr>
            </w:pPr>
          </w:p>
        </w:tc>
      </w:tr>
    </w:tbl>
    <w:p>
      <w:pPr>
        <w:spacing w:after="0" w:line="211" w:lineRule="exact"/>
        <w:rPr>
          <w:sz w:val="20"/>
          <w:szCs w:val="20"/>
          <w:color w:val="auto"/>
        </w:rPr>
      </w:pPr>
    </w:p>
    <w:p>
      <w:pPr>
        <w:ind w:left="520" w:right="40" w:hanging="512"/>
        <w:spacing w:after="0" w:line="306"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fees billed for professional services rendered for the audits of our annual consolidated financial statements, quarterly reviews of our consolidated financial statements, statutory audits, reviews of documents filed with the SEC, registration statements and comfort letters.</w:t>
      </w:r>
    </w:p>
    <w:p>
      <w:pPr>
        <w:spacing w:after="0" w:line="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by KPMG LLP for tax compliance, tax advice and tax planning.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 Independence</w:t>
      </w:r>
    </w:p>
    <w:p>
      <w:pPr>
        <w:spacing w:after="0" w:line="112"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In our fiscal year ended December 31, 2024, there were no other professional services provided by KPMG LLP that would have required our audit committee to consider their compatibility with maintaining the independence of KPMG LLP.</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30" w:name="page31"/>
    <w:bookmarkEnd w:id="30"/>
    <w:p>
      <w:pPr>
        <w:spacing w:after="0" w:line="29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Audit Committee Policy on Pre-Approval of Audit and Permissible Non-Audit Services of Independent Registered Public Accounting Firm</w:t>
      </w:r>
    </w:p>
    <w:p>
      <w:pPr>
        <w:spacing w:after="0" w:line="48"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services provided by KPMG LLP for our fiscal years ended December 31, 2024 and 2023 were pre-approved by our audit committee.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12"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The ratification of the appointment of KPMG LLP as our independent registered public accounting firm for our fiscal year ending December 31, 2025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76"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RATIFICATION OF THE APPOINTMENT OF KPMG LLP AS OUR INDEPENDENT REGISTERED PUBLIC ACCOUNTING FIRM FOR OUR FISCAL YEAR ENDING DECEMBER 31, 2025.</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220"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p>
    <w:p>
      <w:pPr>
        <w:spacing w:after="0" w:line="184"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20"/>
          <w:szCs w:val="20"/>
          <w:color w:val="auto"/>
        </w:rPr>
        <w:t>With respect to the Company’s financial reporting process, the Company’s management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It is the responsibility of the audit committee to oversee these activities. It is not the responsibility of the audit committee to prepare the Company’s consolidated financial statements. These are the fundamental responsibilities of management.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the performance of its oversight function, the audit committee has:</w:t>
      </w:r>
    </w:p>
    <w:p>
      <w:pPr>
        <w:spacing w:after="0" w:line="216"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and discussed the audited consolidated financial statements with management and KPMG;</w:t>
      </w:r>
    </w:p>
    <w:p>
      <w:pPr>
        <w:spacing w:after="0" w:line="107" w:lineRule="exact"/>
        <w:rPr>
          <w:rFonts w:ascii="Times New Roman" w:cs="Times New Roman" w:eastAsia="Times New Roman" w:hAnsi="Times New Roman"/>
          <w:sz w:val="20"/>
          <w:szCs w:val="20"/>
          <w:color w:val="auto"/>
        </w:rPr>
      </w:pPr>
    </w:p>
    <w:p>
      <w:pPr>
        <w:ind w:left="1140" w:right="120" w:hanging="383"/>
        <w:spacing w:after="0" w:line="269" w:lineRule="auto"/>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discussed with KPMG the matters required to be discussed by the applicable requirements of the Public Company Accounting Oversight Board (PCAOB) and the SEC; and</w:t>
      </w:r>
    </w:p>
    <w:p>
      <w:pPr>
        <w:spacing w:after="0" w:line="51" w:lineRule="exact"/>
        <w:rPr>
          <w:rFonts w:ascii="Times New Roman" w:cs="Times New Roman" w:eastAsia="Times New Roman" w:hAnsi="Times New Roman"/>
          <w:sz w:val="20"/>
          <w:szCs w:val="20"/>
          <w:color w:val="auto"/>
        </w:rPr>
      </w:pPr>
    </w:p>
    <w:p>
      <w:pPr>
        <w:ind w:left="1140" w:right="160" w:hanging="383"/>
        <w:spacing w:after="0" w:line="254" w:lineRule="auto"/>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the written disclosures and the letter from KPMG required by applicable requirements of the PCAOB regarding the independent accountant’s communications with the audit committee concerning independence and has discussed with KPMG its independence.</w:t>
      </w:r>
    </w:p>
    <w:p>
      <w:pPr>
        <w:spacing w:after="0" w:line="17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Based on the audit committee’s review and discussions with management and KPMG, the audit committee recommended to the board of directors that the audited consolidated financial statements be included in the Company’s Annual Report on Form 10-K for the fiscal year ended December 31, 2024 for filing with the SEC.</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Respectfully submitted by the members of the audit committee of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Rekha Hemrajani (Chair)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Scott Garland</w:t>
      </w:r>
    </w:p>
    <w:p>
      <w:pPr>
        <w:spacing w:after="0"/>
        <w:rPr>
          <w:sz w:val="20"/>
          <w:szCs w:val="20"/>
          <w:color w:val="auto"/>
        </w:rPr>
      </w:pPr>
      <w:r>
        <w:rPr>
          <w:rFonts w:ascii="Times New Roman" w:cs="Times New Roman" w:eastAsia="Times New Roman" w:hAnsi="Times New Roman"/>
          <w:sz w:val="20"/>
          <w:szCs w:val="20"/>
          <w:b w:val="1"/>
          <w:bCs w:val="1"/>
          <w:color w:val="auto"/>
        </w:rPr>
        <w:t>Barbara Klencke, M.D.</w:t>
      </w:r>
    </w:p>
    <w:p>
      <w:pPr>
        <w:spacing w:after="0" w:line="200" w:lineRule="exact"/>
        <w:rPr>
          <w:sz w:val="20"/>
          <w:szCs w:val="20"/>
          <w:color w:val="auto"/>
        </w:rPr>
      </w:pPr>
    </w:p>
    <w:p>
      <w:pPr>
        <w:spacing w:after="0" w:line="206"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20"/>
          <w:szCs w:val="20"/>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20" w:lineRule="exact"/>
        <w:rPr>
          <w:sz w:val="20"/>
          <w:szCs w:val="20"/>
          <w:color w:val="auto"/>
        </w:rPr>
      </w:pPr>
    </w:p>
    <w:p>
      <w:pPr>
        <w:ind w:right="440" w:firstLine="749"/>
        <w:spacing w:after="0" w:line="269" w:lineRule="auto"/>
        <w:rPr>
          <w:sz w:val="20"/>
          <w:szCs w:val="20"/>
          <w:color w:val="auto"/>
        </w:rPr>
      </w:pPr>
      <w:r>
        <w:rPr>
          <w:rFonts w:ascii="Times New Roman" w:cs="Times New Roman" w:eastAsia="Times New Roman" w:hAnsi="Times New Roman"/>
          <w:sz w:val="20"/>
          <w:szCs w:val="20"/>
          <w:color w:val="auto"/>
        </w:rPr>
        <w:t>The following table sets forth certain information about our executive officers as of April 15, 2025. Officers are elected by our board of directors to hold office until their successors are elected and qualified.</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50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17"/>
                <w:szCs w:val="17"/>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4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Lettmann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Harish Shantharam</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Shelly Pinto</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Senior Vice President, Finance and Chief Accounting Officer</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Sandler, M.D.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the biography of Mr. Lettmann, please see “Board of Directors—Continuing Directors.”</w:t>
      </w:r>
    </w:p>
    <w:p>
      <w:pPr>
        <w:spacing w:after="0" w:line="21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Harish Shantharam </w:t>
      </w:r>
      <w:r>
        <w:rPr>
          <w:rFonts w:ascii="Times New Roman" w:cs="Times New Roman" w:eastAsia="Times New Roman" w:hAnsi="Times New Roman"/>
          <w:sz w:val="20"/>
          <w:szCs w:val="20"/>
          <w:color w:val="auto"/>
        </w:rPr>
        <w:t>has served as our Chief Financial Officer since January 2025. Prior to joining us, Mr. Shantharam served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Chief Financial Officer of CymaBay Therapeutics, Inc., a pharmaceutical company, from May 2023 to June 2024, including through the completion of its acquisition in March 2024 by Gilead Sciences, a pharmaceutical company. He previously served as Senior Finance Consultant at Eikon Therapeutics, a biopharmaceutical company, from August 2022 to April 2023, where he worked with the Chief Financial Officer in supporting finance operations. Mr. Shantharam was employed at Gilead from October 2011 through May 2022, where he held various positions within the finance function, most recently that of Vice President, Head of Global Commercial Finance. At Gilead, Mr. Shantharam was responsible for managing Gilead’s global commercial financial operations. Prior to Gilead, Mr. Shantharam held multiple roles in commercial planning and operations at Amgen Inc., a pharmaceutical company, from February 2004. He received his M.B.A. from UCLA Anderson School of Management and is a CFA charterholder.</w:t>
      </w:r>
    </w:p>
    <w:p>
      <w:pPr>
        <w:spacing w:after="0" w:line="186"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Shelly Pinto </w:t>
      </w:r>
      <w:r>
        <w:rPr>
          <w:rFonts w:ascii="Times New Roman" w:cs="Times New Roman" w:eastAsia="Times New Roman" w:hAnsi="Times New Roman"/>
          <w:sz w:val="20"/>
          <w:szCs w:val="20"/>
          <w:color w:val="auto"/>
        </w:rPr>
        <w:t>has served as our Senior Vice President, Finance since July 2023, as Chief Accounting Officer since May 2021,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Interim Chief Financial Officer from November 2024 to January 2025 and as Vice President, Finance from May 2021 to July 2023. Prior to joining us, she was with Tizona Therapeutics, Inc. from July 2016 to April 2021, where she served most recently as Vice President of Finance and Operations from October 2020 to April 2021. Ms. Pinto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Pinto started her career within the audit practice at Deloitte and Touche LLP after graduating with a B.S.B.A. in Accounting from Montana State University.</w:t>
      </w:r>
    </w:p>
    <w:p>
      <w:pPr>
        <w:spacing w:after="0" w:line="17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Alan Sandler, M.D. </w:t>
      </w:r>
      <w:r>
        <w:rPr>
          <w:rFonts w:ascii="Times New Roman" w:cs="Times New Roman" w:eastAsia="Times New Roman" w:hAnsi="Times New Roman"/>
          <w:sz w:val="20"/>
          <w:szCs w:val="20"/>
          <w:color w:val="auto"/>
        </w:rPr>
        <w:t>has served as our Chief Medical Officer since November 2024 and previously served as a member of our board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directors from August 2024 until November 2024. He also currently serves as a member of the board of directors of Elevation Oncology, Inc. and as a member of the scientific advisory boards of TOLREMO therapeutics AG and Avidicure; strategic advisory board for N-Power Medicine, as well as the Clinical Advisory Board of Mythic Therapeutics. Dr. Sandler served as Executive Vice President and Chief Medical Officer of Mirati Therapeutics, prior to and through its acquisition by Bristol Myers Squibb, from November 2022 to April 2024. Prior to joining Mirati Therapeutics, he was the President, Head of Global Development, Oncology at Zai Lab Limited from December 2020 to October 2022. Prior to that, Dr. Sandler held roles of increasing responsibility at Genentech, a biotechnology company and member of the Roche Group, from July 2013 to November 2020, culminating in his final role as Senior Vice President, Global Head of Product Development,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33" w:name="page34"/>
    <w:bookmarkEnd w:id="3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Oncology. He holds a B.S. in Pharmacy from the University of Toledo and an M.D. from Rush Medical School.</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Named Executive Officers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Our NEOs for the year ended December 31, 2024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3"/>
                <w:szCs w:val="23"/>
                <w:color w:val="auto"/>
              </w:rPr>
            </w:pPr>
          </w:p>
        </w:tc>
        <w:tc>
          <w:tcPr>
            <w:tcW w:w="57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1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Lettmann</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Shelly Pinto</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r>
      <w:tr>
        <w:trPr>
          <w:trHeight w:val="3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Jaume Pons, Ph.D.</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Chief Scientific Officer</w:t>
            </w:r>
          </w:p>
        </w:tc>
      </w:tr>
      <w:tr>
        <w:trPr>
          <w:trHeight w:val="3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Garcia</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3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Sophia Randolph, M.D., Ph.D.</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Medical Officer</w:t>
            </w:r>
          </w:p>
        </w:tc>
      </w:tr>
    </w:tbl>
    <w:p>
      <w:pPr>
        <w:spacing w:after="0" w:line="193"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During the latter part of 2024 and the beginning of 2025, the Company underwent several executive transitions. Mr. Garcia served as our Chief Financial Officer until November 2024, at which time Ms. Pinto was appointed our interim Chief Financial Officer until January 2025, when the Company hired Mr. Shantharam to serve as Chief Financial Officer. Dr. Randolph served as our Chief Medical Officer until October 2024. In November 2024, the Company appointed Dr. Sandler as its Chief Medical Officer, and Dr. Sandler stepped down from his role as member of the Board in connection with such appointment. Dr. Pons served as our President and Chief Scientific Officer until April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Executive Compensation Program</w:t>
      </w:r>
    </w:p>
    <w:p>
      <w:pPr>
        <w:spacing w:after="0" w:line="112"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(that is, base salary, target annual cash incentives, and equity awards) is “at-risk,” meaning the amounts paid to each executive officer will vary based on our Company performance and their contributions to that performance.</w:t>
      </w:r>
    </w:p>
    <w:p>
      <w:pPr>
        <w:spacing w:after="0" w:line="185"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Compensation Governance</w:t>
      </w:r>
    </w:p>
    <w:p>
      <w:pPr>
        <w:spacing w:after="0" w:line="112"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With guidance from an independent compensation consultant, Compensia,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 w:name="page36"/>
    <w:bookmarkEnd w:id="35"/>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Engagement</w:t>
      </w:r>
    </w:p>
    <w:p>
      <w:pPr>
        <w:spacing w:after="0" w:line="11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The Company is committed to engagement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Philosophy</w:t>
      </w:r>
    </w:p>
    <w:p>
      <w:pPr>
        <w:spacing w:after="0" w:line="11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The goals of our executive compensation program are to attract, engage, and retain executive officers who share our vision and are deeply connected to our mission. Our overall compensation philosophy is market-based and enables our executive officers to share in the Company’s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 executive officers to increase stockholder value over the long-term. We routinely review our policies and program design.</w:t>
      </w:r>
    </w:p>
    <w:p>
      <w:pPr>
        <w:spacing w:after="0" w:line="184"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Our executive compensation program delivers rewards in line with individual and company performance using the following specific compensation methods:</w:t>
      </w:r>
    </w:p>
    <w:p>
      <w:pPr>
        <w:spacing w:after="0" w:line="159"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paying competitive base salaries;</w:t>
      </w:r>
    </w:p>
    <w:p>
      <w:pPr>
        <w:spacing w:after="0" w:line="107" w:lineRule="exact"/>
        <w:rPr>
          <w:rFonts w:ascii="Times New Roman" w:cs="Times New Roman" w:eastAsia="Times New Roman" w:hAnsi="Times New Roman"/>
          <w:sz w:val="20"/>
          <w:szCs w:val="20"/>
          <w:color w:val="auto"/>
        </w:rPr>
      </w:pPr>
    </w:p>
    <w:p>
      <w:pPr>
        <w:ind w:left="1140" w:hanging="383"/>
        <w:spacing w:after="0" w:line="269" w:lineRule="auto"/>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rewarding our teams with a short-term incentive bonus plan opportunity based on achievement of performance during the year; and</w:t>
      </w:r>
    </w:p>
    <w:p>
      <w:pPr>
        <w:spacing w:after="0" w:line="51" w:lineRule="exact"/>
        <w:rPr>
          <w:rFonts w:ascii="Times New Roman" w:cs="Times New Roman" w:eastAsia="Times New Roman" w:hAnsi="Times New Roman"/>
          <w:sz w:val="20"/>
          <w:szCs w:val="20"/>
          <w:color w:val="auto"/>
        </w:rPr>
      </w:pPr>
    </w:p>
    <w:p>
      <w:pPr>
        <w:ind w:left="1140" w:right="140" w:hanging="383"/>
        <w:spacing w:after="0" w:line="254" w:lineRule="auto"/>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awarding a higher percentage of target total direct compensation (which consists of base salary, target bonus, and target long-term equity compensation) as long-term equity incentives to more closely align employee and stockholder interests over the long-term.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“Say-on-Pay” Voting</w:t>
      </w:r>
    </w:p>
    <w:p>
      <w:pPr>
        <w:spacing w:after="0" w:line="112"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Our compensation committee and our board of directors considers the results of the “say-on-pay” vote, as well as feedback received throughout the year, when making compensation decisions for our executive officers in the future because we value the opinions of our stockholders. In 2024, our stockholders approved the “say-on-pay” vote with 97% of the shares of our common stock present and entitled to vote in support of our named executive officer compensation as disclosed in our 2024 proxy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Determination Process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Compensation Committee and Board of Directors</w:t>
      </w:r>
    </w:p>
    <w:p>
      <w:pPr>
        <w:spacing w:after="0" w:line="11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color w:val="auto"/>
        </w:rPr>
        <w:t>Our compensation committee is responsible for overseeing the total compensation of our executive officers. In this capacity, our compensation committee designs, implements, reviews, and approves all compensation for our CEO and our other executive officers.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determinations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11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In 2024, our CEO and then CFO made recommendations to our compensation committee, attended certain compensation committee meetings and were involved in the process for determining our executive officers’ compensation, provided that neither our CEO nor our then CFO made recommendations as to their own compensation or participated in compensation committee deliberations and determinations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decisions as to each executive officer’s total compensation, as well as each individual pay component.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Independent Compensation Consultant</w:t>
      </w:r>
    </w:p>
    <w:p>
      <w:pPr>
        <w:spacing w:after="0" w:line="112"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0"/>
          <w:szCs w:val="20"/>
          <w:color w:val="auto"/>
        </w:rPr>
        <w:t>Our compensation committee is authorized to retain the services of one or more executive compensation advisors, as it sees fit, in connection with the establishment of our compensation programs and related policies. In 2024, our compensation committee retained Compensia as its independent compensation consultant to provide it with information, recommendations, and other advice relating to executive compensation on an ongoing basis. Accordingly, Compensia serves at the discretion of our compensation committee. Our compensation committee engaged Compensia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186"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20"/>
          <w:szCs w:val="20"/>
          <w:color w:val="auto"/>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 conducted such a review and concluded that it was not aware of any conflict of interest that had been raised by work performed by Compensia or the individual consultants employed by Compensia that perform services for our compensation committee.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Components</w:t>
      </w:r>
    </w:p>
    <w:p>
      <w:pPr>
        <w:spacing w:after="0" w:line="112" w:lineRule="exact"/>
        <w:rPr>
          <w:sz w:val="20"/>
          <w:szCs w:val="20"/>
          <w:color w:val="auto"/>
        </w:rPr>
      </w:pPr>
    </w:p>
    <w:p>
      <w:pPr>
        <w:ind w:right="420" w:firstLine="749"/>
        <w:spacing w:after="0" w:line="269" w:lineRule="auto"/>
        <w:rPr>
          <w:sz w:val="20"/>
          <w:szCs w:val="20"/>
          <w:color w:val="auto"/>
        </w:rPr>
      </w:pPr>
      <w:r>
        <w:rPr>
          <w:rFonts w:ascii="Times New Roman" w:cs="Times New Roman" w:eastAsia="Times New Roman" w:hAnsi="Times New Roman"/>
          <w:sz w:val="20"/>
          <w:szCs w:val="20"/>
          <w:color w:val="auto"/>
        </w:rPr>
        <w:t>The Company’s executive compensation program consists of three primary elements: base salaries, annual cash incentives and long-term equity awards.</w:t>
      </w:r>
    </w:p>
    <w:p>
      <w:pPr>
        <w:spacing w:after="0" w:line="159"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Our Company is committed to a strong performance orientation in our compensation program and effective corporate governance practices for a company at our development stage and industry.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Salary</w:t>
      </w:r>
    </w:p>
    <w:p>
      <w:pPr>
        <w:spacing w:after="0" w:line="112" w:lineRule="exact"/>
        <w:rPr>
          <w:sz w:val="20"/>
          <w:szCs w:val="20"/>
          <w:color w:val="auto"/>
        </w:rPr>
      </w:pPr>
    </w:p>
    <w:p>
      <w:pPr>
        <w:ind w:right="420" w:firstLine="749"/>
        <w:spacing w:after="0" w:line="254" w:lineRule="auto"/>
        <w:rPr>
          <w:sz w:val="20"/>
          <w:szCs w:val="20"/>
          <w:color w:val="auto"/>
        </w:rPr>
      </w:pPr>
      <w:r>
        <w:rPr>
          <w:rFonts w:ascii="Times New Roman" w:cs="Times New Roman" w:eastAsia="Times New Roman" w:hAnsi="Times New Roman"/>
          <w:sz w:val="20"/>
          <w:szCs w:val="20"/>
          <w:color w:val="auto"/>
        </w:rPr>
        <w:t>Base salary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Cash Incentive Program</w:t>
      </w:r>
    </w:p>
    <w:p>
      <w:pPr>
        <w:spacing w:after="0" w:line="112"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We maintain an Executive Incentive Compensation Plan (or Incentive Compensation Plan), pursuant to which our named executive officers are eligible to receive cash incentive awards. The Incentive Compensation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8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against targets, as measured by these pre-established corporate goals, funds the incentive payouts. The total bonus payout for participating employees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month following the end of the performance period.</w:t>
      </w:r>
    </w:p>
    <w:p>
      <w:pPr>
        <w:spacing w:after="0" w:line="180"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For 2024, the compensation committee maintained the annual bonus target for Mr. Lettmann and Dr. Pons, as a percentage of their respective annual salary at 55%. Dr. Sandler was not eligible to participate in the Incentive Compensation Plan in 2024 due to his being appointed as an executive officer in the latter part of the year but will be eligible to participate in 2025 with an annual target bonus of 45% of his annual base salary. The target annual bonus opportunity for each of our other NEOs, as a percentage of the NEO’s salary, remained at 40%.</w:t>
      </w:r>
    </w:p>
    <w:p>
      <w:pPr>
        <w:spacing w:after="0" w:line="185" w:lineRule="exact"/>
        <w:rPr>
          <w:sz w:val="20"/>
          <w:szCs w:val="20"/>
          <w:color w:val="auto"/>
        </w:rPr>
      </w:pPr>
    </w:p>
    <w:p>
      <w:pPr>
        <w:ind w:right="320" w:firstLine="749"/>
        <w:spacing w:after="0" w:line="246" w:lineRule="auto"/>
        <w:rPr>
          <w:sz w:val="20"/>
          <w:szCs w:val="20"/>
          <w:color w:val="auto"/>
        </w:rPr>
      </w:pPr>
      <w:r>
        <w:rPr>
          <w:rFonts w:ascii="Times New Roman" w:cs="Times New Roman" w:eastAsia="Times New Roman" w:hAnsi="Times New Roman"/>
          <w:sz w:val="20"/>
          <w:szCs w:val="20"/>
          <w:color w:val="auto"/>
        </w:rPr>
        <w:t>Bonuses for all employees, including our NEOs, for the fiscal year ended December 31, 2024, were allocated from a bonus pool funded based on performance against a number of high-impact project and cross-functional goals. The project goals related to specific programs, trials and corporate progress. The cross-functional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p>
    <w:p>
      <w:pPr>
        <w:spacing w:after="0" w:line="185" w:lineRule="exact"/>
        <w:rPr>
          <w:sz w:val="20"/>
          <w:szCs w:val="20"/>
          <w:color w:val="auto"/>
        </w:rPr>
      </w:pPr>
    </w:p>
    <w:p>
      <w:pPr>
        <w:ind w:right="280" w:firstLine="749"/>
        <w:spacing w:after="0" w:line="249" w:lineRule="auto"/>
        <w:rPr>
          <w:sz w:val="20"/>
          <w:szCs w:val="20"/>
          <w:color w:val="auto"/>
        </w:rPr>
      </w:pPr>
      <w:r>
        <w:rPr>
          <w:rFonts w:ascii="Times New Roman" w:cs="Times New Roman" w:eastAsia="Times New Roman" w:hAnsi="Times New Roman"/>
          <w:sz w:val="20"/>
          <w:szCs w:val="20"/>
          <w:color w:val="auto"/>
        </w:rPr>
        <w:t>Each goal is given a specific weighting and measured individually, and the extent of achievement of the goals and the applicable weightings determine the 2024 bonus payout, subject to the compensation committee’s discretion to alter bonus funding and payouts. The 2024 performance goals for Mr. Lettmann were based entirely on corporate goals. The 2024 performance goals for the other NEOs were based 80% on corporate goals and 20% on individual goals.</w:t>
      </w:r>
    </w:p>
    <w:p>
      <w:pPr>
        <w:spacing w:after="0" w:line="18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In January 2025, the compensation committee reviewed the performance against the applicable 2024 corporate and individual goals. Based on the Company’s achievement of the corporate goals, the compensation committee approved funding of the Company’s bonus pool at 76% of target levels related to the corporate goals. Based on the NEOs’ achievement of the individual goals, the compensation committee approved 100% achievement of such individual goals. The resulting bonuses to our NEOs were as follows: Mr. Lettmann ($292,600), Dr. Pons ($288,860) and Ms. Pinto ($122,420). Mr. Garcia and Dr. Randolph did not receive any bonuses due to their departure from the Company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Long-Term Incentive Compensation</w:t>
      </w:r>
    </w:p>
    <w:p>
      <w:pPr>
        <w:spacing w:after="0" w:line="11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 This approach more closely aligns the contributions of our executive officers with the long-term interests of our stockholders and allows them to participate in any future appreciation in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Severance and Change in Control Protections</w:t>
      </w:r>
    </w:p>
    <w:p>
      <w:pPr>
        <w:spacing w:after="0" w:line="112"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0"/>
          <w:szCs w:val="20"/>
          <w:color w:val="auto"/>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(Severance Agreements) with each of our named executive officers that provide for the severance and change in control benefits. For a summary of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material terms of the benefits provided to our named executive officers under the Severance Agreements and an estimate of the payments and benefits that may be received by our named executive officers under the Severance Agreements, see “Change in Control and Severance Agreements” below.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Welfare, Health and Other Broad-Based Benefits</w:t>
      </w:r>
    </w:p>
    <w:p>
      <w:pPr>
        <w:spacing w:after="0" w:line="11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Internal Revenue Code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Subject to limits under the Code, in 2024, we provided a 3% employer contribution on gross wages with a maximum annual employer contribution of $10,350 per employee.</w:t>
      </w:r>
    </w:p>
    <w:p>
      <w:pPr>
        <w:spacing w:after="0" w:line="190"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Our health and welfare benefits include medical, dental and vision benefits, long-term disability insurance, basic life insurance coverage, health savings and dependent care accounts, and accidental death and dismemberment insurance. Our named executive officers also are eligible to participate in our 2020 Employee Stock Purchase Plan (the ESPP)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Perquisites and Other Personal Benefits</w:t>
      </w:r>
    </w:p>
    <w:p>
      <w:pPr>
        <w:spacing w:after="0" w:line="11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20"/>
          <w:szCs w:val="20"/>
          <w:color w:val="auto"/>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74" w:lineRule="exact"/>
        <w:rPr>
          <w:sz w:val="20"/>
          <w:szCs w:val="20"/>
          <w:color w:val="auto"/>
        </w:rPr>
      </w:pPr>
    </w:p>
    <w:p>
      <w:pPr>
        <w:ind w:right="120" w:firstLine="749"/>
        <w:spacing w:after="0" w:line="295" w:lineRule="auto"/>
        <w:rPr>
          <w:sz w:val="20"/>
          <w:szCs w:val="20"/>
          <w:color w:val="auto"/>
        </w:rPr>
      </w:pPr>
      <w:r>
        <w:rPr>
          <w:rFonts w:ascii="Times New Roman" w:cs="Times New Roman" w:eastAsia="Times New Roman" w:hAnsi="Times New Roman"/>
          <w:sz w:val="19"/>
          <w:szCs w:val="19"/>
          <w:color w:val="auto"/>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Agreements</w:t>
      </w:r>
    </w:p>
    <w:p>
      <w:pPr>
        <w:spacing w:after="0" w:line="112"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9"/>
          <w:szCs w:val="19"/>
          <w:color w:val="auto"/>
        </w:rPr>
        <w:t>We have entered into employment letters with each of our named executive officers. Each of these agreements was approved by our board of directors or our compensation committee. In filling each of our executive positions, our board of directors and the compensation committee recognized the need to develop competitive compensation packages to attract qualified candidates in a dynamic labor market.</w:t>
      </w:r>
    </w:p>
    <w:p>
      <w:pPr>
        <w:spacing w:after="0" w:line="156"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For information on the specific terms and conditions of the employment letters of the named executive officers, see the discussion of “Executive Employment Letter Agreements” below.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Policies and Practices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Hedging and Pledging Prohibitions</w:t>
      </w:r>
    </w:p>
    <w:p>
      <w:pPr>
        <w:spacing w:after="0" w:line="11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As part of our Insider Trading Policy, our contractors, consultants, advisors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consultants, advisors and employees (including our executive officers and the non-employee members of our board of directors) are prohibited from holding our common stock in a margin account or pledging our securities as collateral for a loan.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Timing of Equity Awards</w:t>
      </w:r>
    </w:p>
    <w:p>
      <w:pPr>
        <w:spacing w:after="0" w:line="112"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color w:val="auto"/>
        </w:rPr>
        <w:t>We currently grant stock options and restricted stock units under our 2020 Plan and our 2025 Inducement Equity Incentive Plan (Inducement Plan). With respect to these types of equity awards, we do not have a formal policy regarding the timing of grant. However, we generally grant annual refresh equity awards to our named executive officers and other eligible employees at the compensation committee’s regularly scheduled meeting in the beginning of each year. This meeting is scheduled many months in advance. In 2024, we also granted the annual equity awards to our non-employee directors on the first trading day immediately following the annual meeting of the Company’s stockholders. In 2025, we changed our policy for annual equity awards to our non-employee directors to grant such awards on the first trading day on or after January 20 of each year to align the timing of such automatic grants with the grant timing for the annual refresh equity awards for our executives and other eligible employees. Outside of our annual equity refresh award cycle, we may grant equity awards at other times throughout the year, such as to new employee hires, to employees receiving promotions, for retention purposes or in other relevant circumstances. Under the Inducement Plan, which is only available for grants to new employees, we also grant equity awards at the time of the new employee hire joining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12" w:lineRule="exact"/>
        <w:rPr>
          <w:sz w:val="20"/>
          <w:szCs w:val="20"/>
          <w:color w:val="auto"/>
        </w:rPr>
      </w:pPr>
    </w:p>
    <w:p>
      <w:pPr>
        <w:ind w:right="540" w:firstLine="749"/>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compensation of our named executive officers during the years ended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2"/>
                <w:szCs w:val="12"/>
                <w:color w:val="auto"/>
              </w:rPr>
            </w:pPr>
          </w:p>
        </w:tc>
        <w:tc>
          <w:tcPr>
            <w:tcW w:w="7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102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85"/>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328"/>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Jason Lettmann</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700,000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3,168,000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2,480,230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292,600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6,640,830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217,330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4,369,560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119,003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151,290</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4,857,183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60" w:type="dxa"/>
            <w:vAlign w:val="bottom"/>
          </w:tcPr>
          <w:p>
            <w:pPr>
              <w:ind w:left="20"/>
              <w:spacing w:after="0" w:line="187" w:lineRule="exact"/>
              <w:rPr>
                <w:sz w:val="20"/>
                <w:szCs w:val="20"/>
                <w:color w:val="auto"/>
              </w:rPr>
            </w:pPr>
            <w:r>
              <w:rPr>
                <w:rFonts w:ascii="Times New Roman" w:cs="Times New Roman" w:eastAsia="Times New Roman" w:hAnsi="Times New Roman"/>
                <w:sz w:val="16"/>
                <w:szCs w:val="16"/>
                <w:color w:val="auto"/>
              </w:rPr>
              <w:t>Shelly Pinto</w:t>
            </w:r>
            <w:r>
              <w:rPr>
                <w:rFonts w:ascii="Times New Roman" w:cs="Times New Roman" w:eastAsia="Times New Roman" w:hAnsi="Times New Roman"/>
                <w:sz w:val="21"/>
                <w:szCs w:val="21"/>
                <w:color w:val="auto"/>
                <w:vertAlign w:val="superscript"/>
              </w:rPr>
              <w:t>(3)</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378,776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582,965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122,420</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99"/>
              </w:rPr>
              <w:t>1,505,161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Senior Vice President, Finance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and Chief Accounting Officer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60" w:type="dxa"/>
            <w:vAlign w:val="bottom"/>
            <w:shd w:val="clear" w:color="auto" w:fill="CFF0FC"/>
          </w:tcPr>
          <w:p>
            <w:pPr>
              <w:ind w:left="20"/>
              <w:spacing w:after="0" w:line="206" w:lineRule="exact"/>
              <w:rPr>
                <w:sz w:val="20"/>
                <w:szCs w:val="20"/>
                <w:color w:val="auto"/>
              </w:rPr>
            </w:pPr>
            <w:r>
              <w:rPr>
                <w:rFonts w:ascii="Times New Roman" w:cs="Times New Roman" w:eastAsia="Times New Roman" w:hAnsi="Times New Roman"/>
                <w:sz w:val="16"/>
                <w:szCs w:val="16"/>
                <w:color w:val="auto"/>
              </w:rPr>
              <w:t>Jaume Pons, Ph.D.</w:t>
            </w:r>
            <w:r>
              <w:rPr>
                <w:rFonts w:ascii="Times New Roman" w:cs="Times New Roman" w:eastAsia="Times New Roman" w:hAnsi="Times New Roman"/>
                <w:sz w:val="21"/>
                <w:szCs w:val="21"/>
                <w:color w:val="auto"/>
                <w:vertAlign w:val="superscript"/>
              </w:rPr>
              <w:t>(4)</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650,000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950,400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1,128,695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288,860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3,017,955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Former President and Chief</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Scientific Officer</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649,740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521,540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1,216,689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357,357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2,745,326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ind w:left="20"/>
              <w:spacing w:after="0" w:line="187" w:lineRule="exact"/>
              <w:rPr>
                <w:sz w:val="20"/>
                <w:szCs w:val="20"/>
                <w:color w:val="auto"/>
              </w:rPr>
            </w:pPr>
            <w:r>
              <w:rPr>
                <w:rFonts w:ascii="Times New Roman" w:cs="Times New Roman" w:eastAsia="Times New Roman" w:hAnsi="Times New Roman"/>
                <w:sz w:val="16"/>
                <w:szCs w:val="16"/>
                <w:color w:val="auto"/>
              </w:rPr>
              <w:t>Peter Garcia</w:t>
            </w:r>
            <w:r>
              <w:rPr>
                <w:rFonts w:ascii="Times New Roman" w:cs="Times New Roman" w:eastAsia="Times New Roman" w:hAnsi="Times New Roman"/>
                <w:sz w:val="21"/>
                <w:szCs w:val="21"/>
                <w:color w:val="auto"/>
                <w:vertAlign w:val="superscript"/>
              </w:rPr>
              <w:t>(5)</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473,633</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792,000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951,800</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6"/>
                <w:szCs w:val="16"/>
                <w:color w:val="auto"/>
              </w:rPr>
              <w:t>479,646</w:t>
            </w:r>
            <w:r>
              <w:rPr>
                <w:rFonts w:ascii="Times New Roman" w:cs="Times New Roman" w:eastAsia="Times New Roman" w:hAnsi="Times New Roman"/>
                <w:sz w:val="21"/>
                <w:szCs w:val="21"/>
                <w:color w:val="auto"/>
                <w:vertAlign w:val="superscript"/>
              </w:rPr>
              <w:t>(6)</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99"/>
              </w:rPr>
              <w:t>2,697,079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 Financial Officer</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485,472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187,520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435,765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194,189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99"/>
              </w:rPr>
              <w:t>1,302,946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60" w:type="dxa"/>
            <w:vAlign w:val="bottom"/>
            <w:shd w:val="clear" w:color="auto" w:fill="CFF0FC"/>
          </w:tcPr>
          <w:p>
            <w:pPr>
              <w:ind w:left="20"/>
              <w:spacing w:after="0" w:line="206" w:lineRule="exact"/>
              <w:rPr>
                <w:sz w:val="20"/>
                <w:szCs w:val="20"/>
                <w:color w:val="auto"/>
              </w:rPr>
            </w:pPr>
            <w:r>
              <w:rPr>
                <w:rFonts w:ascii="Times New Roman" w:cs="Times New Roman" w:eastAsia="Times New Roman" w:hAnsi="Times New Roman"/>
                <w:sz w:val="16"/>
                <w:szCs w:val="16"/>
                <w:color w:val="auto"/>
              </w:rPr>
              <w:t>Sophia Randolph, M.D., Ph.D.</w:t>
            </w:r>
            <w:r>
              <w:rPr>
                <w:rFonts w:ascii="Times New Roman" w:cs="Times New Roman" w:eastAsia="Times New Roman" w:hAnsi="Times New Roman"/>
                <w:sz w:val="21"/>
                <w:szCs w:val="21"/>
                <w:color w:val="auto"/>
                <w:vertAlign w:val="superscript"/>
              </w:rPr>
              <w:t>(7)</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468,922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1,425,600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1,131,736</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spacing w:after="0" w:line="206" w:lineRule="exact"/>
              <w:rPr>
                <w:sz w:val="20"/>
                <w:szCs w:val="20"/>
                <w:color w:val="auto"/>
              </w:rPr>
            </w:pPr>
            <w:r>
              <w:rPr>
                <w:rFonts w:ascii="Times New Roman" w:cs="Times New Roman" w:eastAsia="Times New Roman" w:hAnsi="Times New Roman"/>
                <w:sz w:val="16"/>
                <w:szCs w:val="16"/>
                <w:color w:val="auto"/>
              </w:rPr>
              <w:t>503,880</w:t>
            </w:r>
            <w:r>
              <w:rPr>
                <w:rFonts w:ascii="Times New Roman" w:cs="Times New Roman" w:eastAsia="Times New Roman" w:hAnsi="Times New Roman"/>
                <w:sz w:val="21"/>
                <w:szCs w:val="21"/>
                <w:color w:val="auto"/>
                <w:vertAlign w:val="superscript"/>
              </w:rPr>
              <w:t>(8)</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3,530,138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 Medical Officer</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510,000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199,240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461,652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204,000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1,374,892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left="520" w:hanging="512"/>
        <w:spacing w:after="0" w:line="25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awards granted to the officer in the applicable fiscal year, computed in accordance with FASB ASC Topic 718. Such options are also subject to vesting acceleration under certain circumstances as more fully described in the section titled “—Change in Control and Severance Agreements.” See Note 8 to our consolidated financial statements for the year ended December 31, 2024 included in our Annual Report on Form 10-K for the year ended December 31, 2024 for a discussion of the assumptions made by us in determining the grant date fair value of our equity awards. These amounts do not correspond to the actual value that may be recognized by the officers upon vesting of the applicable awards.</w:t>
      </w:r>
    </w:p>
    <w:p>
      <w:pPr>
        <w:spacing w:after="0" w:line="3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bonuses based upon achievement of certain Company and individual performance metrics.</w:t>
      </w:r>
    </w:p>
    <w:p>
      <w:pPr>
        <w:spacing w:after="0" w:line="90"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Pinto was employed by us, but was not one of our named executive officers, in 2023; accordingly, compensation information is only provided for 2024.</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Pons served as our President and Chief Scientific Officer until April 15, 2025.</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Garcia served as our Chief Financial Officer until November 8, 2024.</w:t>
      </w:r>
    </w:p>
    <w:p>
      <w:pPr>
        <w:spacing w:after="0" w:line="90"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severance payment pursuant to certain separation agreement entered into between Mr. Garcia and us, as more fully described in the section titled “—Executive Employment Letter Agreements.”</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Randolph served as our Chief Medical Officer until October 11, 2024.</w:t>
      </w:r>
    </w:p>
    <w:p>
      <w:pPr>
        <w:spacing w:after="0" w:line="76"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severance payment pursuant to certain separation agreement entered into between Dr. Randolph and us, as more fully described in the section titled “—Executive Employment Letter Agreements.”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2024 Year-End</w:t>
      </w:r>
    </w:p>
    <w:p>
      <w:pPr>
        <w:spacing w:after="0" w:line="112" w:lineRule="exact"/>
        <w:rPr>
          <w:sz w:val="20"/>
          <w:szCs w:val="20"/>
          <w:color w:val="auto"/>
        </w:rPr>
      </w:pPr>
    </w:p>
    <w:p>
      <w:pPr>
        <w:ind w:right="800" w:firstLine="749"/>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outstanding equity awards held by our named executive officers as of December 31,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73"/>
        </w:trPr>
        <w:tc>
          <w:tcPr>
            <w:tcW w:w="1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60" w:type="dxa"/>
            <w:vAlign w:val="bottom"/>
          </w:tcPr>
          <w:p>
            <w:pPr>
              <w:jc w:val="center"/>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2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tcPr>
          <w:p>
            <w:pPr>
              <w:jc w:val="center"/>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120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340" w:type="dxa"/>
            <w:vAlign w:val="bottom"/>
          </w:tcPr>
          <w:p>
            <w:pPr>
              <w:jc w:val="center"/>
              <w:ind w:left="109"/>
              <w:spacing w:after="0" w:line="149" w:lineRule="exact"/>
              <w:rPr>
                <w:sz w:val="20"/>
                <w:szCs w:val="20"/>
                <w:color w:val="auto"/>
              </w:rPr>
            </w:pPr>
            <w:r>
              <w:rPr>
                <w:rFonts w:ascii="Times New Roman" w:cs="Times New Roman" w:eastAsia="Times New Roman" w:hAnsi="Times New Roman"/>
                <w:sz w:val="14"/>
                <w:szCs w:val="14"/>
                <w:b w:val="1"/>
                <w:bCs w:val="1"/>
                <w:color w:val="auto"/>
              </w:rPr>
              <w:t>Shares of Units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2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340" w:type="dxa"/>
            <w:vAlign w:val="bottom"/>
          </w:tcPr>
          <w:p>
            <w:pPr>
              <w:jc w:val="center"/>
              <w:ind w:left="109"/>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6"/>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260" w:type="dxa"/>
            <w:vAlign w:val="bottom"/>
          </w:tcPr>
          <w:p>
            <w:pPr>
              <w:jc w:val="center"/>
              <w:ind w:right="209"/>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82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12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40" w:type="dxa"/>
            <w:vAlign w:val="bottom"/>
          </w:tcPr>
          <w:p>
            <w:pPr>
              <w:jc w:val="center"/>
              <w:ind w:left="109"/>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2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20" w:type="dxa"/>
            <w:vAlign w:val="bottom"/>
          </w:tcPr>
          <w:p>
            <w:pPr>
              <w:jc w:val="center"/>
              <w:ind w:right="29"/>
              <w:spacing w:after="0" w:line="175" w:lineRule="exact"/>
              <w:rPr>
                <w:sz w:val="20"/>
                <w:szCs w:val="20"/>
                <w:color w:val="auto"/>
              </w:rPr>
            </w:pPr>
            <w:r>
              <w:rPr>
                <w:rFonts w:ascii="Times New Roman" w:cs="Times New Roman" w:eastAsia="Times New Roman" w:hAnsi="Times New Roman"/>
                <w:sz w:val="14"/>
                <w:szCs w:val="14"/>
                <w:b w:val="1"/>
                <w:bCs w:val="1"/>
                <w:color w:val="auto"/>
                <w:w w:val="96"/>
              </w:rPr>
              <w:t>Options</w:t>
            </w:r>
            <w:r>
              <w:rPr>
                <w:rFonts w:ascii="Times New Roman" w:cs="Times New Roman" w:eastAsia="Times New Roman" w:hAnsi="Times New Roman"/>
                <w:sz w:val="19"/>
                <w:szCs w:val="19"/>
                <w:b w:val="1"/>
                <w:bCs w:val="1"/>
                <w:color w:val="auto"/>
                <w:w w:val="96"/>
                <w:vertAlign w:val="superscript"/>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340" w:type="dxa"/>
            <w:vAlign w:val="bottom"/>
          </w:tcPr>
          <w:p>
            <w:pPr>
              <w:jc w:val="center"/>
              <w:ind w:left="149"/>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2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Jason Lettmann</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12/02/24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shd w:val="clear" w:color="auto" w:fill="CFF0FC"/>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39,583</w:t>
            </w:r>
          </w:p>
        </w:tc>
        <w:tc>
          <w:tcPr>
            <w:tcW w:w="46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150,417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09/08/23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06/20/23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06/15/22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20" w:type="dxa"/>
            <w:vAlign w:val="bottom"/>
            <w:shd w:val="clear" w:color="auto" w:fill="CFF0FC"/>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06/11/21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07/16/20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Shelly Pinto</w:t>
            </w:r>
          </w:p>
        </w:tc>
        <w:tc>
          <w:tcPr>
            <w:tcW w:w="120" w:type="dxa"/>
            <w:vAlign w:val="bottom"/>
          </w:tcPr>
          <w:p>
            <w:pPr>
              <w:spacing w:after="0"/>
              <w:rPr>
                <w:sz w:val="16"/>
                <w:szCs w:val="16"/>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12/02/24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01/28/22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07/30/21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21,354</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05/03/21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111,979</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Jaume Pons, Ph.D.</w:t>
            </w: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19,791</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2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99,875</w:t>
            </w:r>
          </w:p>
        </w:tc>
        <w:tc>
          <w:tcPr>
            <w:tcW w:w="460" w:type="dxa"/>
            <w:vAlign w:val="bottom"/>
            <w:gridSpan w:val="2"/>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182,125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147,416</w:t>
            </w:r>
          </w:p>
        </w:tc>
        <w:tc>
          <w:tcPr>
            <w:tcW w:w="120" w:type="dxa"/>
            <w:vAlign w:val="bottom"/>
            <w:shd w:val="clear" w:color="auto" w:fill="CFF0FC"/>
          </w:tcPr>
          <w:p>
            <w:pPr>
              <w:spacing w:after="0"/>
              <w:rPr>
                <w:sz w:val="17"/>
                <w:szCs w:val="17"/>
                <w:color w:val="auto"/>
              </w:rPr>
            </w:pPr>
          </w:p>
        </w:tc>
        <w:tc>
          <w:tcPr>
            <w:tcW w:w="340" w:type="dxa"/>
            <w:vAlign w:val="bottom"/>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07/30/21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192,187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07/16/20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272,771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04/27/20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198,310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03/09/20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552,533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09/12/19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76,765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03/30/17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144,433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Peter Garcia</w:t>
            </w:r>
          </w:p>
        </w:tc>
        <w:tc>
          <w:tcPr>
            <w:tcW w:w="120" w:type="dxa"/>
            <w:vAlign w:val="bottom"/>
          </w:tcPr>
          <w:p>
            <w:pPr>
              <w:spacing w:after="0"/>
              <w:rPr>
                <w:sz w:val="16"/>
                <w:szCs w:val="16"/>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w:t>
            </w:r>
          </w:p>
        </w:tc>
        <w:tc>
          <w:tcPr>
            <w:tcW w:w="12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58,916</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79,166</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07/30/21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07/16/20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88,137</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04/27/20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20,813</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03/09/20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149,490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-2567305</wp:posOffset>
            </wp:positionV>
            <wp:extent cx="7132320"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(3)</w:t>
            </w: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12/01/31</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(4)</w:t>
            </w:r>
          </w:p>
        </w:tc>
        <w:tc>
          <w:tcPr>
            <w:tcW w:w="1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02/13/34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09/07/33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06/19/33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06/14/32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06/10/31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93"/>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07/16/30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12/01/31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02/13/34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16,250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07/24/33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(11)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08/04/32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07/29/31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05/03/31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02/13/34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55,625</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07/24/33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(11)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4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08/04/32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07/29/31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07/16/30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04/27/30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03/09/30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09/12/29</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03/30/27</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02/13/34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07/24/33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08/04/32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07/29/31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07/16/30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04/27/30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03/09/30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-5010150</wp:posOffset>
            </wp:positionV>
            <wp:extent cx="5700395" cy="1028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028700"/>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-2438400</wp:posOffset>
            </wp:positionV>
            <wp:extent cx="5700395" cy="128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28587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6380" w:space="0"/>
            <w:col w:w="4860"/>
          </w:cols>
          <w:pgMar w:left="320" w:top="1411"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Sophia Randolph, M.D., Ph.D.</w:t>
            </w: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02/14/24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37,604</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15.84</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02/13/34</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07/25/23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60,187</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5.86</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07/24/33</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08/05/22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99,937</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11.47</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08/04/32</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07/30/21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58.56</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07/29/31</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07/16/20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89,657</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19.00</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07/16/30</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04/27/20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19,084</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4.81</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04/27/30</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2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03/09/20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92,629</w:t>
            </w:r>
          </w:p>
        </w:tc>
        <w:tc>
          <w:tcPr>
            <w:tcW w:w="900" w:type="dxa"/>
            <w:vAlign w:val="bottom"/>
            <w:shd w:val="clear" w:color="auto" w:fill="CFF0FC"/>
          </w:tcPr>
          <w:p>
            <w:pPr>
              <w:jc w:val="right"/>
              <w:ind w:right="586"/>
              <w:spacing w:after="0"/>
              <w:rPr>
                <w:sz w:val="20"/>
                <w:szCs w:val="20"/>
                <w:color w:val="auto"/>
              </w:rPr>
            </w:pPr>
            <w:r>
              <w:rPr>
                <w:rFonts w:ascii="Times New Roman" w:cs="Times New Roman" w:eastAsia="Times New Roman" w:hAnsi="Times New Roman"/>
                <w:sz w:val="11"/>
                <w:szCs w:val="11"/>
                <w:color w:val="auto"/>
              </w:rPr>
              <w:t>(8)</w:t>
            </w:r>
          </w:p>
        </w:tc>
        <w:tc>
          <w:tcPr>
            <w:tcW w:w="11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4.08</w:t>
            </w:r>
          </w:p>
        </w:tc>
        <w:tc>
          <w:tcPr>
            <w:tcW w:w="130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03/09/30</w:t>
            </w:r>
          </w:p>
        </w:tc>
        <w:tc>
          <w:tcPr>
            <w:tcW w:w="1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520" w:right="36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these awards are also subject to vesting acceleration under certain circumstances, as will be more fully described below under “—Severance and Change in Control Protections”.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type w:val="continuous"/>
        </w:sectPr>
      </w:pPr>
    </w:p>
    <w:bookmarkStart w:id="42" w:name="page43"/>
    <w:bookmarkEnd w:id="42"/>
    <w:p>
      <w:pPr>
        <w:spacing w:after="0" w:line="4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calculated using the closing market price of a share of Common Stock as of December 31, 2024, which was $1.67.</w:t>
      </w:r>
    </w:p>
    <w:p>
      <w:pPr>
        <w:spacing w:after="0" w:line="9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30 equal monthly installments beginning on January 2, 2025.</w:t>
      </w:r>
    </w:p>
    <w:p>
      <w:pPr>
        <w:spacing w:after="0" w:line="76"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or RSUs, vest in eight equal semiannual installments beginning on August 14, 2024,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60" w:hanging="512"/>
        <w:spacing w:after="0" w:line="289"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performance-based restricted stock units, or PSUs, vest, if at all, as follows: 30% vest upon the one year anniversary of the receipt by the Company of certain positive data for ASPEN 06 and 70% vest upon the one year anniversary of the receipt by the Company of certain positive data for either ASPEN 03 or 04 during the applicable performance period, in each case subject to continued service through the applicable vesting date.</w:t>
      </w:r>
    </w:p>
    <w:p>
      <w:pPr>
        <w:spacing w:after="0" w:line="22"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March 14, 2024,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shares subject to the option vested on September 5, 2024 and 1/48th of the shares vest monthly thereafter,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are fully vested and immediately exercisable.</w:t>
      </w:r>
    </w:p>
    <w:p>
      <w:pPr>
        <w:spacing w:after="0" w:line="90"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eight equal semiannual installments beginning on December 28, 2023,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August 3, 2023,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eight equal semiannual installments beginning on December 28, 2022,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August 1, 2022,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3/8ths of the RSUs vested on July 3, 2023 and the remaining RSUs vest thereafter in five equal semiannual installments,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August 30, 2021,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shares subject to the option vested on May 3, 2022 and 1/36th of the remaining shares subject to the option vest each month thereafter, in each case subject to continued service through the applicable vesting date.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Employment Letter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Jason Lettmann</w:t>
      </w:r>
    </w:p>
    <w:p>
      <w:pPr>
        <w:spacing w:after="0" w:line="112"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appointment of Mr. Lettmann as our Chief Executive Officer, we entered into an employment letter with Mr. Lettmann, effective as of September 6, 2023. The employment letter has no specific term and provides that Mr. Lettmann is an at-will employee. For 2024, his annual base salary was $700,000. For 2025, Mr. Lettmann’s base salary is $724,500. Mr. Lettmann is eligible for an annual target cash incentive payment equal to 55% of his annual base salary.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Harish Shantharam</w:t>
      </w:r>
    </w:p>
    <w:p>
      <w:pPr>
        <w:spacing w:after="0" w:line="112"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appointment of Mr. Shantharam as our Chief Financial Officer, we entered into an employment letter with Mr. Shantharam, effective as of January 21, 2025. The employment letter has no specific term and provides that Mr. Shantharam is an at-will employee. For 2025, Mr. Shantharam’s annual base salary is $490,000. Mr. Shantharam is eligible for an annual target cash incentive payment equal to 40% of his annual base salary.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Shelly Pinto</w:t>
      </w:r>
    </w:p>
    <w:p>
      <w:pPr>
        <w:spacing w:after="0" w:line="112"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appointment of Ms. Pinto as our Vice President, Finance and Chief Accounting Officer, we entered into a confirmatory employment letter with Ms. Pinto, effective May 3, 2021. The confirmatory employment letter has no specific term and provides that Ms. Pinto is an at-will employee. As of the end of 2024, Ms. Pinto’s base annual salary was $378,776. For 2025, Ms. Pinto’s base salary is $435,592. She is eligible for an annual target cash incentive payment equal to 40% of her annual base salary.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Alan Sandler, M.D.</w:t>
      </w:r>
    </w:p>
    <w:p>
      <w:pPr>
        <w:spacing w:after="0" w:line="112"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appointment of Dr. Sandler as our Chief Medical Officer, we entered into an employment letter with Dr. Sandler, effective as of November 10, 2024. The confirmatory employment letter has no specific term and provides that Dr. Sandler is an at-will employee. For 2024 and 2025, Dr. Sandler’s annual base salary is $575,000, and commencing in 2025, he is eligible for an annual target cash incentive payment equal to 45% of his annual base salary.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Jaume Pons, Ph.D.</w:t>
      </w:r>
    </w:p>
    <w:p>
      <w:pPr>
        <w:spacing w:after="0" w:line="112"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appointment of Dr. Pons as our President and Chief Scientific Officer, we entered into an employment letter with Dr. Pons, effective as of September 6, 2023. The employment letter had no specific term and provided that Dr. Pons was an at-will employee. As of December 31, 2024, Dr. Pons’ annual base salary was $650,000, and he was eligible for an annual target cash incentive payment equal to 55% of his annual base salary.</w:t>
      </w:r>
    </w:p>
    <w:p>
      <w:pPr>
        <w:spacing w:after="0" w:line="7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Dr. Pons and the Company entered into a separation agreement terminating his employment effective as of April 15, 2025. The separation agreement provided that Dr. Pons was paid a single, lump sum, cash payment equal to $650,000, and for Company-paid premiums for COBRA coverage under the Company’s group health, dental and vision care plans for his and his eligible dependents for up to 12 months following his separation date subject to certain conditions. In addition, the separation agreement provided for the Company to cause certain stock options and restricted stock units subject to certain specified grants, as specified in the agreement, that would have otherwise vested in accordance with the terms of the 2020 Plan and the award agreements, absent a termination of employment, during the 12 month period immediately following his separation date to become fully vested and (as applicable) exercisable as of his separation date, and that all stock options that were vested to be exercisable until April 15, 2026. In consideration for the compensation noted above, Dr. Pons agreed to a customary general release of claims for the benefit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Peter Garcia</w:t>
      </w:r>
    </w:p>
    <w:p>
      <w:pPr>
        <w:spacing w:after="0" w:line="112"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In July 2020, we entered into a confirmatory employment letter with Peter Garcia, our Chief Financial Officer. The confirmatory employment letter had no specific term and provided that Mr. Garcia was an at-will employee. Mr. Garcia’s annual base salary was $485,472 for 2024. He was eligible for an annual target cash incentive payment equal to 40% of his annual base salary for 2024, provided that his participation in such cash incentive opportunity terminated in connection with the termination of his employment during the year.</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1"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Mr. Garcia and the Company entered into a separation agreement on November 8, 2024. The separation agreement provided that Mr. Garcia was paid a single, lump sum, cash payment equal to $479,646, and for Company-paid premiums for COBRA coverage under the Company’s group health, dental and vision care plans for his and his eligible dependents for up to 12 months following his separation date subject to certain conditions. In addition, the separation agreement provided for the Company to cause his outstanding stock options and restricted stock units covering shares of the Company’s common stock that would have otherwise vested in accordance with the terms of the Plan and the award agreements, absent a termination of employment, during the 12-month period immediately following his separation date to become fully vested and (as applicable) exercisable. In consideration for the compensation noted above, Mr. Garcia agreed to a customary general release of claims for the benefit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Sophia Randolph, M.D., Ph.D.</w:t>
      </w:r>
    </w:p>
    <w:p>
      <w:pPr>
        <w:spacing w:after="0" w:line="11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In July 2020, we entered into a confirmatory employment letter with Dr. Sophia Randolph, our Chief Medical Officer. The confirmatory employment letter had no specific term and provided that Dr. Randolph was an at-will employee. Dr. Randolph’s annual base salary was $510,000 for 2024. She was eligible for an annual target cash incentive payment equal to 40% of her annual base salary for 2024, provided that her participation in such cash incentive opportunity terminated in connection with the termination of her employment during the year.</w:t>
      </w:r>
    </w:p>
    <w:p>
      <w:pPr>
        <w:spacing w:after="0" w:line="77"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Dr. Randolph and the Company entered into a separation agreement on October 11, 2024. The separation agreement provided that Dr. Randolph was paid a single, lump sum, cash payment equal to $503,880, and for Company-paid premiums for COBRA coverage under the Company’s group health, dental and vision care plans for her and her eligible dependents for up to 18 months following her separation date subject to certain conditions. In addition, the separation agreement provided for the Company to cause her outstanding stock options and restricted stock units covering shares of the Company’s common stock that would have otherwise vested during the 12 month period immediately following her separation date to become fully vested and (as applicable) exercisable, and all stock options that were vested to be exercisable until July 11, 2026. In consideration for the compensation noted above, Dr. Randolph agreed to a customary general release of claims for the benefit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Control and Severance Agreements</w:t>
      </w:r>
    </w:p>
    <w:p>
      <w:pPr>
        <w:spacing w:after="0" w:line="11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We entered into Severance Agreements with each of our named executive officers, which provide for certain severance and change in control benefits. Each Severance Agreement superseded any prior agreement or arrangement the named executive officer may have had with us that provided for severance and/or change in control payments or benefits. The Severance Agreements have no specific term and will terminate upon written consent by the parties or when all obligations under the change in control agreement are satisfied. In March 2025, our compensation committee approved certain amendments (2025 Amendment) to the Severance Agreements that are reflected below for all current named executive officers. For a description of the terms of Severance Agreements prior to the adoption of the 2025 Amendment, please see our definitive proxy statement for our 2024 annual meeting of stockholders, filed with the SEC on April 24, 2024. The Severance Agreements for Mr. Garcia and Dr. Randolph terminated in connection with the termination of their employment, and they are not included in the description below, and the Severance Agreement for Dr. Pons also will terminate in connection with the termination of his employment, subject to a tail period during which Severance Agreement remains outstanding to determine whether any change in control of us occurs within three months following such termination (as discussed below).</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89"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0"/>
          <w:szCs w:val="20"/>
          <w:color w:val="auto"/>
        </w:rPr>
        <w:t>The Severance Agreements provide that if, other than during the period beginning three months before our change in control through the one-year anniversary of our change in control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release of claims in our favor:</w:t>
      </w:r>
    </w:p>
    <w:p>
      <w:pPr>
        <w:spacing w:after="0" w:line="185" w:lineRule="exact"/>
        <w:rPr>
          <w:sz w:val="20"/>
          <w:szCs w:val="20"/>
          <w:color w:val="auto"/>
        </w:rPr>
      </w:pPr>
    </w:p>
    <w:p>
      <w:pPr>
        <w:ind w:left="1140" w:right="360" w:hanging="383"/>
        <w:spacing w:after="0" w:line="269"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100% of the named executive officer’s base salary as in effect immediately before such termination;</w:t>
      </w:r>
    </w:p>
    <w:p>
      <w:pPr>
        <w:spacing w:after="0" w:line="159" w:lineRule="exact"/>
        <w:rPr>
          <w:rFonts w:ascii="Times New Roman" w:cs="Times New Roman" w:eastAsia="Times New Roman" w:hAnsi="Times New Roman"/>
          <w:sz w:val="18"/>
          <w:szCs w:val="18"/>
          <w:color w:val="auto"/>
        </w:rPr>
      </w:pPr>
    </w:p>
    <w:p>
      <w:pPr>
        <w:ind w:left="1140" w:right="240" w:hanging="383"/>
        <w:spacing w:after="0" w:line="269"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100% of the named executive officer’s target bonus opportunity as in effect immediately before such termination, prorated to reflect the portion of the year up to such termination; and</w:t>
      </w:r>
    </w:p>
    <w:p>
      <w:pPr>
        <w:spacing w:after="0" w:line="51" w:lineRule="exact"/>
        <w:rPr>
          <w:rFonts w:ascii="Times New Roman" w:cs="Times New Roman" w:eastAsia="Times New Roman" w:hAnsi="Times New Roman"/>
          <w:sz w:val="18"/>
          <w:szCs w:val="18"/>
          <w:color w:val="auto"/>
        </w:rPr>
      </w:pPr>
    </w:p>
    <w:p>
      <w:pPr>
        <w:ind w:left="1140" w:right="520" w:hanging="383"/>
        <w:spacing w:after="0" w:line="269"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Company-paid group health, dental and vision coverage under COBRA for the named executive officer and their eligible dependents for up to twelve months.</w:t>
      </w:r>
    </w:p>
    <w:p>
      <w:pPr>
        <w:spacing w:after="0" w:line="159"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0"/>
          <w:szCs w:val="20"/>
          <w:color w:val="auto"/>
        </w:rPr>
        <w:t>If, during the change in control period, the named executive officer’s employment with us is terminated by us without cause (as defined in the Severance Agreement, and excluding by reason of their death or disability) or by the named executive officer for good reason (as defined in the Severance Agreement), the named executive officer will receive the following severance payments and benefits if they timely execute and do not revoke a separation agreement and release of claims in our favor:</w:t>
      </w:r>
    </w:p>
    <w:p>
      <w:pPr>
        <w:spacing w:after="0" w:line="180" w:lineRule="exact"/>
        <w:rPr>
          <w:sz w:val="20"/>
          <w:szCs w:val="20"/>
          <w:color w:val="auto"/>
        </w:rPr>
      </w:pPr>
    </w:p>
    <w:p>
      <w:pPr>
        <w:ind w:left="1140" w:hanging="383"/>
        <w:spacing w:after="0" w:line="254"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150% for Mr. Lettmann and Dr. Pons, or 100% for the other named executive officers, of the named executive officer’s base salary as in effect immediately before such termination or if greater, the base salary in effect immediately before our change in control;</w:t>
      </w:r>
    </w:p>
    <w:p>
      <w:pPr>
        <w:spacing w:after="0" w:line="66" w:lineRule="exact"/>
        <w:rPr>
          <w:rFonts w:ascii="Times New Roman" w:cs="Times New Roman" w:eastAsia="Times New Roman" w:hAnsi="Times New Roman"/>
          <w:sz w:val="18"/>
          <w:szCs w:val="18"/>
          <w:color w:val="auto"/>
        </w:rPr>
      </w:pPr>
    </w:p>
    <w:p>
      <w:pPr>
        <w:ind w:left="1140" w:right="60" w:hanging="383"/>
        <w:spacing w:after="0" w:line="254"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150% for Mr. Lettmann and Dr. Pons, or 100% for the other named executive officers, of the named executive officer’s target bonus opportunity as in effect immediately before such termination or if greater, the target bonus opportunity in effect immediately before our change in control;</w:t>
      </w:r>
    </w:p>
    <w:p>
      <w:pPr>
        <w:spacing w:after="0" w:line="66" w:lineRule="exact"/>
        <w:rPr>
          <w:rFonts w:ascii="Times New Roman" w:cs="Times New Roman" w:eastAsia="Times New Roman" w:hAnsi="Times New Roman"/>
          <w:sz w:val="18"/>
          <w:szCs w:val="18"/>
          <w:color w:val="auto"/>
        </w:rPr>
      </w:pPr>
    </w:p>
    <w:p>
      <w:pPr>
        <w:ind w:left="1140" w:right="40" w:hanging="383"/>
        <w:spacing w:after="0" w:line="254"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Company-paid group health, dental and vision coverage under COBRA for the named executive officer and their eligible dependents for up to eighteen months for Mr. Lettmann and Dr. Pons, or twelve months for the other named executive officers; and</w:t>
      </w:r>
    </w:p>
    <w:p>
      <w:pPr>
        <w:spacing w:after="0" w:line="66" w:lineRule="exact"/>
        <w:rPr>
          <w:rFonts w:ascii="Times New Roman" w:cs="Times New Roman" w:eastAsia="Times New Roman" w:hAnsi="Times New Roman"/>
          <w:sz w:val="18"/>
          <w:szCs w:val="18"/>
          <w:color w:val="auto"/>
        </w:rPr>
      </w:pPr>
    </w:p>
    <w:p>
      <w:pPr>
        <w:ind w:left="1140" w:right="360" w:hanging="383"/>
        <w:spacing w:after="0" w:line="269"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accelerated vesting and exercisability of the outstanding and unvested Company equity awards (other than Company equity awards subject to performance-based vesting criteria) granted to the named executive officer.</w:t>
      </w:r>
    </w:p>
    <w:p>
      <w:pPr>
        <w:spacing w:after="0" w:line="159" w:lineRule="exact"/>
        <w:rPr>
          <w:sz w:val="20"/>
          <w:szCs w:val="20"/>
          <w:color w:val="auto"/>
        </w:rPr>
      </w:pPr>
    </w:p>
    <w:p>
      <w:pPr>
        <w:ind w:right="420" w:firstLine="749"/>
        <w:spacing w:after="0" w:line="295" w:lineRule="auto"/>
        <w:rPr>
          <w:sz w:val="20"/>
          <w:szCs w:val="20"/>
          <w:color w:val="auto"/>
        </w:rPr>
      </w:pPr>
      <w:r>
        <w:rPr>
          <w:rFonts w:ascii="Times New Roman" w:cs="Times New Roman" w:eastAsia="Times New Roman" w:hAnsi="Times New Roman"/>
          <w:sz w:val="19"/>
          <w:szCs w:val="19"/>
          <w:color w:val="auto"/>
        </w:rPr>
        <w:t>In addition, the Severance Agreement for Dr. Pons provided that in the event of our change in control, 100% of his outstanding Company equity awards (other than Company equity awards subject to performance-based vesting criteria) will accelerate vesting.</w:t>
      </w:r>
    </w:p>
    <w:p>
      <w:pPr>
        <w:spacing w:after="0" w:line="13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Each Severance Agreement provides that, if any of the amounts provided for under a Severance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Severance Agreement or such lesser amount that would result in no portion of the payments and benefits being subject to the excise tax, whichever results in the greater amount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after-tax benefits to the named executive officer. The Severance Agreements do not provide for any tax gross-ups in connection with our change in control.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Incentive Compensation Plan</w:t>
      </w:r>
    </w:p>
    <w:p>
      <w:pPr>
        <w:spacing w:after="0" w:line="112"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Our board of directors has adopted our Executive Incentive Compensation Plan, or the Incentive Compensation Plan. Our Incentive Compensation Plan will be administered by the compensation committee of our board of directors, 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85"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93"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85"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8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20"/>
          <w:szCs w:val="20"/>
          <w:color w:val="auto"/>
        </w:rPr>
        <w:t>Awards under our Incentive Compensation Plan are subject to any clawback policy that we may be required by applicable laws to adopt from time to time, including our Compensation Recovery Policy, which was adopted in July 2023. The administrator also may impose such other recovery, clawback, or recoupment provisions with respect to an award under our Incentive Compensation Plan as the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8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80" w:lineRule="exact"/>
        <w:rPr>
          <w:sz w:val="20"/>
          <w:szCs w:val="20"/>
          <w:color w:val="auto"/>
        </w:rPr>
      </w:pPr>
    </w:p>
    <w:p>
      <w:pPr>
        <w:ind w:right="600" w:firstLine="749"/>
        <w:spacing w:after="0" w:line="254" w:lineRule="auto"/>
        <w:rPr>
          <w:sz w:val="20"/>
          <w:szCs w:val="20"/>
          <w:color w:val="auto"/>
        </w:rPr>
      </w:pPr>
      <w:r>
        <w:rPr>
          <w:rFonts w:ascii="Times New Roman" w:cs="Times New Roman" w:eastAsia="Times New Roman" w:hAnsi="Times New Roman"/>
          <w:sz w:val="20"/>
          <w:szCs w:val="20"/>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Inducement Equity Incentive Plan</w:t>
      </w:r>
    </w:p>
    <w:p>
      <w:pPr>
        <w:spacing w:after="0" w:line="112"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Effective January 16, 2025, our board of directors adopted the Inducement Plan. The Inducement Plan provides for the grant of equity-based awards, including nonstatutory stock options, stock appreciation rights, restricted stock, restricted stock units, performance units and performance shares, and its terms are substantially similar to the 2020 Plan, including with respect to treatment of equity awards in the event of a “merger” or “change in control” as defined under the Inducement Plan, but with such other terms and conditions intended to comply with The Nasdaq Stock Market LLC’s (Nasdaq) inducement award exception. 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81"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The Inducement Plan was recommended for approval by our compensation committee and subsequently approved and adopted by our board of directors without stockholder approval pursuant to the applicable Nasdaq Listing Rules.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12"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2024 with respect to shares of our common stock that may be issued under our existing equity compensation plans.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4100" w:type="dxa"/>
            <w:vAlign w:val="bottom"/>
            <w:vMerge w:val="restart"/>
          </w:tcPr>
          <w:p>
            <w:pPr>
              <w:jc w:val="center"/>
              <w:ind w:left="1908"/>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700" w:type="dxa"/>
            <w:vAlign w:val="bottom"/>
          </w:tcPr>
          <w:p>
            <w:pPr>
              <w:spacing w:after="0"/>
              <w:rPr>
                <w:sz w:val="13"/>
                <w:szCs w:val="13"/>
                <w:color w:val="auto"/>
              </w:rPr>
            </w:pPr>
          </w:p>
        </w:tc>
        <w:tc>
          <w:tcPr>
            <w:tcW w:w="21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4100" w:type="dxa"/>
            <w:vAlign w:val="bottom"/>
          </w:tcPr>
          <w:p>
            <w:pPr>
              <w:jc w:val="center"/>
              <w:ind w:left="1928"/>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700" w:type="dxa"/>
            <w:vAlign w:val="bottom"/>
            <w:vMerge w:val="continue"/>
          </w:tcPr>
          <w:p>
            <w:pPr>
              <w:spacing w:after="0"/>
              <w:rPr>
                <w:sz w:val="12"/>
                <w:szCs w:val="12"/>
                <w:color w:val="auto"/>
              </w:rPr>
            </w:pPr>
          </w:p>
        </w:tc>
        <w:tc>
          <w:tcPr>
            <w:tcW w:w="21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100" w:type="dxa"/>
            <w:vAlign w:val="bottom"/>
          </w:tcPr>
          <w:p>
            <w:pPr>
              <w:jc w:val="center"/>
              <w:ind w:left="192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9"/>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10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 and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the first</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410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21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Column)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120" w:right="1940" w:hanging="94"/>
        <w:spacing w:after="0" w:line="233" w:lineRule="auto"/>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16"/>
          <w:szCs w:val="16"/>
          <w:i w:val="1"/>
          <w:iCs w:val="1"/>
          <w:color w:val="auto"/>
        </w:rPr>
        <w:t>Amended and Restated 2020 Equity Incentive Plan</w:t>
      </w: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 xml:space="preserve"> 2020 Employee Stock Purchase Plan</w:t>
      </w:r>
      <w:r>
        <w:rPr>
          <w:rFonts w:ascii="Times New Roman" w:cs="Times New Roman" w:eastAsia="Times New Roman" w:hAnsi="Times New Roman"/>
          <w:sz w:val="21"/>
          <w:szCs w:val="21"/>
          <w:i w:val="1"/>
          <w:iCs w:val="1"/>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11,785,006</w:t>
            </w:r>
          </w:p>
        </w:tc>
        <w:tc>
          <w:tcPr>
            <w:tcW w:w="7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10.04</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642,557</w:t>
            </w:r>
          </w:p>
        </w:tc>
      </w:tr>
      <w:tr>
        <w:trPr>
          <w:trHeight w:val="208"/>
        </w:trPr>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17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974,251</w:t>
            </w:r>
          </w:p>
        </w:tc>
      </w:tr>
      <w:tr>
        <w:trPr>
          <w:trHeight w:val="210"/>
        </w:trPr>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11,785,006</w:t>
            </w: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-261620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p>
      <w:pPr>
        <w:spacing w:after="0" w:line="4" w:lineRule="exact"/>
        <w:rPr>
          <w:sz w:val="20"/>
          <w:szCs w:val="20"/>
          <w:color w:val="auto"/>
        </w:rPr>
      </w:pPr>
    </w:p>
    <w:p>
      <w:pPr>
        <w:ind w:left="520" w:hanging="512"/>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4,000,000 shares, (ii) 4% of the outstanding shares of our common stock as of the last day of the immediately preceding fiscal year or (iii) such number of shares as our board of directors may determine no later than the last day of our immediately preceding fiscal year.</w:t>
      </w:r>
    </w:p>
    <w:p>
      <w:pPr>
        <w:spacing w:after="0" w:line="3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ESPP. The ESPP provides that the number of shares available for issuance under the ESPP will be increased on the first day of each fiscal year beginning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45"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with the 2021 fiscal year, in an amount equal to the least of (i) 800,000 shares, (ii) 1% of the outstanding shares of our common stock on the last day of the immediately preceding fiscal year or (iii) such number of shares as our board of directors may determine no later than the last day of our immediately preceding fiscal year.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Recovery (Clawback)</w:t>
      </w:r>
    </w:p>
    <w:p>
      <w:pPr>
        <w:spacing w:after="0" w:line="112"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In July 2023, our compensation committee adopted a Compensation Recovery Policy that complies with the new SEC and Nasdaq requirements of the Dodd-Frank Wall Street Reform and Consumer Protection Act.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1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Our insider trading policy is filed as an exhibit to our Annual Report on Form 10-K for the year ended December 31,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12" w:lineRule="exact"/>
        <w:rPr>
          <w:sz w:val="20"/>
          <w:szCs w:val="20"/>
          <w:color w:val="auto"/>
        </w:rPr>
      </w:pPr>
    </w:p>
    <w:p>
      <w:pPr>
        <w:ind w:right="360" w:firstLine="749"/>
        <w:spacing w:after="0" w:line="246" w:lineRule="auto"/>
        <w:rPr>
          <w:sz w:val="20"/>
          <w:szCs w:val="20"/>
          <w:color w:val="auto"/>
        </w:rPr>
      </w:pPr>
      <w:r>
        <w:rPr>
          <w:rFonts w:ascii="Times New Roman" w:cs="Times New Roman" w:eastAsia="Times New Roman" w:hAnsi="Times New Roman"/>
          <w:sz w:val="20"/>
          <w:szCs w:val="20"/>
          <w:color w:val="auto"/>
        </w:rPr>
        <w:t>Under rules adopted pursuant to Section 953(a) of the Dodd-Frank Wall Street Reform and Consumer Protection Act, and Item 402(v) of Regulation S-K, we are required to calculate and disclose certain information regarding the “Compensation Actually Paid” (or CAP) to our named executive officers and certain Company performance for the years ended December 31, 2024, 2023 and 2022. The disclosure includes an analysis of compensation for our Principal Executive Officers (or our PEOs) and the average compensation for the non-PEO named executive officers (or our non-PEO NEOs).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2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Pr>
          <w:p>
            <w:pPr>
              <w:spacing w:after="0"/>
              <w:rPr>
                <w:sz w:val="12"/>
                <w:szCs w:val="12"/>
                <w:color w:val="auto"/>
              </w:rPr>
            </w:pPr>
          </w:p>
        </w:tc>
        <w:tc>
          <w:tcPr>
            <w:tcW w:w="7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2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0" w:type="dxa"/>
            <w:vAlign w:val="bottom"/>
          </w:tcPr>
          <w:p>
            <w:pPr>
              <w:spacing w:after="0"/>
              <w:rPr>
                <w:sz w:val="12"/>
                <w:szCs w:val="12"/>
                <w:color w:val="auto"/>
              </w:rPr>
            </w:pPr>
          </w:p>
        </w:tc>
        <w:tc>
          <w:tcPr>
            <w:tcW w:w="90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rPr>
              <w:t>Non-PEO NEOs</w:t>
            </w:r>
            <w:r>
              <w:rPr>
                <w:rFonts w:ascii="Times New Roman" w:cs="Times New Roman" w:eastAsia="Times New Roman" w:hAnsi="Times New Roman"/>
                <w:sz w:val="17"/>
                <w:szCs w:val="17"/>
                <w:color w:val="auto"/>
                <w:vertAlign w:val="superscript"/>
              </w:rPr>
              <w:t>(2)</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5"/>
              <w:spacing w:after="0" w:line="135" w:lineRule="exact"/>
              <w:rPr>
                <w:sz w:val="20"/>
                <w:szCs w:val="20"/>
                <w:color w:val="auto"/>
              </w:rPr>
            </w:pPr>
            <w:r>
              <w:rPr>
                <w:rFonts w:ascii="Times New Roman" w:cs="Times New Roman" w:eastAsia="Times New Roman" w:hAnsi="Times New Roman"/>
                <w:sz w:val="12"/>
                <w:szCs w:val="12"/>
                <w:b w:val="1"/>
                <w:bCs w:val="1"/>
                <w:color w:val="auto"/>
              </w:rPr>
              <w:t>PEO 1</w:t>
            </w:r>
            <w:r>
              <w:rPr>
                <w:rFonts w:ascii="Times New Roman" w:cs="Times New Roman" w:eastAsia="Times New Roman" w:hAnsi="Times New Roman"/>
                <w:sz w:val="15"/>
                <w:szCs w:val="15"/>
                <w:color w:val="auto"/>
                <w:vertAlign w:val="superscript"/>
              </w:rPr>
              <w:t>(1)</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5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1</w:t>
            </w:r>
            <w:r>
              <w:rPr>
                <w:rFonts w:ascii="Times New Roman" w:cs="Times New Roman" w:eastAsia="Times New Roman" w:hAnsi="Times New Roman"/>
                <w:sz w:val="7"/>
                <w:szCs w:val="7"/>
                <w:color w:val="auto"/>
              </w:rPr>
              <w:t>(2)(3)</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5"/>
              <w:spacing w:after="0" w:line="135" w:lineRule="exact"/>
              <w:rPr>
                <w:sz w:val="20"/>
                <w:szCs w:val="20"/>
                <w:color w:val="auto"/>
              </w:rPr>
            </w:pPr>
            <w:r>
              <w:rPr>
                <w:rFonts w:ascii="Times New Roman" w:cs="Times New Roman" w:eastAsia="Times New Roman" w:hAnsi="Times New Roman"/>
                <w:sz w:val="12"/>
                <w:szCs w:val="12"/>
                <w:b w:val="1"/>
                <w:bCs w:val="1"/>
                <w:color w:val="auto"/>
              </w:rPr>
              <w:t>PEO 2</w:t>
            </w:r>
            <w:r>
              <w:rPr>
                <w:rFonts w:ascii="Times New Roman" w:cs="Times New Roman" w:eastAsia="Times New Roman" w:hAnsi="Times New Roman"/>
                <w:sz w:val="15"/>
                <w:szCs w:val="15"/>
                <w:color w:val="auto"/>
                <w:vertAlign w:val="superscript"/>
              </w:rPr>
              <w:t>(1)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PEO 2</w:t>
            </w:r>
            <w:r>
              <w:rPr>
                <w:rFonts w:ascii="Times New Roman" w:cs="Times New Roman" w:eastAsia="Times New Roman" w:hAnsi="Times New Roman"/>
                <w:sz w:val="7"/>
                <w:szCs w:val="7"/>
                <w:color w:val="auto"/>
              </w:rPr>
              <w:t>(2)(3)</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rPr>
              <w:t>NEOs</w:t>
            </w:r>
            <w:r>
              <w:rPr>
                <w:rFonts w:ascii="Times New Roman" w:cs="Times New Roman" w:eastAsia="Times New Roman" w:hAnsi="Times New Roman"/>
                <w:sz w:val="15"/>
                <w:szCs w:val="15"/>
                <w:color w:val="auto"/>
                <w:vertAlign w:val="superscript"/>
              </w:rPr>
              <w:t>(4)</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0"/>
                <w:szCs w:val="10"/>
                <w:color w:val="auto"/>
              </w:rPr>
              <w:t>(3)</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46"/>
              <w:spacing w:after="0" w:line="135" w:lineRule="exact"/>
              <w:rPr>
                <w:sz w:val="20"/>
                <w:szCs w:val="20"/>
                <w:color w:val="auto"/>
              </w:rPr>
            </w:pPr>
            <w:r>
              <w:rPr>
                <w:rFonts w:ascii="Times New Roman" w:cs="Times New Roman" w:eastAsia="Times New Roman" w:hAnsi="Times New Roman"/>
                <w:sz w:val="12"/>
                <w:szCs w:val="12"/>
                <w:b w:val="1"/>
                <w:bCs w:val="1"/>
                <w:color w:val="auto"/>
              </w:rPr>
              <w:t>Return</w:t>
            </w:r>
            <w:r>
              <w:rPr>
                <w:rFonts w:ascii="Times New Roman" w:cs="Times New Roman" w:eastAsia="Times New Roman" w:hAnsi="Times New Roman"/>
                <w:sz w:val="15"/>
                <w:szCs w:val="15"/>
                <w:color w:val="auto"/>
                <w:vertAlign w:val="superscript"/>
              </w:rPr>
              <w:t>(5)</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6,640,830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(11,212,047 )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2,687,583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(2,078,990 )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(134,850,000 )</w:t>
            </w:r>
          </w:p>
        </w:tc>
        <w:tc>
          <w:tcPr>
            <w:tcW w:w="0" w:type="dxa"/>
            <w:vAlign w:val="bottom"/>
          </w:tcPr>
          <w:p>
            <w:pPr>
              <w:spacing w:after="0"/>
              <w:rPr>
                <w:sz w:val="1"/>
                <w:szCs w:val="1"/>
                <w:color w:val="auto"/>
              </w:rPr>
            </w:pPr>
          </w:p>
        </w:tc>
      </w:tr>
      <w:tr>
        <w:trPr>
          <w:trHeight w:val="203"/>
        </w:trPr>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4,857,183</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15,230,588</w:t>
            </w:r>
          </w:p>
        </w:tc>
        <w:tc>
          <w:tcPr>
            <w:tcW w:w="2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2,745,326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5,620,559</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2,490,225</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(160,805,000 )</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3,734,316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(3,301,953 )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1,919,196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(418,024 )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(123,482,000 )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are the amounts of total compensation reported for the applicable PEO for each corresponding year in the “Total” column of the Summary Compensation Table. Dr. Pons (shown as PEO 2 in the table) was our PEO during our fiscal year 2022. Our PEOs for fiscal year 2023 were Mr. Lettmann (PEO 1) and Dr. Pons (PEO 2). Mr. Lettmann was our PEO in fiscal year 2024.</w:t>
      </w:r>
    </w:p>
    <w:p>
      <w:pPr>
        <w:ind w:left="52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Lettmann was appointed as our Chief Executive Officer on September 6, 2023, on which date Dr. Pons transitioned from Chief Executive Officer of the Company to our Chief Scientific Officer while continuing to serve as our President.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45" w:lineRule="exact"/>
        <w:rPr>
          <w:sz w:val="20"/>
          <w:szCs w:val="20"/>
          <w:color w:val="auto"/>
        </w:rPr>
      </w:pPr>
    </w:p>
    <w:p>
      <w:pPr>
        <w:ind w:left="520" w:right="20" w:hanging="512"/>
        <w:spacing w:after="0" w:line="25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as Compensation Actually Paid have been calculated in accordance with Item 402(v) of Regulation S-K and do not reflect compensation actually realized or received by the Company’s NEOs. The fair value of equity for the calculation of Compensation Actually Paid was estimated using methodologies consistent with those used to estimate the grant date fair value of the awards, with the expected life for options adjusted to reflect their moneyness level at the time of re-valuation. These amounts reflect the total compensation for the PEO or the average of the total compensation for the non-PEO NEOs as set forth in the Summary Compensation Table for each year, adjusted as described in footnote 3 below.</w:t>
      </w:r>
    </w:p>
    <w:p>
      <w:pPr>
        <w:spacing w:after="0" w:line="52"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PEO and the Non-PEO NEOs in accordance with SEC rules as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PEO 1: Jason Lettmann</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compensation table total for PEO 1</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6,640,830</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4,857,183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Grant date fair value of stock awards and option awards granted during the year</w:t>
            </w:r>
          </w:p>
        </w:tc>
        <w:tc>
          <w:tcPr>
            <w:tcW w:w="42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(5,648,230 )</w:t>
            </w:r>
          </w:p>
        </w:tc>
        <w:tc>
          <w:tcPr>
            <w:tcW w:w="42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(4,369,560 )</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year-end of stock awards and option awards granted during the year that are outstanding and</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unvested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733,531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at year-end of stock awards and option awards granted in prior years that are</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outstanding and unvested</w:t>
            </w:r>
          </w:p>
        </w:tc>
        <w:tc>
          <w:tcPr>
            <w:tcW w:w="4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(9,225,317 )</w:t>
            </w:r>
          </w:p>
        </w:tc>
        <w:tc>
          <w:tcPr>
            <w:tcW w:w="4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vesting of stock awards and option awards granted and vested during the year</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197,886</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as of vesting date of stock awards and option awards granted in prior years that</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 during the year</w:t>
            </w:r>
          </w:p>
        </w:tc>
        <w:tc>
          <w:tcPr>
            <w:tcW w:w="4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(3,910,747 )</w:t>
            </w:r>
          </w:p>
        </w:tc>
        <w:tc>
          <w:tcPr>
            <w:tcW w:w="4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(33,788 )</w:t>
            </w:r>
          </w:p>
        </w:tc>
        <w:tc>
          <w:tcPr>
            <w:tcW w:w="0" w:type="dxa"/>
            <w:vAlign w:val="bottom"/>
          </w:tcPr>
          <w:p>
            <w:pPr>
              <w:spacing w:after="0"/>
              <w:rPr>
                <w:sz w:val="1"/>
                <w:szCs w:val="1"/>
                <w:color w:val="auto"/>
              </w:rPr>
            </w:pPr>
          </w:p>
        </w:tc>
      </w:tr>
      <w:tr>
        <w:trPr>
          <w:trHeight w:val="192"/>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as of prior year-end of stock awards and option awards granted in prior years that failed to</w:t>
            </w:r>
          </w:p>
        </w:tc>
        <w:tc>
          <w:tcPr>
            <w:tcW w:w="4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meet vesting conditions during the year</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 to PEO 1</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(11,212,047 )</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15,230,588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PEO 2: Jaume Pons</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compensation table total for PEO 2</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2,745,326</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3,734,316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Grant date fair value of stock awards and option awards granted during the year</w:t>
            </w:r>
          </w:p>
        </w:tc>
        <w:tc>
          <w:tcPr>
            <w:tcW w:w="42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(1,738,229 )</w:t>
            </w:r>
          </w:p>
        </w:tc>
        <w:tc>
          <w:tcPr>
            <w:tcW w:w="42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(2,878,030 )</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year-end of stock awards and option awards granted during the year that are outstanding and</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unvested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4,201,146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at year-end of stock awards and option awards granted in prior years that are</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outstanding and unvested</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1,226,407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(4,380,284 )</w:t>
            </w:r>
          </w:p>
        </w:tc>
        <w:tc>
          <w:tcPr>
            <w:tcW w:w="0" w:type="dxa"/>
            <w:vAlign w:val="bottom"/>
          </w:tcPr>
          <w:p>
            <w:pPr>
              <w:spacing w:after="0"/>
              <w:rPr>
                <w:sz w:val="1"/>
                <w:szCs w:val="1"/>
                <w:color w:val="auto"/>
              </w:rPr>
            </w:pPr>
          </w:p>
        </w:tc>
      </w:tr>
      <w:tr>
        <w:trPr>
          <w:trHeight w:val="205"/>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vesting of stock awards and option awards granted and vested during the year</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314,453</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as of vesting date of stock awards and option awards granted in prior years that</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 during the year</w:t>
            </w:r>
          </w:p>
        </w:tc>
        <w:tc>
          <w:tcPr>
            <w:tcW w:w="4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(1,128,544 )</w:t>
            </w:r>
          </w:p>
        </w:tc>
        <w:tc>
          <w:tcPr>
            <w:tcW w:w="4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(2,578,065 )</w:t>
            </w:r>
          </w:p>
        </w:tc>
        <w:tc>
          <w:tcPr>
            <w:tcW w:w="0" w:type="dxa"/>
            <w:vAlign w:val="bottom"/>
          </w:tcPr>
          <w:p>
            <w:pPr>
              <w:spacing w:after="0"/>
              <w:rPr>
                <w:sz w:val="1"/>
                <w:szCs w:val="1"/>
                <w:color w:val="auto"/>
              </w:rPr>
            </w:pPr>
          </w:p>
        </w:tc>
      </w:tr>
      <w:tr>
        <w:trPr>
          <w:trHeight w:val="192"/>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as of prior year-end of stock awards and option awards granted in prior years that failed to</w:t>
            </w:r>
          </w:p>
        </w:tc>
        <w:tc>
          <w:tcPr>
            <w:tcW w:w="4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meet vesting conditions during the year</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 to PEO 2</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5,620,559</w:t>
            </w:r>
          </w:p>
        </w:tc>
        <w:tc>
          <w:tcPr>
            <w:tcW w:w="28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(3,301,953 )</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-2159635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summary compensation table total for non-PEO NEOs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2,687,583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1,338,919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1,919,196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Grant date fair value of stock awards and option awards granted during the year</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(1,839,799 )</w:t>
            </w:r>
          </w:p>
        </w:tc>
        <w:tc>
          <w:tcPr>
            <w:tcW w:w="3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(642,088 )</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(1,285,020 )</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year-end of stock awards and option awards granted during the year that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are outstanding and unvested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1,551,679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at year-end of stock awards and option awards granted in prior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years that are outstanding and unvested</w:t>
            </w: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(1,359,725 )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510,331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(1,480,480 )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at vesting of stock awards and option awards granted and vested during the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year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Change in fair value as of vesting date of stock awards and option awards granted in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prior years that vested during the year</w:t>
            </w: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(1,189,590 )</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(384,919 )</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(821,945 )</w:t>
            </w:r>
          </w:p>
        </w:tc>
        <w:tc>
          <w:tcPr>
            <w:tcW w:w="0" w:type="dxa"/>
            <w:vAlign w:val="bottom"/>
          </w:tcPr>
          <w:p>
            <w:pPr>
              <w:spacing w:after="0"/>
              <w:rPr>
                <w:sz w:val="1"/>
                <w:szCs w:val="1"/>
                <w:color w:val="auto"/>
              </w:rPr>
            </w:pPr>
          </w:p>
        </w:tc>
      </w:tr>
      <w:tr>
        <w:trPr>
          <w:trHeight w:val="192"/>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Fair value as of prior year-end of stock awards and option awards granted in prior years</w:t>
            </w:r>
          </w:p>
        </w:tc>
        <w:tc>
          <w:tcPr>
            <w:tcW w:w="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(568,979 )</w:t>
            </w:r>
          </w:p>
        </w:tc>
        <w:tc>
          <w:tcPr>
            <w:tcW w:w="34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that failed to meet vesting conditions during the year</w:t>
            </w:r>
          </w:p>
        </w:tc>
        <w:tc>
          <w:tcPr>
            <w:tcW w:w="36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compensation actually paid to non-PEO NEOs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(2,078,990 )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2,490,225</w:t>
            </w:r>
          </w:p>
        </w:tc>
        <w:tc>
          <w:tcPr>
            <w:tcW w:w="24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(418,024 )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6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Pons, Mr. Garcia, Ms. Pinto and Dr. Randolph were our non-PEO NEOs for fiscal year 2024. Mr. Garcia and Dr. Randolph were our non-PEO NEOs for our fiscal years 2023 and 2022.</w:t>
      </w:r>
    </w:p>
    <w:p>
      <w:pPr>
        <w:spacing w:after="0" w:line="1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illustrates the value, as of the last day of the indicated fiscal year, of an investment of $100 in our common stock on December 31, 2021.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Relationship Between Compensation Actually Paid and Company Total Shareholder Return (or TSR)</w:t>
      </w:r>
    </w:p>
    <w:p>
      <w:pPr>
        <w:spacing w:after="0" w:line="220"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The following chart sets forth the relationship between Compensation Actually Paid to our PEOs, the average of Compensation Actually Paid to our non-PEO NEOs, and the Company’s TSR over the fiscal years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349240" cy="3128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51" w:name="page52"/>
    <w:bookmarkEnd w:id="5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Relationship Between NEO Compensation Actually Paid and Net Income/(Loss)</w:t>
      </w:r>
    </w:p>
    <w:p>
      <w:pPr>
        <w:spacing w:after="0" w:line="220"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19"/>
          <w:szCs w:val="19"/>
          <w:color w:val="auto"/>
        </w:rPr>
        <w:t>The following chart sets forth the relationship between Compensation Actually Paid to our PEOs, the average of Compensation Actually Paid to our non-PEO NEOs, and the Company’s Net Income (Loss) over the fiscal years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349240" cy="3094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52" w:name="page53"/>
    <w:bookmarkEnd w:id="52"/>
    <w:p>
      <w:pPr>
        <w:ind w:left="168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following table sets forth the beneficial ownership of our common stock as of March 31, 2025 by:</w:t>
      </w:r>
    </w:p>
    <w:p>
      <w:pPr>
        <w:spacing w:after="0" w:line="216"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of affiliated persons, who is known by us to beneficially own more than 5% of our common stock;</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w:t>
      </w:r>
    </w:p>
    <w:p>
      <w:pPr>
        <w:ind w:left="1140" w:hanging="383"/>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 and</w:t>
      </w:r>
    </w:p>
    <w:p>
      <w:pPr>
        <w:ind w:left="1140" w:hanging="383"/>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executive officers and directors as a group.</w:t>
      </w:r>
    </w:p>
    <w:p>
      <w:pPr>
        <w:spacing w:after="0" w:line="194"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5"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We have based our calculation of the percentage of beneficial ownership on 53,384,145 shares of our common stock outstanding as of March 31, 2025. We have deemed shares of our common stock subject to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5"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Unless otherwise indicated, the address of each beneficial owner listed in the table below is c/o ALX Oncology Holdings Inc., 323 Allerton Avenue, South San Francisco, California 94080.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3"/>
                <w:szCs w:val="13"/>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6"/>
        </w:trPr>
        <w:tc>
          <w:tcPr>
            <w:tcW w:w="7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5% or Greater Stockholders:</w:t>
            </w:r>
          </w:p>
        </w:tc>
        <w:tc>
          <w:tcPr>
            <w:tcW w:w="14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Entities affiliated with venBio Partners</w:t>
            </w:r>
            <w:r>
              <w:rPr>
                <w:rFonts w:ascii="Times New Roman" w:cs="Times New Roman" w:eastAsia="Times New Roman" w:hAnsi="Times New Roman"/>
                <w:sz w:val="21"/>
                <w:szCs w:val="21"/>
                <w:color w:val="auto"/>
                <w:vertAlign w:val="superscript"/>
              </w:rPr>
              <w:t>(1)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9,699,925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Redmile Group LLC</w:t>
            </w:r>
            <w:r>
              <w:rPr>
                <w:rFonts w:ascii="Times New Roman" w:cs="Times New Roman" w:eastAsia="Times New Roman" w:hAnsi="Times New Roman"/>
                <w:sz w:val="21"/>
                <w:szCs w:val="21"/>
                <w:color w:val="auto"/>
                <w:vertAlign w:val="superscript"/>
              </w:rPr>
              <w:t>(2)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4,939,611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HBM Healthcare Investments (Cayman) Ltd.</w:t>
            </w:r>
            <w:r>
              <w:rPr>
                <w:rFonts w:ascii="Times New Roman" w:cs="Times New Roman" w:eastAsia="Times New Roman" w:hAnsi="Times New Roman"/>
                <w:sz w:val="21"/>
                <w:szCs w:val="21"/>
                <w:color w:val="auto"/>
                <w:vertAlign w:val="superscript"/>
              </w:rPr>
              <w:t>(3)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3,426,929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Tang Capital Management, LLC</w:t>
            </w:r>
            <w:r>
              <w:rPr>
                <w:rFonts w:ascii="Times New Roman" w:cs="Times New Roman" w:eastAsia="Times New Roman" w:hAnsi="Times New Roman"/>
                <w:sz w:val="21"/>
                <w:szCs w:val="21"/>
                <w:color w:val="auto"/>
                <w:vertAlign w:val="superscript"/>
              </w:rPr>
              <w:t>(4)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3,296,883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Entities affiliated with Lightstone Ventures</w:t>
            </w:r>
            <w:r>
              <w:rPr>
                <w:rFonts w:ascii="Times New Roman" w:cs="Times New Roman" w:eastAsia="Times New Roman" w:hAnsi="Times New Roman"/>
                <w:sz w:val="21"/>
                <w:szCs w:val="21"/>
                <w:color w:val="auto"/>
                <w:vertAlign w:val="superscript"/>
              </w:rPr>
              <w:t>(5)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2,949,580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Jason Lettmann</w:t>
            </w:r>
            <w:r>
              <w:rPr>
                <w:rFonts w:ascii="Times New Roman" w:cs="Times New Roman" w:eastAsia="Times New Roman" w:hAnsi="Times New Roman"/>
                <w:sz w:val="21"/>
                <w:szCs w:val="21"/>
                <w:color w:val="auto"/>
                <w:vertAlign w:val="superscript"/>
              </w:rPr>
              <w:t>(6)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826,028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Jaume Pons, Ph.D.</w:t>
            </w:r>
            <w:r>
              <w:rPr>
                <w:rFonts w:ascii="Times New Roman" w:cs="Times New Roman" w:eastAsia="Times New Roman" w:hAnsi="Times New Roman"/>
                <w:sz w:val="21"/>
                <w:szCs w:val="21"/>
                <w:color w:val="auto"/>
                <w:vertAlign w:val="superscript"/>
              </w:rPr>
              <w:t>(7)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2,269,886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Shelly Pinto</w:t>
            </w:r>
            <w:r>
              <w:rPr>
                <w:rFonts w:ascii="Times New Roman" w:cs="Times New Roman" w:eastAsia="Times New Roman" w:hAnsi="Times New Roman"/>
                <w:sz w:val="21"/>
                <w:szCs w:val="21"/>
                <w:color w:val="auto"/>
                <w:vertAlign w:val="superscript"/>
              </w:rPr>
              <w:t>(8)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279,455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Peter Garcia</w:t>
            </w:r>
            <w:r>
              <w:rPr>
                <w:rFonts w:ascii="Times New Roman" w:cs="Times New Roman" w:eastAsia="Times New Roman" w:hAnsi="Times New Roman"/>
                <w:sz w:val="21"/>
                <w:szCs w:val="21"/>
                <w:color w:val="auto"/>
                <w:vertAlign w:val="superscript"/>
              </w:rPr>
              <w:t>(9)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77,185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Sophia Randolph, M.D., Ph.D.</w:t>
            </w:r>
            <w:r>
              <w:rPr>
                <w:rFonts w:ascii="Times New Roman" w:cs="Times New Roman" w:eastAsia="Times New Roman" w:hAnsi="Times New Roman"/>
                <w:sz w:val="21"/>
                <w:szCs w:val="21"/>
                <w:color w:val="auto"/>
                <w:vertAlign w:val="superscript"/>
              </w:rPr>
              <w:t>(10)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770,503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Non-Employee Directors: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Corey Goodman, Ph.D.</w:t>
            </w:r>
            <w:r>
              <w:rPr>
                <w:rFonts w:ascii="Times New Roman" w:cs="Times New Roman" w:eastAsia="Times New Roman" w:hAnsi="Times New Roman"/>
                <w:sz w:val="21"/>
                <w:szCs w:val="21"/>
                <w:color w:val="auto"/>
                <w:vertAlign w:val="superscript"/>
              </w:rPr>
              <w:t>(11)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9,967,494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Scott Garland</w:t>
            </w:r>
            <w:r>
              <w:rPr>
                <w:rFonts w:ascii="Times New Roman" w:cs="Times New Roman" w:eastAsia="Times New Roman" w:hAnsi="Times New Roman"/>
                <w:sz w:val="21"/>
                <w:szCs w:val="21"/>
                <w:color w:val="auto"/>
                <w:vertAlign w:val="superscript"/>
              </w:rPr>
              <w:t>(12)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62,089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Rekha Hemrajani</w:t>
            </w:r>
            <w:r>
              <w:rPr>
                <w:rFonts w:ascii="Times New Roman" w:cs="Times New Roman" w:eastAsia="Times New Roman" w:hAnsi="Times New Roman"/>
                <w:sz w:val="21"/>
                <w:szCs w:val="21"/>
                <w:color w:val="auto"/>
                <w:vertAlign w:val="superscript"/>
              </w:rPr>
              <w:t>(13)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Barbara Klencke, M.D.</w:t>
            </w:r>
            <w:r>
              <w:rPr>
                <w:rFonts w:ascii="Times New Roman" w:cs="Times New Roman" w:eastAsia="Times New Roman" w:hAnsi="Times New Roman"/>
                <w:sz w:val="21"/>
                <w:szCs w:val="21"/>
                <w:color w:val="auto"/>
                <w:vertAlign w:val="superscript"/>
              </w:rPr>
              <w:t>(14)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124,488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Chris H. Takimoto, M.D., Ph.D., FACP</w:t>
            </w:r>
            <w:r>
              <w:rPr>
                <w:rFonts w:ascii="Times New Roman" w:cs="Times New Roman" w:eastAsia="Times New Roman" w:hAnsi="Times New Roman"/>
                <w:sz w:val="21"/>
                <w:szCs w:val="21"/>
                <w:color w:val="auto"/>
                <w:vertAlign w:val="superscript"/>
              </w:rPr>
              <w:t>(15)</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current executive officers and directors as a group (9 persons)</w:t>
            </w:r>
            <w:r>
              <w:rPr>
                <w:rFonts w:ascii="Times New Roman" w:cs="Times New Roman" w:eastAsia="Times New Roman" w:hAnsi="Times New Roman"/>
                <w:sz w:val="21"/>
                <w:szCs w:val="21"/>
                <w:color w:val="auto"/>
                <w:vertAlign w:val="superscript"/>
              </w:rPr>
              <w:t>(16)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11,479,043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3" w:name="page54"/>
    <w:bookmarkEnd w:id="53"/>
    <w:p>
      <w:pPr>
        <w:spacing w:after="0" w:line="45" w:lineRule="exact"/>
        <w:rPr>
          <w:sz w:val="20"/>
          <w:szCs w:val="20"/>
          <w:color w:val="auto"/>
        </w:rPr>
      </w:pPr>
    </w:p>
    <w:p>
      <w:pPr>
        <w:ind w:left="512" w:hanging="512"/>
        <w:spacing w:after="0" w:line="254"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13D reporting beneficial ownership as of, and filed with the SEC on, October 1, 2020, the shares 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w:t>
      </w:r>
    </w:p>
    <w:p>
      <w:pPr>
        <w:spacing w:after="0" w:line="53" w:lineRule="exact"/>
        <w:rPr>
          <w:rFonts w:ascii="Times New Roman" w:cs="Times New Roman" w:eastAsia="Times New Roman" w:hAnsi="Times New Roman"/>
          <w:sz w:val="18"/>
          <w:szCs w:val="18"/>
          <w:color w:val="auto"/>
        </w:rPr>
      </w:pPr>
    </w:p>
    <w:p>
      <w:pPr>
        <w:ind w:left="512" w:right="60" w:hanging="512"/>
        <w:spacing w:after="0" w:line="253"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14, 2024 reporting stock ownership as of December 31, 2023, and updated based on a Schedule 13F reporting beneficial ownership as of December 31, 2024, and filed with the SEC on February 14, 2025 by Redmile Group, LLC, the shares are comprised of (a) 3,689,611 shares of common stock and (b) 1,250,000 shares of common stock issuable upon exercise of certain pre-funded warrants (the Warrants), which, in each case, are owned by certain private investment vehicles and/or sub-advised accounts managed by Redmile Group, LLC, including Redmile Biopharma Investments III, L.P., (the Redmile Clients).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The address for these entities is One Letterman Drive, Building D, Suite 3-306, The Presidio of San Francisco, San Francisco, California 94129. The address for Mr. Green is c/o Redmile Group, LLC (NY Office), 45 W. 27th Street, Floor 11, New York, New York 10001.</w:t>
      </w:r>
    </w:p>
    <w:p>
      <w:pPr>
        <w:spacing w:after="0" w:line="45" w:lineRule="exact"/>
        <w:rPr>
          <w:rFonts w:ascii="Times New Roman" w:cs="Times New Roman" w:eastAsia="Times New Roman" w:hAnsi="Times New Roman"/>
          <w:sz w:val="18"/>
          <w:szCs w:val="18"/>
          <w:color w:val="auto"/>
        </w:rPr>
      </w:pPr>
    </w:p>
    <w:p>
      <w:pPr>
        <w:ind w:left="512" w:hanging="512"/>
        <w:spacing w:after="0" w:line="25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December 27, 2024 reporting stock ownership as of December 18, 2024, comprised of 3,426,929 shares are owned by HBM Healthcare Investments (Cayman) Ltd. (HBM Healthcare), which voting and investment power over the shares is exercised by the board of directors of HBM Healthcare. The Board of HBM Healthcare consists of Jean-Marc LeSieur, Richard H. Coles, Sophia Harris, Dr. Andreas Wicki, Mark Kronenfeld, M.D., and Richard Paul Woodhouse, none of whom has individual voting or investment power with respect to the shares. The address for HBM Healthcare is Governors Square, 23 Lime Tree Bay Avenue, PO Box 30852, Grand Cayman, KY1-1204, Cayman Islands.</w:t>
      </w:r>
    </w:p>
    <w:p>
      <w:pPr>
        <w:spacing w:after="0" w:line="38" w:lineRule="exact"/>
        <w:rPr>
          <w:rFonts w:ascii="Times New Roman" w:cs="Times New Roman" w:eastAsia="Times New Roman" w:hAnsi="Times New Roman"/>
          <w:sz w:val="18"/>
          <w:szCs w:val="18"/>
          <w:color w:val="auto"/>
        </w:rPr>
      </w:pPr>
    </w:p>
    <w:p>
      <w:pPr>
        <w:ind w:left="512" w:right="160" w:hanging="512"/>
        <w:spacing w:after="0" w:line="25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14, 2025 reporting stock ownership as of December 31, 2024, Tang Capital Management, LLC (TCM) shares voting and dispositive power over such shares with Tang Capital Partners, LP (TCP), and Kevin Tang over 3,296,883 shares. The shares may be deemed beneficially owned by Tang Capital Partners III, Inc. (TCP III) and Tang Capital Partners IV, Inc. (TCP IV) since Kevin Tang is the manager of TCM and Chief Executive Officer of TCP, TCP III, and TCP IV. The address for TCM, TCP, and Kevin Tang is 747 Executive Drive, Suite 210, San Diego, CA 92121. The address of TCP III and TCP IV is 5955 Edmond Street, Las Vegas, NV 89118.</w:t>
      </w:r>
    </w:p>
    <w:p>
      <w:pPr>
        <w:spacing w:after="0" w:line="52"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February 14, 2024 reporting beneficial ownership as of December 15, 2023, the shares consist of</w:t>
      </w:r>
    </w:p>
    <w:p>
      <w:pPr>
        <w:spacing w:after="0" w:line="27" w:lineRule="exact"/>
        <w:rPr>
          <w:rFonts w:ascii="Times New Roman" w:cs="Times New Roman" w:eastAsia="Times New Roman" w:hAnsi="Times New Roman"/>
          <w:sz w:val="18"/>
          <w:szCs w:val="18"/>
          <w:color w:val="auto"/>
        </w:rPr>
      </w:pPr>
    </w:p>
    <w:p>
      <w:pPr>
        <w:ind w:left="512"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1,366,530 shares held of record by Lightstone Ventures, LP (LV LP); (ii) 1,318,409 shares held of record by Lightstone Ventures II, LP (LV II LP); (iii) 186,315 shares held of record by Lightstone Ventures (A), LP (LV(A) LP); and (iv) 78,326 shares held of record by Lightstone Ventures II (A), LP (LV II(A) LP). LSV Associates, LLC (LSV Associates) is the General Partner of LV LP and LV(A) LP. As the managing directors of LSV Associates, Michael A. Carusi, Jean M. George and Henry A. Plain, Jr. share voting and dispositive power with respect to the shares held of record by LV LP and LV(A) LP. LSV Associates II, LLC (LSV Associates II) is the General Partner of LV II LP and LV II(A) LP. As the managing directors of LSV Associates II, Messrs. Carusi and Plain and Ms. George share voting and dispositive power with respect to the shares held of record by LV II LP and LV II(A) LP. The address for these entities is c/o LSV Capital Management, LLC, 2884 Sand Hill Road, Suite 121, Menlo Park, California 94025.</w:t>
      </w:r>
    </w:p>
    <w:p>
      <w:pPr>
        <w:spacing w:after="0" w:line="45"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125,270 shares held of record by Mr. Lettmann and (ii) 700,758 shares issuable upon option exercise within 60 days of March 31, 2025, of which 609,591 are fully vested as of March 31, 2025.</w:t>
      </w:r>
    </w:p>
    <w:p>
      <w:pPr>
        <w:spacing w:after="0" w:line="1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473,513 shares held of record by Dr. Pons and (ii) 1,796,373 shares issuable upon option exercise within 60 days of March 31, 2025, of which 1,759,040 are fully vested as of March 31, 2025. Dr. Pons served as our President and Chief Scientific Officer until April 15, 2025.</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4" w:name="page55"/>
    <w:bookmarkEnd w:id="54"/>
    <w:p>
      <w:pPr>
        <w:spacing w:after="0" w:line="45" w:lineRule="exact"/>
        <w:rPr>
          <w:sz w:val="20"/>
          <w:szCs w:val="20"/>
          <w:color w:val="auto"/>
        </w:rPr>
      </w:pPr>
    </w:p>
    <w:p>
      <w:pPr>
        <w:ind w:left="512" w:right="40"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43,227 shares held of record by Ms. Pinto and (ii) 236,228 shares issuable upon option exercise within 60 days of March 31, 2025, of which 210,852 are fully vested as of March 31, 2025.</w:t>
      </w:r>
    </w:p>
    <w:p>
      <w:pPr>
        <w:spacing w:after="0" w:line="2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77,185 shares held of record by Mr. Garcia. Mr. Garcia served as our Chief Financial Officer until November 8, 2024.</w:t>
      </w:r>
    </w:p>
    <w:p>
      <w:pPr>
        <w:spacing w:after="0" w:line="76"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271,405 shares held of record by Dr. Randolph and (ii) 499,098 shares issuable upon option exercise within 60 days of March 31, 2025, all of which are fully vested as of March 31, 2025. Dr. Randolph served as our Chief Medical Officer until October 11, 2024.</w:t>
      </w:r>
    </w:p>
    <w:p>
      <w:pPr>
        <w:spacing w:after="0" w:line="13" w:lineRule="exact"/>
        <w:rPr>
          <w:rFonts w:ascii="Times New Roman" w:cs="Times New Roman" w:eastAsia="Times New Roman" w:hAnsi="Times New Roman"/>
          <w:sz w:val="18"/>
          <w:szCs w:val="18"/>
          <w:color w:val="auto"/>
        </w:rPr>
      </w:pPr>
    </w:p>
    <w:p>
      <w:pPr>
        <w:ind w:left="512" w:hanging="512"/>
        <w:spacing w:after="0" w:line="261"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100,199 shares issuable upon option exercise within 60 days of March 31, 2025, of which 90,100 are fully vested as of March 31, 2025.</w:t>
      </w:r>
    </w:p>
    <w:p>
      <w:pPr>
        <w:spacing w:after="0" w:line="44"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62,089 shares issuable upon option exercise within 60 days of March 31, 2025, of which 50,656 are fully vested as of March 31, 2025.</w:t>
      </w:r>
    </w:p>
    <w:p>
      <w:pPr>
        <w:spacing w:after="0" w:line="76"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33,000 shares held of record by Ms. Hemrajani and (ii) 163,568 shares issuable upon option exercise within 60 days of March 31, 2025, of which 153,469 are fully vested as of March 31, 2025.</w:t>
      </w:r>
    </w:p>
    <w:p>
      <w:pPr>
        <w:spacing w:after="0" w:line="13" w:lineRule="exact"/>
        <w:rPr>
          <w:rFonts w:ascii="Times New Roman" w:cs="Times New Roman" w:eastAsia="Times New Roman" w:hAnsi="Times New Roman"/>
          <w:sz w:val="18"/>
          <w:szCs w:val="18"/>
          <w:color w:val="auto"/>
        </w:rPr>
      </w:pPr>
    </w:p>
    <w:p>
      <w:pPr>
        <w:ind w:left="512" w:right="40"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60,000 shares held of record by Dr. Klencke; (ii) 60,000 shares held of record by Dr. Klencke’s spouse and (iii) 4,488 shares issuable upon option exercise within 60 days of March 31, 2025, of which 2,244 are fully vested as of March 31, 2025.</w:t>
      </w:r>
    </w:p>
    <w:p>
      <w:pPr>
        <w:spacing w:after="0" w:line="2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4,488 shares issuable upon option exercise within 60 days of March 31, 2025, of which 2,244 are fully vested as of March 31, 2025.</w:t>
      </w:r>
    </w:p>
    <w:p>
      <w:pPr>
        <w:spacing w:after="0" w:line="76" w:lineRule="exact"/>
        <w:rPr>
          <w:rFonts w:ascii="Times New Roman" w:cs="Times New Roman" w:eastAsia="Times New Roman" w:hAnsi="Times New Roman"/>
          <w:sz w:val="18"/>
          <w:szCs w:val="18"/>
          <w:color w:val="auto"/>
        </w:rPr>
      </w:pPr>
    </w:p>
    <w:p>
      <w:pPr>
        <w:ind w:left="512" w:right="180"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10,188,792 shares beneficially owned by our current executive officers and directors and (ii) 1,290,251 shares issuable upon option exercise within 60 days of March 31, 2025.</w:t>
      </w:r>
    </w:p>
    <w:p>
      <w:pPr>
        <w:spacing w:after="0" w:line="39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RELATED PARTY AND OTHER TRANSACTIONS</w:t>
      </w:r>
    </w:p>
    <w:p>
      <w:pPr>
        <w:spacing w:after="0" w:line="220" w:lineRule="exact"/>
        <w:rPr>
          <w:sz w:val="20"/>
          <w:szCs w:val="20"/>
          <w:color w:val="auto"/>
        </w:rPr>
      </w:pPr>
    </w:p>
    <w:p>
      <w:pPr>
        <w:ind w:right="260" w:firstLine="749"/>
        <w:spacing w:after="0" w:line="254" w:lineRule="auto"/>
        <w:rPr>
          <w:sz w:val="20"/>
          <w:szCs w:val="20"/>
          <w:color w:val="auto"/>
        </w:rPr>
      </w:pPr>
      <w:r>
        <w:rPr>
          <w:rFonts w:ascii="Times New Roman" w:cs="Times New Roman" w:eastAsia="Times New Roman" w:hAnsi="Times New Roman"/>
          <w:sz w:val="20"/>
          <w:szCs w:val="20"/>
          <w:color w:val="auto"/>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“Management—Director Compensation,” “Executive Compensation” and “Management.”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 Rights Agreement</w:t>
      </w:r>
    </w:p>
    <w:p>
      <w:pPr>
        <w:spacing w:after="0" w:line="112" w:lineRule="exact"/>
        <w:rPr>
          <w:sz w:val="20"/>
          <w:szCs w:val="20"/>
          <w:color w:val="auto"/>
        </w:rPr>
      </w:pPr>
    </w:p>
    <w:p>
      <w:pPr>
        <w:ind w:right="300" w:firstLine="749"/>
        <w:spacing w:after="0" w:line="254" w:lineRule="auto"/>
        <w:rPr>
          <w:sz w:val="20"/>
          <w:szCs w:val="20"/>
          <w:color w:val="auto"/>
        </w:rPr>
      </w:pPr>
      <w:r>
        <w:rPr>
          <w:rFonts w:ascii="Times New Roman" w:cs="Times New Roman" w:eastAsia="Times New Roman" w:hAnsi="Times New Roman"/>
          <w:sz w:val="20"/>
          <w:szCs w:val="20"/>
          <w:color w:val="auto"/>
        </w:rPr>
        <w:t>We are party to an investors’ rights agreement, as amended, with certain holders of our capital stock, including venBio and Vivo Capital.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venBio Consulting Agreement</w:t>
      </w:r>
    </w:p>
    <w:p>
      <w:pPr>
        <w:spacing w:after="0" w:line="11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In January 2017, Dr. Jaume Pons, our former President and Chief Scientific Officer,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each year from 2017 to 2024. The consulting agreement remains in effect until terminated by either party with or without prior notice.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Tallac Therapeutics Agreements</w:t>
      </w:r>
    </w:p>
    <w:p>
      <w:pPr>
        <w:spacing w:after="0" w:line="112"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20"/>
          <w:szCs w:val="20"/>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74"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20"/>
          <w:szCs w:val="20"/>
          <w:color w:val="auto"/>
        </w:rPr>
        <w:t>In July 2020, we assigned to Tallac Therapeutics our lease with respect to our premises located at 866 Malcolm Road, Burlingame, California 94010, and received a sublease for such premises from Tallac Therapeutics. We paid Tallac Therapeutics approximately $6,000 and $24,000 under the sublease in the years ended December 31, 2024 and 2023, respectively.</w:t>
      </w:r>
    </w:p>
    <w:p>
      <w:pPr>
        <w:spacing w:after="0" w:line="174"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20"/>
          <w:szCs w:val="20"/>
          <w:color w:val="auto"/>
        </w:rPr>
        <w:t>In July 2020, we also entered into a research and development services agreement, or the Tallac Services Agreement, with Tallac Therapeutics. The Tallac Services Agreement provides that Tallac Therapeutics will provide certain preclinical research services to the Company for a service fee based on the costs incurred by Tallac Therapeutics plus a mark-up equal to 10.0% of such costs. In connection with the Tallac Services Agreement, we recorded a nominal amount and $0.3 million in research and development, or R&amp;D, costs in the years ended December 31, 2024 and 2023, respectively. The Tallac Services Agreement terminated on July 1, 2024.</w:t>
      </w:r>
    </w:p>
    <w:p>
      <w:pPr>
        <w:spacing w:after="0" w:line="18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0"/>
          <w:szCs w:val="20"/>
          <w:color w:val="auto"/>
        </w:rPr>
        <w:t>In March 2021, we entered into a Collaboration Agreement with Tallac Therapeutics pursuant to which we expect to jointly develop, manufacture, and commercialize a novel class of cancer immunotherapeutics (the Collaboration Agreement). The collaboration builds on our expertise in developing therapies that block the CD47 checkpoint pathway and expands our immuno-oncology pipeline. Together with Tallac Therapeutics, we will leverage our respective scientific and technical expertise to advance an anti-SIRPα antibody conjugated to a Toll-like receptor 9 agonist for targeted activation of both the innate and adaptive immune systems. We and Tallac Therapeutics will share equally in the cost and expenses of R&amp;D and any profit or loss. In connection with the Collaboration Agreement, we recorded $0.8 and $1.7 million in R&amp;D costs in the years ended December 31, 2024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6" w:name="page57"/>
    <w:bookmarkEnd w:id="5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respectively.</w:t>
      </w:r>
    </w:p>
    <w:p>
      <w:pPr>
        <w:spacing w:after="0" w:line="216"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The Collaboration Agreement includes the right to set off clause, as such, the Company records the amount due to or reimbursable from Tallac Therapeutics on a net basis. As of December 31, 2024 and 2023, the Company had accrued expenses of $0.1 million and $0.5 million, respectively, related to the Collaboration Agreement which was presented within the payable and accrued liabilities due to related party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ScalmiBio Milestone Payments</w:t>
      </w:r>
    </w:p>
    <w:p>
      <w:pPr>
        <w:spacing w:after="0" w:line="112"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0"/>
          <w:szCs w:val="20"/>
          <w:color w:val="auto"/>
        </w:rPr>
        <w:t>On October 4, 2021, we entered into a stock purchase agreement with ScalmiBio, Inc. or ScalmiBio, with plans to develop new anti-cancer drug candidates based on ScalmiBio’s platform. Under the terms of the stock purchase agreement, we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We have the option to buy-out the royalty payment, prior to the first marketing approval of the developed product.</w:t>
      </w:r>
    </w:p>
    <w:p>
      <w:pPr>
        <w:spacing w:after="0" w:line="185"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Dr. Jaume Pons, our former Chief Executive Officer, President and Chief Scientific Officer, who is also a former director, was also a stockholder of ScalmiBio, Inc. and, prior to the acquisition, a director of ScalmiBio. Dr. Pons owned 31.7% of ScalmiBio. During the year ended December 31, 2024, the Company made its first milestone payment of $1.0 million to the stockholders of ScalmiBio, including 31.7%, or $0.3 million, to Dr. Pons. The Company made no payment in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12" w:lineRule="exact"/>
        <w:rPr>
          <w:sz w:val="20"/>
          <w:szCs w:val="20"/>
          <w:color w:val="auto"/>
        </w:rPr>
      </w:pPr>
    </w:p>
    <w:p>
      <w:pPr>
        <w:ind w:right="120" w:firstLine="749"/>
        <w:spacing w:after="0" w:line="263" w:lineRule="auto"/>
        <w:rPr>
          <w:sz w:val="20"/>
          <w:szCs w:val="20"/>
          <w:color w:val="auto"/>
        </w:rPr>
      </w:pPr>
      <w:r>
        <w:rPr>
          <w:rFonts w:ascii="Times New Roman" w:cs="Times New Roman" w:eastAsia="Times New Roman" w:hAnsi="Times New Roman"/>
          <w:sz w:val="19"/>
          <w:szCs w:val="19"/>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Related-Party Transaction Policy</w:t>
      </w:r>
    </w:p>
    <w:p>
      <w:pPr>
        <w:spacing w:after="0" w:line="112"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80" w:lineRule="exact"/>
        <w:rPr>
          <w:sz w:val="20"/>
          <w:szCs w:val="20"/>
          <w:color w:val="auto"/>
        </w:rPr>
      </w:pPr>
    </w:p>
    <w:p>
      <w:pPr>
        <w:ind w:right="320" w:firstLine="749"/>
        <w:spacing w:after="0" w:line="263" w:lineRule="auto"/>
        <w:rPr>
          <w:sz w:val="20"/>
          <w:szCs w:val="20"/>
          <w:color w:val="auto"/>
        </w:rPr>
      </w:pPr>
      <w:r>
        <w:rPr>
          <w:rFonts w:ascii="Times New Roman" w:cs="Times New Roman" w:eastAsia="Times New Roman" w:hAnsi="Times New Roman"/>
          <w:sz w:val="19"/>
          <w:szCs w:val="19"/>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12" w:lineRule="exact"/>
        <w:rPr>
          <w:sz w:val="20"/>
          <w:szCs w:val="20"/>
          <w:color w:val="auto"/>
        </w:rPr>
      </w:pPr>
    </w:p>
    <w:p>
      <w:pPr>
        <w:jc w:val="both"/>
        <w:ind w:right="160" w:firstLine="749"/>
        <w:spacing w:after="0" w:line="254" w:lineRule="auto"/>
        <w:rPr>
          <w:sz w:val="20"/>
          <w:szCs w:val="20"/>
          <w:color w:val="auto"/>
        </w:rPr>
      </w:pPr>
      <w:r>
        <w:rPr>
          <w:rFonts w:ascii="Times New Roman" w:cs="Times New Roman" w:eastAsia="Times New Roman" w:hAnsi="Times New Roman"/>
          <w:sz w:val="20"/>
          <w:szCs w:val="20"/>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74"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0"/>
          <w:szCs w:val="20"/>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2024, all executive officers, directors and greater than 10% stockholders complied with all applicable SEC filing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2024 Annual Report and SEC Filings</w:t>
      </w:r>
    </w:p>
    <w:p>
      <w:pPr>
        <w:spacing w:after="0" w:line="11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Our consolidated financial statements for our fiscal year ended December 31, 2024 are included in our Annual Report on Form 10-K filed with the SEC on March 6, 2025.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323 Allerton Avenue, South San Francisco, California 94080.</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 * *</w:t>
      </w:r>
    </w:p>
    <w:p>
      <w:pPr>
        <w:spacing w:after="0" w:line="21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7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 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21, 2025</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86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8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86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8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2"/>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2025-04-21T15:20:19Z</dcterms:created>
  <dcterms:modified xsi:type="dcterms:W3CDTF">2025-04-21T15:20:19Z</dcterms:modified>
</cp:coreProperties>
</file>