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001-39386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85-0642577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323 Allerton Avenue,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466-7125</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98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ALXO</w:t>
            </w:r>
          </w:p>
        </w:tc>
        <w:tc>
          <w:tcPr>
            <w:tcW w:w="10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ALX Oncology Holdings Inc. (the “Company”) held its Annual Meeting of stockholders (the “Annual Meeting”) on June 14, 2022. The matters voted upon at the Annual Meeting and the voting results for each proposal are set forth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Two Class II Directors</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For</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185"/>
        </w:trPr>
        <w:tc>
          <w:tcPr>
            <w:tcW w:w="10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82"/>
              </w:rPr>
              <w:t>Itziar Canamasas,</w:t>
            </w:r>
          </w:p>
        </w:tc>
        <w:tc>
          <w:tcPr>
            <w:tcW w:w="4720" w:type="dxa"/>
            <w:vAlign w:val="bottom"/>
          </w:tcPr>
          <w:p>
            <w:pPr>
              <w:ind w:left="240"/>
              <w:spacing w:after="0" w:line="185" w:lineRule="exact"/>
              <w:rPr>
                <w:sz w:val="20"/>
                <w:szCs w:val="20"/>
                <w:color w:val="auto"/>
              </w:rPr>
            </w:pPr>
            <w:r>
              <w:rPr>
                <w:rFonts w:ascii="Times New Roman" w:cs="Times New Roman" w:eastAsia="Times New Roman" w:hAnsi="Times New Roman"/>
                <w:sz w:val="18"/>
                <w:szCs w:val="18"/>
                <w:color w:val="auto"/>
              </w:rPr>
              <w:t>Ph.D.</w:t>
            </w:r>
          </w:p>
        </w:tc>
        <w:tc>
          <w:tcPr>
            <w:tcW w:w="8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31,224,326</w:t>
            </w:r>
          </w:p>
        </w:tc>
        <w:tc>
          <w:tcPr>
            <w:tcW w:w="320" w:type="dxa"/>
            <w:vAlign w:val="bottom"/>
          </w:tcPr>
          <w:p>
            <w:pPr>
              <w:spacing w:after="0"/>
              <w:rPr>
                <w:sz w:val="16"/>
                <w:szCs w:val="16"/>
                <w:color w:val="auto"/>
              </w:rPr>
            </w:pPr>
          </w:p>
        </w:tc>
        <w:tc>
          <w:tcPr>
            <w:tcW w:w="7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1,088,172</w:t>
            </w:r>
          </w:p>
        </w:tc>
        <w:tc>
          <w:tcPr>
            <w:tcW w:w="340" w:type="dxa"/>
            <w:vAlign w:val="bottom"/>
          </w:tcPr>
          <w:p>
            <w:pPr>
              <w:spacing w:after="0"/>
              <w:rPr>
                <w:sz w:val="16"/>
                <w:szCs w:val="16"/>
                <w:color w:val="auto"/>
              </w:rPr>
            </w:pPr>
          </w:p>
        </w:tc>
        <w:tc>
          <w:tcPr>
            <w:tcW w:w="11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1,958,445</w:t>
            </w:r>
          </w:p>
        </w:tc>
      </w:tr>
      <w:tr>
        <w:trPr>
          <w:trHeight w:val="23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Nielsen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27,509,300</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4,803,198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1,958,445</w:t>
            </w: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Each director nominee was duly elected to serve until the 2025 annual meeting of stockholders and until their successor is duly elected and qualified, subject to earlier resignation or removal.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Advisory Vote on the Compensation of the Company’s Named Executive Officers</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22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28,566,208</w:t>
            </w:r>
          </w:p>
        </w:tc>
        <w:tc>
          <w:tcPr>
            <w:tcW w:w="140" w:type="dxa"/>
            <w:vAlign w:val="bottom"/>
          </w:tcPr>
          <w:p>
            <w:pPr>
              <w:spacing w:after="0"/>
              <w:rPr>
                <w:sz w:val="19"/>
                <w:szCs w:val="19"/>
                <w:color w:val="auto"/>
              </w:rPr>
            </w:pPr>
          </w:p>
        </w:tc>
        <w:tc>
          <w:tcPr>
            <w:tcW w:w="220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3,738,258</w:t>
            </w:r>
          </w:p>
        </w:tc>
        <w:tc>
          <w:tcPr>
            <w:tcW w:w="100" w:type="dxa"/>
            <w:vAlign w:val="bottom"/>
          </w:tcPr>
          <w:p>
            <w:pPr>
              <w:spacing w:after="0"/>
              <w:rPr>
                <w:sz w:val="19"/>
                <w:szCs w:val="19"/>
                <w:color w:val="auto"/>
              </w:rPr>
            </w:pPr>
          </w:p>
        </w:tc>
        <w:tc>
          <w:tcPr>
            <w:tcW w:w="230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8,032</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1,958,445</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stockholders approved, on an advisory basis, the compensation paid to the Company’s named executive officers, as disclosed in the proxy statement for the Annual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Advisory Vote on the Frequency of Future Advisory Votes on Executive Compensation</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Every Year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Every 2 Years</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Every 3 Years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28"/>
        </w:trPr>
        <w:tc>
          <w:tcPr>
            <w:tcW w:w="222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32,294,203</w:t>
            </w:r>
          </w:p>
        </w:tc>
        <w:tc>
          <w:tcPr>
            <w:tcW w:w="140" w:type="dxa"/>
            <w:vAlign w:val="bottom"/>
          </w:tcPr>
          <w:p>
            <w:pPr>
              <w:spacing w:after="0"/>
              <w:rPr>
                <w:sz w:val="19"/>
                <w:szCs w:val="19"/>
                <w:color w:val="auto"/>
              </w:rPr>
            </w:pPr>
          </w:p>
        </w:tc>
        <w:tc>
          <w:tcPr>
            <w:tcW w:w="220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300" w:type="dxa"/>
            <w:vAlign w:val="bottom"/>
            <w:tcBorders>
              <w:top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rPr>
              <w:t>11,708</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rPr>
              <w:t>6,405</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stockholders supported, on an advisory basis, every year as the proposed frequency of future stockholder advisory votes on the compensation of the Company’s named executive officers, the “Say-on-Pay” proposal. Based on the recommendation of the Board of Directors in the proxy statement for the Annual Meeting and the voting results from Proposal 3, the Company will include a Say-on-Pay proposal in its proxy statement every year until the next required non-binding advisory vote on the frequency of a Say-on-Pay vote.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Ratification of the Appointment of Independent Registered Public Accounting Firm</w:t>
      </w:r>
    </w:p>
    <w:p>
      <w:pPr>
        <w:spacing w:after="0" w:line="250"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28"/>
        </w:trPr>
        <w:tc>
          <w:tcPr>
            <w:tcW w:w="284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34,268,632</w:t>
            </w:r>
          </w:p>
        </w:tc>
        <w:tc>
          <w:tcPr>
            <w:tcW w:w="100" w:type="dxa"/>
            <w:vAlign w:val="bottom"/>
          </w:tcPr>
          <w:p>
            <w:pPr>
              <w:spacing w:after="0"/>
              <w:rPr>
                <w:sz w:val="19"/>
                <w:szCs w:val="19"/>
                <w:color w:val="auto"/>
              </w:rPr>
            </w:pPr>
          </w:p>
        </w:tc>
        <w:tc>
          <w:tcPr>
            <w:tcW w:w="2680" w:type="dxa"/>
            <w:vAlign w:val="bottom"/>
            <w:tcBorders>
              <w:top w:val="single" w:sz="8" w:color="auto"/>
            </w:tcBorders>
          </w:tcPr>
          <w:p>
            <w:pPr>
              <w:jc w:val="right"/>
              <w:ind w:right="1119"/>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tcPr>
          <w:p>
            <w:pPr>
              <w:spacing w:after="0"/>
              <w:rPr>
                <w:sz w:val="19"/>
                <w:szCs w:val="19"/>
                <w:color w:val="auto"/>
              </w:rPr>
            </w:pPr>
          </w:p>
        </w:tc>
        <w:tc>
          <w:tcPr>
            <w:tcW w:w="266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rPr>
              <w:t>1,668</w:t>
            </w:r>
          </w:p>
        </w:tc>
      </w:tr>
    </w:tbl>
    <w:p>
      <w:pPr>
        <w:spacing w:after="0" w:line="1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KPMG LLP as the Company’s independent registered public accounting firm for the fiscal year ending December 31, 2022.</w:t>
      </w:r>
    </w:p>
    <w:p>
      <w:pPr>
        <w:sectPr>
          <w:pgSz w:w="11900" w:h="16838" w:orient="portrait"/>
          <w:cols w:equalWidth="0" w:num="1">
            <w:col w:w="10980"/>
          </w:cols>
          <w:pgMar w:left="440" w:top="293" w:right="4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Peter Garcia</w:t>
      </w:r>
    </w:p>
    <w:p>
      <w:pPr>
        <w:spacing w:after="0" w:line="3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2022</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2022-06-16T15:16:00Z</dcterms:created>
  <dcterms:modified xsi:type="dcterms:W3CDTF">2022-06-16T15:16:00Z</dcterms:modified>
</cp:coreProperties>
</file>