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6"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0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500" w:type="dxa"/>
            <w:vAlign w:val="bottom"/>
          </w:tcPr>
          <w:p>
            <w:pPr>
              <w:spacing w:after="0"/>
              <w:rPr>
                <w:sz w:val="12"/>
                <w:szCs w:val="12"/>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50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5"/>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00" w:type="dxa"/>
            <w:vAlign w:val="bottom"/>
          </w:tcPr>
          <w:p>
            <w:pPr>
              <w:spacing w:after="0"/>
              <w:rPr>
                <w:sz w:val="20"/>
                <w:szCs w:val="20"/>
                <w:color w:val="auto"/>
              </w:rPr>
            </w:pPr>
          </w:p>
        </w:tc>
        <w:tc>
          <w:tcPr>
            <w:tcW w:w="22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00" w:type="dxa"/>
            <w:vAlign w:val="bottom"/>
          </w:tcPr>
          <w:p>
            <w:pPr>
              <w:spacing w:after="0"/>
              <w:rPr>
                <w:sz w:val="15"/>
                <w:szCs w:val="15"/>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8"/>
        <w:spacing w:after="0" w:line="387"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On August 12, 2025, ALX Oncology Holdings Inc. (the “Company”), issued a press release announcing its financial results for the second quarter and full year ended June 30, 2025. A copy of this press release is furnished as Exhibit 99.1 to this Current Report on Form 8-K and is incorporated herein by reference.</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11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Effective August 12, 2025, the Board of Directors (the “Board”) of ALX Oncology Holdings Inc. (the “Company”) appointed Daniel Curran, M.D. to serve as a Class III director of the Board, for a term expiring at the 2026 annual meeting of stockholders. The Board also appointed Dr. Curran to serve as a member of the Corporate Governance and Nominating Committee of the Board. The appointment was made based upon the recommendation of the Corporate Governance and Nominating Committee of the Board. In connection with the changes to the Board, the Board increased its size from six directors to seven directors.</w:t>
      </w:r>
    </w:p>
    <w:p>
      <w:pPr>
        <w:spacing w:after="0" w:line="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Dr. Curran, age 58, has more than 25 years of pharmaceutical experience in strategy, business development, project leadership and development roles. Dr. Curran currently serves as the chief executive officer of Timberlyne Therapeutics, a clinical-stage biopharmaceutical company, since January 2025, and has served as a managing partner at Mountainfield Venture Partners, LLC, a company-creation firm since March 2024. From 2008 to 2023, Dr. Curran has held roles of increasing responsibility at Takeda Pharmaceutical Company Ltd., and most recently served as a senior vice president and the head of the rare genetics and hematology therapeutic area unit from January 2019 to December 2023. Before Dr. Curran joined Takeda, he served as vice president, corporate development at Millennium Pharmaceuticals, Inc., from 1999 to 2008. Prior to joining Millennium, Dr. Curran held a business development role in the product planning and acquisition group at DuPont Merck Pharmaceuticals, a pharmaceutical company. Dr. Curran currently serves on the board of directors of Catalyst Pharmaceuticals, Inc., a commercial-stage biopharmaceutical public company, since August 2025 and serves on the board of directors of Xilio Therapeutics, Inc., a clinical stage biotechnology public company, since December 2020. In addition, Dr. Curran previously served on the board of directors of Tome Biosciences, a private biotechnology company, from January 2024 to November 2024 and also served on the board of directors of Oak Hill Biosciences, a private biotechnology company, from April 2022 to March 2024. Dr. Curran received an M.D. from the University of Pennsylvania School of Medicine, an M.B.A. from The Wharton School of the University of Pennsylvania and a B.S. in chemistry from King’s College.</w:t>
      </w:r>
    </w:p>
    <w:p>
      <w:pPr>
        <w:spacing w:after="0" w:line="7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accordance with the Company’s outside director compensation policy, Dr. Curran will automatically be granted an initial award of stock options to purchase 40,400 shares of the Company’s common stock on his date of appointment to the Board. The initial award is scheduled to vest in equal installments as to one thirty-sixth of the shares subject to the award on a monthly basis following the award’s grant date, on the same day of the month as the grant date, subject to continued services to the Company through the applicable vesting date. Dr. Curran is also entitled to annual cash compensation and equity awards under the terms of the outside director compensation policy. In addition, the Company entered into an indemnification agreement with Dr. Curran in the same form as the Company’s other directors.</w:t>
      </w:r>
    </w:p>
    <w:p>
      <w:pPr>
        <w:spacing w:after="0" w:line="7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Board determined that Dr. Curran qualifies as independent under the director independence standards set forth in the rules and regulations of the Securities and Exchange Commission and the applicable listing standards of The Nasdaq Stock Market.</w:t>
      </w:r>
    </w:p>
    <w:p>
      <w:pPr>
        <w:spacing w:after="0" w:line="54"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Dr. Curran and any other person pursuant to which he was selected to serve on the Board. There are no transactions in which the Company or any of its subsidiaries is a party and in which Dr. Curran has a material interest subject to disclosure under Item 404(a) of Regulation S-K.</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connection with the Board changes referenced above, the Board approved the following composition of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ind w:left="7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Rekha Hemrajani, Chair; Scott Garland; and Barbara Klencke, M.D.</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Corey Goodman, Ph.D., Chair; Scott Garland; and Chris Takimoto, M.D., Ph.D., F.A.C.P.</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1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Scott Garland, Chair; Daniel Curran, M.D.; and Rekha Hemrajani</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Research and Development Committee</w:t>
      </w:r>
    </w:p>
    <w:p>
      <w:pPr>
        <w:spacing w:after="0" w:line="121" w:lineRule="exact"/>
        <w:rPr>
          <w:sz w:val="20"/>
          <w:szCs w:val="20"/>
          <w:color w:val="auto"/>
        </w:rPr>
      </w:pPr>
    </w:p>
    <w:p>
      <w:pPr>
        <w:jc w:val="right"/>
        <w:ind w:right="2540"/>
        <w:spacing w:after="0"/>
        <w:rPr>
          <w:sz w:val="20"/>
          <w:szCs w:val="20"/>
          <w:color w:val="auto"/>
        </w:rPr>
      </w:pPr>
      <w:r>
        <w:rPr>
          <w:rFonts w:ascii="Times New Roman" w:cs="Times New Roman" w:eastAsia="Times New Roman" w:hAnsi="Times New Roman"/>
          <w:sz w:val="18"/>
          <w:szCs w:val="18"/>
          <w:color w:val="auto"/>
        </w:rPr>
        <w:t>Corey Goodman, Ph.D., Chair; Barbara Klencke, M.D.; and Chris Takimoto, M.D., Ph.D., F.A.C.P.</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62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7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August 12, 2025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660" w:type="dxa"/>
            <w:vAlign w:val="bottom"/>
            <w:tcBorders>
              <w:right w:val="single" w:sz="8" w:color="0000EE"/>
            </w:tcBorders>
            <w:shd w:val="clear" w:color="auto" w:fill="0000FF"/>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195"/>
        </w:trPr>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64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2025</w:t>
            </w: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Harish Shantharam</w:t>
            </w:r>
          </w:p>
        </w:tc>
      </w:tr>
      <w:tr>
        <w:trPr>
          <w:trHeight w:val="191"/>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Harish Shantharam</w:t>
            </w:r>
          </w:p>
        </w:tc>
      </w:tr>
      <w:tr>
        <w:trPr>
          <w:trHeight w:val="234"/>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6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405890" cy="916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589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ALX Oncology Reports Second Quarter 2025 Financial Results and Provides Corporate Update</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i w:val="1"/>
          <w:iCs w:val="1"/>
          <w:color w:val="auto"/>
        </w:rPr>
        <w:t>– Data from ASPEN-06 trial highlights CD47 expression as a key predictive biomarker of greater response to evorpacept in</w:t>
      </w:r>
    </w:p>
    <w:p>
      <w:pPr>
        <w:spacing w:after="0" w:line="3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b w:val="1"/>
          <w:bCs w:val="1"/>
          <w:i w:val="1"/>
          <w:iCs w:val="1"/>
          <w:color w:val="auto"/>
        </w:rPr>
        <w:t>HER2+ Gastric Cancer; updated data to be presented at a medical conference in Q4 2025</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b w:val="1"/>
          <w:bCs w:val="1"/>
          <w:i w:val="1"/>
          <w:iCs w:val="1"/>
          <w:color w:val="auto"/>
        </w:rPr>
        <w:t>– Phase 2 ASPEN-Breast evorpacept trial design updated to enable CD47 and HER2 biomarker-driven strategy in a single-</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i w:val="1"/>
          <w:iCs w:val="1"/>
          <w:color w:val="auto"/>
        </w:rPr>
        <w:t>arm study; anticipated interim data readout in Q3 2026</w:t>
      </w:r>
    </w:p>
    <w:p>
      <w:pPr>
        <w:spacing w:after="0" w:line="20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i w:val="1"/>
          <w:iCs w:val="1"/>
          <w:color w:val="auto"/>
        </w:rPr>
        <w:t>– ALX2004 Phase 1 clinical trial remains on track to enroll first patient in August</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i w:val="1"/>
          <w:iCs w:val="1"/>
          <w:color w:val="auto"/>
        </w:rPr>
        <w:t>– Focus on driving ASPEN-Breast and ALX2004 data milestones within the cash runway, now extended into Q1 2027</w:t>
      </w:r>
    </w:p>
    <w:p>
      <w:pPr>
        <w:spacing w:after="0" w:line="23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i w:val="1"/>
          <w:iCs w:val="1"/>
          <w:color w:val="auto"/>
        </w:rPr>
        <w:t>– Appoints Daniel Curran, M.D. to the Board of Directors</w:t>
      </w:r>
    </w:p>
    <w:p>
      <w:pPr>
        <w:spacing w:after="0" w:line="2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b w:val="1"/>
          <w:bCs w:val="1"/>
          <w:i w:val="1"/>
          <w:iCs w:val="1"/>
          <w:color w:val="auto"/>
        </w:rPr>
        <w:t>– Company to host webcast Tuesday, August 12 at 1:30 p.m. PT/4:30 p.m. ET</w:t>
      </w:r>
    </w:p>
    <w:p>
      <w:pPr>
        <w:spacing w:after="0" w:line="294"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SOUTH SAN FRANCISCO, Calif., August 12, 2025 (GLOBE NEWSWIRE) – </w:t>
      </w:r>
      <w:r>
        <w:rPr>
          <w:rFonts w:ascii="Times New Roman" w:cs="Times New Roman" w:eastAsia="Times New Roman" w:hAnsi="Times New Roman"/>
          <w:sz w:val="19"/>
          <w:szCs w:val="19"/>
          <w:color w:val="auto"/>
        </w:rPr>
        <w:t>ALX Oncology Holdings Inc., (“ALX Oncology” 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(Nasdaq: ALXO), a clinical-stage biotechnology company advancing a pipeline of novel therapies designed to treat cancer and extend patients’ lives, today reported financial results for the three and six months ended June 30, 2025, and provided a corporate update.</w:t>
      </w:r>
    </w:p>
    <w:p>
      <w:pPr>
        <w:spacing w:after="0" w:line="16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the second quarter, we made significant advances in both our evorpacept and ALX2004 clinical programs,” said Jason Lettmann, Chief Executive Officer of ALX Oncology. “On the evorpacept program, we are excited to share data demonstrating the potential of CD47 expression as a predictive biomarker and highlight a clear opportunity to identify patients most likely to achieve the greatest benefit. In this pre-planned analysis we saw that patients with high CD47 expression derived the most clinically meaningful response to evorpacept. These findings shape our clinical development strategy in breast cancer and support the potential to pursue targeted oncology approaches in additional tumor types, given the broad overexpression of CD47 in solid tumors and hematologic malignancies. Importantly, our optimization of the evorpacept clinical program has extended our cash runway into the first quarter of 2027, solidly positioning us to achieve multiple data milestones across our pipeline. In addition, execution is on track for the Phase 1 trial of our highly-differentiated, ADC candidate, ALX2004, which has best-in-class potential for the treatment of EGFR-expressing solid tumors and we anticipate dosing the first patient this month. Finally, I am delighted to announce that Dr. Dan Curran has been appointed to the Board of Directors. Dr. Curran’s illustrious career and breadth of experience across drug discovery and development, corporate strategy and business development, will offer invaluable perspective to help ALX Oncology reach key inflection points in the months ahead.”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ALX Oncology Q2 2025 Highlights and Recent Developments</w:t>
      </w:r>
    </w:p>
    <w:p>
      <w:pPr>
        <w:spacing w:after="0" w:line="112" w:lineRule="exact"/>
        <w:rPr>
          <w:sz w:val="20"/>
          <w:szCs w:val="20"/>
          <w:color w:val="auto"/>
        </w:rPr>
      </w:pPr>
    </w:p>
    <w:p>
      <w:pPr>
        <w:ind w:left="1020" w:right="4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this pre-planned exploratory analysis of the ASPEN-06 clinical trial in gastric cancer, CD47 overexpression was identified as a key predictive biomarker for response and durable clinical benefit.</w:t>
      </w:r>
    </w:p>
    <w:p>
      <w:pPr>
        <w:spacing w:after="0" w:line="63" w:lineRule="exact"/>
        <w:rPr>
          <w:rFonts w:ascii="Times New Roman" w:cs="Times New Roman" w:eastAsia="Times New Roman" w:hAnsi="Times New Roman"/>
          <w:sz w:val="20"/>
          <w:szCs w:val="20"/>
          <w:color w:val="auto"/>
        </w:rPr>
      </w:pPr>
    </w:p>
    <w:p>
      <w:pPr>
        <w:ind w:left="1540" w:right="300" w:hanging="509"/>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oIn confirmed HER2-positive, CD47-high gastric cancer patients (n=43), evorpacept combined with HERCEPTIN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trastuzumab), CYRAMZA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(ramucirumab) and paclitaxel (TRP) achieved an objective response rate (ORR) of 65% compared to 26% with TRP alone. In contrast, in confirmed HER2-positive, CD47-low gastric cancer patients (n=47), evorpacept plus TRP demonstrated a 39% ORR versus 25% with TRP alone.</w:t>
      </w:r>
    </w:p>
    <w:p>
      <w:pPr>
        <w:spacing w:after="0" w:line="80" w:lineRule="exact"/>
        <w:rPr>
          <w:rFonts w:ascii="Times New Roman" w:cs="Times New Roman" w:eastAsia="Times New Roman" w:hAnsi="Times New Roman"/>
          <w:sz w:val="20"/>
          <w:szCs w:val="20"/>
          <w:color w:val="auto"/>
        </w:rPr>
      </w:pPr>
    </w:p>
    <w:p>
      <w:pPr>
        <w:ind w:left="1540" w:right="420" w:hanging="509"/>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oDuration of response (DOR), progression free survival (PFS), and overall survival (OS) showed strong magnitude of benefit for evorpacept in CD47-high patients</w:t>
      </w:r>
    </w:p>
    <w:p>
      <w:pPr>
        <w:spacing w:after="0" w:line="51" w:lineRule="exact"/>
        <w:rPr>
          <w:rFonts w:ascii="Times New Roman" w:cs="Times New Roman" w:eastAsia="Times New Roman" w:hAnsi="Times New Roman"/>
          <w:sz w:val="20"/>
          <w:szCs w:val="20"/>
          <w:color w:val="auto"/>
        </w:rPr>
      </w:pP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Full data set will be presented at an upcoming medical conference in the fourth quarter of 2025.</w:t>
      </w:r>
    </w:p>
    <w:p>
      <w:pPr>
        <w:spacing w:after="0" w:line="107" w:lineRule="exact"/>
        <w:rPr>
          <w:rFonts w:ascii="Times New Roman" w:cs="Times New Roman" w:eastAsia="Times New Roman" w:hAnsi="Times New Roman"/>
          <w:sz w:val="20"/>
          <w:szCs w:val="20"/>
          <w:color w:val="auto"/>
        </w:rPr>
      </w:pPr>
    </w:p>
    <w:p>
      <w:pPr>
        <w:jc w:val="both"/>
        <w:ind w:left="1020" w:right="100" w:hanging="503"/>
        <w:spacing w:after="0" w:line="254"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the magnitude of benefit in patients with high CD47 expression in HER2+ gastric cancer, the ASPEN-Breast study in HER2+ breast cancer evaluating evorpacept in combination with trastuzumab and chemotherapy has been amended to a single-arm design in all previously treated HER2 positive patients and will be evaluated by CD47 expression.</w:t>
      </w:r>
    </w:p>
    <w:p>
      <w:pPr>
        <w:spacing w:after="0" w:line="66" w:lineRule="exact"/>
        <w:rPr>
          <w:rFonts w:ascii="Times New Roman" w:cs="Times New Roman" w:eastAsia="Times New Roman" w:hAnsi="Times New Roman"/>
          <w:sz w:val="20"/>
          <w:szCs w:val="20"/>
          <w:color w:val="auto"/>
        </w:rPr>
      </w:pPr>
    </w:p>
    <w:p>
      <w:pPr>
        <w:ind w:left="1540" w:right="400" w:hanging="509"/>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 inclusion of both CD47-high and CD47-low patients in the revised single-arm ASPEN-Breast study supports the further evaluation of the predictive value of CD47 as a biomarker for evorpacept.</w:t>
      </w:r>
    </w:p>
    <w:p>
      <w:pPr>
        <w:spacing w:after="0" w:line="51" w:lineRule="exact"/>
        <w:rPr>
          <w:rFonts w:ascii="Times New Roman" w:cs="Times New Roman" w:eastAsia="Times New Roman" w:hAnsi="Times New Roman"/>
          <w:sz w:val="20"/>
          <w:szCs w:val="20"/>
          <w:color w:val="auto"/>
        </w:rPr>
      </w:pP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Revised study design is expected to optimize enrollment and allow for an interim data readout in Q3 2026. Our goal is</w:t>
      </w:r>
    </w:p>
    <w:p>
      <w:pPr>
        <w:spacing w:after="0" w:line="21" w:lineRule="exact"/>
        <w:rPr>
          <w:rFonts w:ascii="Times New Roman" w:cs="Times New Roman" w:eastAsia="Times New Roman" w:hAnsi="Times New Roman"/>
          <w:sz w:val="20"/>
          <w:szCs w:val="20"/>
          <w:color w:val="auto"/>
        </w:rPr>
      </w:pPr>
    </w:p>
    <w:p>
      <w:pPr>
        <w:ind w:left="1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results of this study will support a biomarker driven registrational study in HER2 positive breast cancer.</w:t>
      </w:r>
    </w:p>
    <w:p>
      <w:pPr>
        <w:spacing w:after="0" w:line="85" w:lineRule="exact"/>
        <w:rPr>
          <w:rFonts w:ascii="Times New Roman" w:cs="Times New Roman" w:eastAsia="Times New Roman" w:hAnsi="Times New Roman"/>
          <w:sz w:val="20"/>
          <w:szCs w:val="20"/>
          <w:color w:val="auto"/>
        </w:rPr>
      </w:pPr>
    </w:p>
    <w:p>
      <w:pPr>
        <w:ind w:left="1020" w:right="10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Prioritized evorpacept development program to focus on demonstrated potential of CD47 approach in breast cancer and paused ASPEN-CRC study in colorectal cancer to extend cash runway.</w:t>
      </w:r>
    </w:p>
    <w:p>
      <w:pPr>
        <w:spacing w:after="0" w:line="51" w:lineRule="exact"/>
        <w:rPr>
          <w:rFonts w:ascii="Times New Roman" w:cs="Times New Roman" w:eastAsia="Times New Roman" w:hAnsi="Times New Roman"/>
          <w:sz w:val="20"/>
          <w:szCs w:val="20"/>
          <w:color w:val="auto"/>
        </w:rPr>
      </w:pPr>
    </w:p>
    <w:p>
      <w:pPr>
        <w:ind w:left="1020" w:right="220" w:hanging="503"/>
        <w:spacing w:after="0" w:line="254"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Sanofi and ALX Oncology announce the dose escalation portion of the cohort testing evorpacept with SARCLISA ® (isatuximab-irfc) and dexamethasone within the randomized Phase 1/2 UMBRELLA study in patients with previously treated multiple myeloma is complete. Sanofi will begin the dose optimization portion of the study.</w:t>
      </w:r>
    </w:p>
    <w:p>
      <w:pPr>
        <w:spacing w:after="0" w:line="66" w:lineRule="exact"/>
        <w:rPr>
          <w:rFonts w:ascii="Times New Roman" w:cs="Times New Roman" w:eastAsia="Times New Roman" w:hAnsi="Times New Roman"/>
          <w:sz w:val="20"/>
          <w:szCs w:val="20"/>
          <w:color w:val="auto"/>
        </w:rPr>
      </w:pPr>
    </w:p>
    <w:p>
      <w:pPr>
        <w:ind w:left="1020" w:right="80" w:hanging="503"/>
        <w:spacing w:after="0" w:line="254"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Investigational New Drug (IND) clearance from the U.S. Food and Drug Administration (FDA) in April to advance clinical evaluation of ALX2004 for the treatment of epidermal growth factor receptor (EGFR)-positive solid tumors and dosing of the first patient in the Phase 1 clinical trial is anticipated in August.</w:t>
      </w:r>
    </w:p>
    <w:p>
      <w:pPr>
        <w:spacing w:after="0" w:line="66" w:lineRule="exact"/>
        <w:rPr>
          <w:rFonts w:ascii="Times New Roman" w:cs="Times New Roman" w:eastAsia="Times New Roman" w:hAnsi="Times New Roman"/>
          <w:sz w:val="20"/>
          <w:szCs w:val="20"/>
          <w:color w:val="auto"/>
        </w:rPr>
      </w:pPr>
    </w:p>
    <w:p>
      <w:pPr>
        <w:ind w:left="1540" w:right="140" w:hanging="509"/>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 Phase 1 dose escalation trial will include patients with relapsed/refractory EGFR-expressing solid tumors, including non-small cell lung cancer, colorectal cancer, head and neck squamous cell carcinoma and esophageal squamous cell carcinoma. Initial safety data from the Phase 1 trial is expected to be available in 1H2026.</w:t>
      </w:r>
    </w:p>
    <w:p>
      <w:pPr>
        <w:spacing w:after="0" w:line="66" w:lineRule="exact"/>
        <w:rPr>
          <w:rFonts w:ascii="Times New Roman" w:cs="Times New Roman" w:eastAsia="Times New Roman" w:hAnsi="Times New Roman"/>
          <w:sz w:val="20"/>
          <w:szCs w:val="20"/>
          <w:color w:val="auto"/>
        </w:rPr>
      </w:pPr>
    </w:p>
    <w:p>
      <w:pPr>
        <w:ind w:left="1540" w:hanging="509"/>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oALX2004 utilizes a proprietary topoisomerase I inhibitor payload and linker-payload platform, engineered to offer enhanced bystander effect with improved linker stability for on-target delivery of payload, and has an affinity-tuned EGFR antibody with a binding epitope distinct from approved EGFR antibodies. Potent activity in tumor models supports its potential for treating patients with EGFR-expressing tumors. Preclinical model findings did not demonstrate EGFR-related skin toxicity at clinically relevant doses or payload-related interstitial lung disease, indicating a potentially differentiated safety profile.</w:t>
      </w:r>
    </w:p>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6" w:name="page7"/>
    <w:bookmarkEnd w:id="6"/>
    <w:p>
      <w:pPr>
        <w:spacing w:after="0" w:line="81" w:lineRule="exact"/>
        <w:rPr>
          <w:sz w:val="20"/>
          <w:szCs w:val="20"/>
          <w:color w:val="auto"/>
        </w:rPr>
      </w:pPr>
    </w:p>
    <w:p>
      <w:pPr>
        <w:ind w:left="1020" w:right="780" w:hanging="503"/>
        <w:spacing w:after="0" w:line="269"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these strategic prioritizations, the Company extended its cash runway into Q1 2027. Data milestones expected for ALX2004 and evorpacept clinical programs in 2026 are included in Company’s expected cash runway.</w:t>
      </w:r>
    </w:p>
    <w:p>
      <w:pPr>
        <w:spacing w:after="0" w:line="51" w:lineRule="exact"/>
        <w:rPr>
          <w:rFonts w:ascii="Times New Roman" w:cs="Times New Roman" w:eastAsia="Times New Roman" w:hAnsi="Times New Roman"/>
          <w:sz w:val="20"/>
          <w:szCs w:val="20"/>
          <w:color w:val="auto"/>
        </w:rPr>
      </w:pPr>
    </w:p>
    <w:p>
      <w:pPr>
        <w:ind w:left="1020" w:right="640" w:hanging="503"/>
        <w:spacing w:after="0" w:line="269"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part of the Company’s commitment to advancing long term growth and operational excellence, Allison Dillon, Ph.D., previously Chief Business Officer has been appointed Chief Operating Officer, effective today.</w:t>
      </w:r>
    </w:p>
    <w:p>
      <w:pPr>
        <w:spacing w:after="0" w:line="51" w:lineRule="exact"/>
        <w:rPr>
          <w:rFonts w:ascii="Times New Roman" w:cs="Times New Roman" w:eastAsia="Times New Roman" w:hAnsi="Times New Roman"/>
          <w:sz w:val="20"/>
          <w:szCs w:val="20"/>
          <w:color w:val="auto"/>
        </w:rPr>
      </w:pPr>
    </w:p>
    <w:p>
      <w:pPr>
        <w:ind w:left="1020" w:hanging="503"/>
        <w:spacing w:after="0" w:line="243"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announces Daniel Curran, M.D., has been appointed to Board of Directors. Dr. Curran is a physician executive who brings extensive experience across business development, corporate strategy, drug discovery and development. Dr. Curran is currently a Managing Partner at Mountainfield Ventures and CEO at Timberlyne Therapeutics. He was previously at Takeda where he was Head of Rare Genetics and Hematology and achieved four global regulatory approvals during his tenure. Prior to this role he was Senior Vice President and Head of the Center for External Innovation (CEI) at Takeda, where he was responsible for all R&amp;D business development, venture investments and academic alliances. Within this role, his team concluded more than 150 transactions, enhancing the pipeline with collaborations across numerous therapeutic areas and modalities. Dr. Curran received his M.D. from the University of Pennsylvania, School of Medicine and MBA from The Wharton School.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Upcoming Clinical Milestones</w:t>
      </w:r>
    </w:p>
    <w:p>
      <w:pPr>
        <w:spacing w:after="0" w:line="112" w:lineRule="exact"/>
        <w:rPr>
          <w:sz w:val="20"/>
          <w:szCs w:val="20"/>
          <w:color w:val="auto"/>
        </w:rPr>
      </w:pPr>
    </w:p>
    <w:p>
      <w:pPr>
        <w:ind w:left="1020" w:right="20" w:hanging="503"/>
        <w:spacing w:after="0" w:line="269"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ASPEN-Breast Cancer: Patient dosing anticipated to begin in Q4 2025 based on updated protocol. Interim data from this trial anticipated in Q3 2026.</w:t>
      </w:r>
    </w:p>
    <w:p>
      <w:pPr>
        <w:spacing w:after="0" w:line="51"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ALX2004: Patient dosing anticipated to begin in August; initial safety data from Phase 1 trial in EGFR-expressing solid tumors anticipated in 1H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2025 Webcast Information</w:t>
      </w:r>
    </w:p>
    <w:p>
      <w:pPr>
        <w:spacing w:after="0" w:line="11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ALX Oncology will host a teleconference on Tuesday, August 12 at 1:30 p.m. PT/ 4:30 p.m. ET in conjunction with its financial results press release.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Webcast Access: </w:t>
      </w:r>
      <w:r>
        <w:rPr>
          <w:rFonts w:ascii="Times New Roman" w:cs="Times New Roman" w:eastAsia="Times New Roman" w:hAnsi="Times New Roman"/>
          <w:sz w:val="20"/>
          <w:szCs w:val="20"/>
          <w:color w:val="auto"/>
        </w:rPr>
        <w:t>https://viavid.webcasts.com/starthere.jsp?ei=1729703&amp;tp_key=5393f7f102</w:t>
      </w:r>
    </w:p>
    <w:p>
      <w:pPr>
        <w:spacing w:after="0" w:line="216"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Participant Listening Options by Phone: </w:t>
      </w:r>
      <w:r>
        <w:rPr>
          <w:rFonts w:ascii="Times New Roman" w:cs="Times New Roman" w:eastAsia="Times New Roman" w:hAnsi="Times New Roman"/>
          <w:sz w:val="20"/>
          <w:szCs w:val="20"/>
          <w:color w:val="auto"/>
        </w:rPr>
        <w:t>To access the conference call, please dial 1-877- 407-0752 or +1-201-389-0912, and ask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joined into the ALX Oncology Second Quarter 2025 Financial Results Conference Call.</w:t>
      </w:r>
    </w:p>
    <w:p>
      <w:pPr>
        <w:ind w:right="1280"/>
        <w:spacing w:after="0" w:line="246" w:lineRule="auto"/>
        <w:rPr>
          <w:sz w:val="20"/>
          <w:szCs w:val="20"/>
          <w:color w:val="auto"/>
        </w:rPr>
      </w:pPr>
      <w:r>
        <w:rPr>
          <w:rFonts w:ascii="Times New Roman" w:cs="Times New Roman" w:eastAsia="Times New Roman" w:hAnsi="Times New Roman"/>
          <w:sz w:val="20"/>
          <w:szCs w:val="20"/>
          <w:color w:val="auto"/>
        </w:rPr>
        <w:t>Another option for instant telephone access to the event is to use the Call me™ link below: https://callme.viavid.com/viavid/? callme=true&amp;passcode=13755276&amp;h=true&amp;info=company&amp;r=true&amp;B=6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2025 Financial Results</w:t>
      </w:r>
    </w:p>
    <w:p>
      <w:pPr>
        <w:spacing w:after="0" w:line="108" w:lineRule="exact"/>
        <w:rPr>
          <w:sz w:val="20"/>
          <w:szCs w:val="20"/>
          <w:color w:val="auto"/>
        </w:rPr>
      </w:pPr>
    </w:p>
    <w:p>
      <w:pPr>
        <w:ind w:left="1020" w:right="300" w:hanging="503"/>
        <w:spacing w:after="0" w:line="300" w:lineRule="auto"/>
        <w:tabs>
          <w:tab w:leader="none" w:pos="10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Cash, Cash Equivalents and Investments: </w:t>
      </w:r>
      <w:r>
        <w:rPr>
          <w:rFonts w:ascii="Times New Roman" w:cs="Times New Roman" w:eastAsia="Times New Roman" w:hAnsi="Times New Roman"/>
          <w:sz w:val="19"/>
          <w:szCs w:val="19"/>
          <w:color w:val="auto"/>
        </w:rPr>
        <w:t>Cash, cash equivalents and investments as of June 30, 2025, were $83.5 million.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believes its cash, cash equivalents and investments are sufficient to fund planned operations into Q1 of 2027.</w:t>
      </w:r>
    </w:p>
    <w:p>
      <w:pPr>
        <w:spacing w:after="0" w:line="20" w:lineRule="exact"/>
        <w:rPr>
          <w:rFonts w:ascii="Times New Roman" w:cs="Times New Roman" w:eastAsia="Times New Roman" w:hAnsi="Times New Roman"/>
          <w:sz w:val="19"/>
          <w:szCs w:val="19"/>
          <w:color w:val="auto"/>
        </w:rPr>
      </w:pPr>
    </w:p>
    <w:p>
      <w:pPr>
        <w:ind w:left="1020" w:right="120" w:hanging="503"/>
        <w:spacing w:after="0" w:line="246"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consist primarily of preclinical, clinical and development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costs related to the development of the Company’s current lead product candidate, evorpacept, and R&amp;D personnel-related expenses including stock-based compensation. R&amp;D expenses for the three months ended June 30, 2025, were $18.0 million compared to $34.7 million for the prior-year period or a decrease of $16.6 million. This decrease was primarily attributable to a decrease of $8.5 million in clinical and development costs primarily due to less manufacturing of clinical trial materials to support active clinical trials for our lead product candidate, evorpacept, a decrease of $4.1 million in stock-based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1" w:lineRule="exact"/>
        <w:rPr>
          <w:sz w:val="20"/>
          <w:szCs w:val="20"/>
          <w:color w:val="auto"/>
        </w:rPr>
      </w:pPr>
    </w:p>
    <w:p>
      <w:pPr>
        <w:ind w:left="1020" w:right="840"/>
        <w:spacing w:after="0" w:line="269" w:lineRule="auto"/>
        <w:rPr>
          <w:sz w:val="20"/>
          <w:szCs w:val="20"/>
          <w:color w:val="auto"/>
        </w:rPr>
      </w:pPr>
      <w:r>
        <w:rPr>
          <w:rFonts w:ascii="Times New Roman" w:cs="Times New Roman" w:eastAsia="Times New Roman" w:hAnsi="Times New Roman"/>
          <w:sz w:val="20"/>
          <w:szCs w:val="20"/>
          <w:color w:val="auto"/>
        </w:rPr>
        <w:t>compensation expense, and a decrease of $2.1 million in personnel and related costs, and a decrease of $1.7 million in preclinical costs due to pipeline prioritization strategy.</w:t>
      </w:r>
    </w:p>
    <w:p>
      <w:pPr>
        <w:spacing w:after="0" w:line="47" w:lineRule="exact"/>
        <w:rPr>
          <w:sz w:val="20"/>
          <w:szCs w:val="20"/>
          <w:color w:val="auto"/>
        </w:rPr>
      </w:pPr>
    </w:p>
    <w:p>
      <w:pPr>
        <w:ind w:left="1020" w:right="80" w:hanging="503"/>
        <w:spacing w:after="0" w:line="247" w:lineRule="auto"/>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consist primarily of administrative personnel-related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including stock-based compensation and other costs such as legal and other professional fees, patent filing and maintenance fees, and insurance. G&amp;A expenses for the three months ended June 30, 2025, were $5.5 million compared to $6.9 million for the prior year period or a decrease of $1.4 million. This decrease was primarily attributable to a decrease in stock-based compensation expense.</w:t>
      </w:r>
    </w:p>
    <w:p>
      <w:pPr>
        <w:spacing w:after="0" w:line="72" w:lineRule="exact"/>
        <w:rPr>
          <w:rFonts w:ascii="Times New Roman" w:cs="Times New Roman" w:eastAsia="Times New Roman" w:hAnsi="Times New Roman"/>
          <w:sz w:val="20"/>
          <w:szCs w:val="20"/>
          <w:color w:val="auto"/>
        </w:rPr>
      </w:pPr>
    </w:p>
    <w:p>
      <w:pPr>
        <w:ind w:left="1020" w:hanging="503"/>
        <w:spacing w:after="0" w:line="245" w:lineRule="auto"/>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GAAP net loss was ($25.9) million for the three months ended June 30, 2025, or ($0.49) per basic and diluted share,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a GAAP net loss of ($39.4) million for the three months ended June 30, 2024, or ($0.76) per basic and diluted share. The lower net loss is primarily attributed to lower R&amp;D expenses, partially offset by a $3.2 million long-lived asset impairment charge recorded in the three months ended June 30, 2025 related to leased lab space following the workforce reduction in preclinical research announced in March 2025. Non-GAAP net loss was ($23.7) million for the three months ended June 30, 2025, as compared to a non-GAAP net loss of ($32.1) million for the three months ended June 30, 2024. A reconciliation of GAAP to non-GAAP financial results can be found at the end of this news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11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ALX Oncology (Nasdaq: ALXO) is a clinical-stage biotechnology company advancing a pipeline of novel therapies designed to treat cancer and extend patients’ lives. ALX Oncology’s lead therapeutic candidate, evorpacept, has demonstrated potential to serve as a cornerstone therapy upon which the future of immuno-oncology can be built. Evorpacept is currently being evaluated across multiple ongoing clinical trials in a wide range of cancer indications. ALX Oncology’s second pipeline candidate, ALX2004, is a novel EGFR-targeted antibody-drug conjugate with a differentiated mechanism of action and is anticipated to enter Phase 1 trials mid-2025. More information is available at www.alxoncology.com and on LinkedIn @ALX Oncology.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objectives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jc w:val="center"/>
        <w:ind w:right="40"/>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18,022</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34,653</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41,910</w:t>
            </w:r>
          </w:p>
        </w:tc>
        <w:tc>
          <w:tcPr>
            <w:tcW w:w="16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 charge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58,468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79,287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(79,287)</w:t>
            </w: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(25,949)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(39,399)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(56,703)</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(74,980)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46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(0.76)</w:t>
            </w:r>
          </w:p>
        </w:tc>
        <w:tc>
          <w:tcPr>
            <w:tcW w:w="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540" w:type="dxa"/>
            <w:vAlign w:val="bottom"/>
            <w:gridSpan w:val="2"/>
            <w:shd w:val="clear" w:color="auto" w:fill="CFF0FC"/>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78"/>
        </w:trPr>
        <w:tc>
          <w:tcPr>
            <w:tcW w:w="44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used to</w:t>
            </w: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53,445,631</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51,831,157</w:t>
            </w: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54,031,176</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50,969,089</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compute net loss per shares, basic and diluted</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-1173480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-1173480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-1173480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-1173480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-607695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-607695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-607695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-299720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-282575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-299720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-282575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-299720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-282575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-282575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 Data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180" w:type="dxa"/>
            <w:vAlign w:val="bottom"/>
            <w:gridSpan w:val="2"/>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83,546</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131,281</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18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95,320</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147,775</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180" w:type="dxa"/>
            <w:vAlign w:val="bottom"/>
            <w:gridSpan w:val="2"/>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30,905</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34,157</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18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(677,825)</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(621,122)</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180" w:type="dxa"/>
            <w:vAlign w:val="bottom"/>
            <w:gridSpan w:val="2"/>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64,415</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113,618</w:t>
            </w:r>
          </w:p>
        </w:tc>
      </w:tr>
    </w:tbl>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GAAP to Non-GAAP Reconciliation</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(unaudited)</w:t>
      </w:r>
    </w:p>
    <w:p>
      <w:pPr>
        <w:ind w:left="5060"/>
        <w:spacing w:after="0"/>
        <w:rPr>
          <w:sz w:val="20"/>
          <w:szCs w:val="20"/>
          <w:color w:val="auto"/>
        </w:rPr>
      </w:pPr>
      <w:r>
        <w:rPr>
          <w:rFonts w:ascii="Times New Roman" w:cs="Times New Roman" w:eastAsia="Times New Roman" w:hAnsi="Times New Roman"/>
          <w:sz w:val="20"/>
          <w:szCs w:val="20"/>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net loss, as reported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(25,949)</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(39,399)</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(56,703)</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(74,980)</w:t>
            </w:r>
          </w:p>
        </w:tc>
      </w:tr>
      <w:tr>
        <w:trPr>
          <w:trHeight w:val="216"/>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120" w:type="dxa"/>
            <w:vAlign w:val="bottom"/>
            <w:shd w:val="clear" w:color="auto" w:fill="CFF0FC"/>
          </w:tcPr>
          <w:p>
            <w:pPr>
              <w:spacing w:after="0"/>
              <w:rPr>
                <w:sz w:val="18"/>
                <w:szCs w:val="18"/>
                <w:color w:val="auto"/>
              </w:rPr>
            </w:pPr>
          </w:p>
        </w:tc>
      </w:tr>
      <w:tr>
        <w:trPr>
          <w:trHeight w:val="216"/>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Accretion of term loan discount and issuance costs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r>
      <w:tr>
        <w:trPr>
          <w:trHeight w:val="210"/>
        </w:trPr>
        <w:tc>
          <w:tcPr>
            <w:tcW w:w="44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(23,744)</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(32,081)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(49,215)</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(60,567)</w:t>
            </w:r>
          </w:p>
        </w:tc>
      </w:tr>
      <w:tr>
        <w:trPr>
          <w:trHeight w:val="20"/>
        </w:trPr>
        <w:tc>
          <w:tcPr>
            <w:tcW w:w="4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0"/>
        </w:trPr>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69"/>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7"/>
        </w:trPr>
        <w:tc>
          <w:tcPr>
            <w:tcW w:w="4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-1019175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-1019175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-1019175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1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7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“Non-GAAP net loss” is not based on any standardized methodology prescribed by GAAP and represents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Elhan Webb, CFA, IR Consultant</w:t>
      </w:r>
    </w:p>
    <w:p>
      <w:pPr>
        <w:spacing w:after="0"/>
        <w:rPr>
          <w:sz w:val="20"/>
          <w:szCs w:val="20"/>
          <w:color w:val="auto"/>
        </w:rPr>
      </w:pPr>
      <w:r>
        <w:rPr>
          <w:rFonts w:ascii="Times New Roman" w:cs="Times New Roman" w:eastAsia="Times New Roman" w:hAnsi="Times New Roman"/>
          <w:sz w:val="20"/>
          <w:szCs w:val="20"/>
          <w:color w:val="auto"/>
        </w:rPr>
        <w:t>ewebb@alxoncology.com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Audra Friis, Sam Brown LLC</w:t>
      </w:r>
    </w:p>
    <w:p>
      <w:pPr>
        <w:spacing w:after="0"/>
        <w:rPr>
          <w:sz w:val="20"/>
          <w:szCs w:val="20"/>
          <w:color w:val="auto"/>
        </w:rPr>
      </w:pPr>
      <w:r>
        <w:rPr>
          <w:rFonts w:ascii="Times New Roman" w:cs="Times New Roman" w:eastAsia="Times New Roman" w:hAnsi="Times New Roman"/>
          <w:sz w:val="20"/>
          <w:szCs w:val="20"/>
          <w:color w:val="auto"/>
        </w:rPr>
        <w:t>audrafriis@sambrown.com</w:t>
      </w:r>
    </w:p>
    <w:p>
      <w:pPr>
        <w:spacing w:after="0"/>
        <w:rPr>
          <w:sz w:val="20"/>
          <w:szCs w:val="20"/>
          <w:color w:val="auto"/>
        </w:rPr>
      </w:pPr>
      <w:r>
        <w:rPr>
          <w:rFonts w:ascii="Times New Roman" w:cs="Times New Roman" w:eastAsia="Times New Roman" w:hAnsi="Times New Roman"/>
          <w:sz w:val="20"/>
          <w:szCs w:val="20"/>
          <w:color w:val="auto"/>
        </w:rPr>
        <w:t>(917) 519-9577</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lvl w:ilvl="4">
      <w:lvlJc w:val="left"/>
      <w:lvlText w:val="\endash "/>
      <w:numFmt w:val="bullet"/>
      <w:start w:val="1"/>
    </w:lvl>
    <w:lvl w:ilvl="5">
      <w:lvlJc w:val="left"/>
      <w:lvlText w:val="\endash "/>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2025-08-12T15:12:44Z</dcterms:created>
  <dcterms:modified xsi:type="dcterms:W3CDTF">2025-08-12T15:12:44Z</dcterms:modified>
</cp:coreProperties>
</file>