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00166B105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July 21,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4"/>
          <w:szCs w:val="24"/>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Arial" w:cs="Arial" w:eastAsia="Arial" w:hAnsi="Arial"/>
          <w:sz w:val="18"/>
          <w:szCs w:val="18"/>
          <w:color w:val="auto"/>
        </w:rPr>
      </w:pPr>
    </w:p>
    <w:p>
      <w:pPr>
        <w:ind w:left="340" w:right="320"/>
        <w:spacing w:after="0" w:line="263" w:lineRule="auto"/>
        <w:rPr>
          <w:rFonts w:ascii="Arial" w:cs="Arial" w:eastAsia="Arial" w:hAnsi="Arial"/>
          <w:sz w:val="18"/>
          <w:szCs w:val="18"/>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13" w:right="419" w:bottom="1440" w:gutter="0" w:footer="0" w:header="0"/>
        </w:sectPr>
      </w:pPr>
    </w:p>
    <w:bookmarkStart w:id="1" w:name="page2"/>
    <w:bookmarkEnd w:id="1"/>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246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246370"/>
                    </a:xfrm>
                    <a:prstGeom prst="rect">
                      <a:avLst/>
                    </a:prstGeom>
                    <a:noFill/>
                  </pic:spPr>
                </pic:pic>
              </a:graphicData>
            </a:graphic>
          </wp:anchor>
        </w:drawing>
        <w:t xml:space="preserve">CUSIP No. </w:t>
      </w:r>
      <w:r>
        <w:rPr>
          <w:rFonts w:ascii="Arial" w:cs="Arial" w:eastAsia="Arial" w:hAnsi="Arial"/>
          <w:sz w:val="18"/>
          <w:szCs w:val="18"/>
          <w:b w:val="1"/>
          <w:bCs w:val="1"/>
          <w:color w:val="auto"/>
        </w:rPr>
        <w:t>00166B105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540" w:type="dxa"/>
            <w:vAlign w:val="bottom"/>
            <w:tcBorders>
              <w:top w:val="single" w:sz="8" w:color="auto"/>
            </w:tcBorders>
          </w:tcPr>
          <w:p>
            <w:pPr>
              <w:jc w:val="center"/>
              <w:ind w:left="200"/>
              <w:spacing w:after="0"/>
              <w:rPr>
                <w:sz w:val="20"/>
                <w:szCs w:val="20"/>
                <w:color w:val="auto"/>
              </w:rPr>
            </w:pPr>
            <w:r>
              <w:rPr>
                <w:rFonts w:ascii="Arial" w:cs="Arial" w:eastAsia="Arial" w:hAnsi="Arial"/>
                <w:sz w:val="22"/>
                <w:szCs w:val="22"/>
                <w:b w:val="1"/>
                <w:bCs w:val="1"/>
                <w:color w:val="auto"/>
                <w:w w:val="97"/>
              </w:rPr>
              <w:t>1</w:t>
            </w:r>
          </w:p>
        </w:tc>
        <w:tc>
          <w:tcPr>
            <w:tcW w:w="300" w:type="dxa"/>
            <w:vAlign w:val="bottom"/>
            <w:tcBorders>
              <w:top w:val="single" w:sz="8" w:color="auto"/>
              <w:right w:val="single" w:sz="8" w:color="auto"/>
            </w:tcBorders>
          </w:tcPr>
          <w:p>
            <w:pPr>
              <w:spacing w:after="0"/>
              <w:rPr>
                <w:sz w:val="24"/>
                <w:szCs w:val="24"/>
                <w:color w:val="auto"/>
              </w:rPr>
            </w:pPr>
          </w:p>
        </w:tc>
        <w:tc>
          <w:tcPr>
            <w:tcW w:w="10400" w:type="dxa"/>
            <w:vAlign w:val="bottom"/>
            <w:tcBorders>
              <w:top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67"/>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1040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Vivo Capital IX, LLC</w:t>
            </w:r>
          </w:p>
        </w:tc>
        <w:tc>
          <w:tcPr>
            <w:tcW w:w="0" w:type="dxa"/>
            <w:vAlign w:val="bottom"/>
          </w:tcPr>
          <w:p>
            <w:pPr>
              <w:spacing w:after="0"/>
              <w:rPr>
                <w:sz w:val="1"/>
                <w:szCs w:val="1"/>
                <w:color w:val="auto"/>
              </w:rPr>
            </w:pPr>
          </w:p>
        </w:tc>
      </w:tr>
      <w:tr>
        <w:trPr>
          <w:trHeight w:val="331"/>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97"/>
              </w:rPr>
              <w:t>2</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5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97"/>
              </w:rPr>
              <w:t>3</w:t>
            </w:r>
          </w:p>
        </w:tc>
        <w:tc>
          <w:tcPr>
            <w:tcW w:w="300" w:type="dxa"/>
            <w:vAlign w:val="bottom"/>
            <w:tcBorders>
              <w:right w:val="single" w:sz="8" w:color="auto"/>
            </w:tcBorders>
          </w:tcPr>
          <w:p>
            <w:pPr>
              <w:spacing w:after="0"/>
              <w:rPr>
                <w:sz w:val="24"/>
                <w:szCs w:val="24"/>
                <w:color w:val="auto"/>
              </w:rPr>
            </w:pPr>
          </w:p>
        </w:tc>
        <w:tc>
          <w:tcPr>
            <w:tcW w:w="156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8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780" w:type="dxa"/>
            <w:vAlign w:val="bottom"/>
            <w:tcBorders>
              <w:bottom w:val="single" w:sz="8" w:color="auto"/>
            </w:tcBorders>
            <w:gridSpan w:val="2"/>
          </w:tcPr>
          <w:p>
            <w:pPr>
              <w:spacing w:after="0"/>
              <w:rPr>
                <w:sz w:val="23"/>
                <w:szCs w:val="23"/>
                <w:color w:val="auto"/>
              </w:rPr>
            </w:pPr>
          </w:p>
        </w:tc>
        <w:tc>
          <w:tcPr>
            <w:tcW w:w="780" w:type="dxa"/>
            <w:vAlign w:val="bottom"/>
            <w:tcBorders>
              <w:bottom w:val="single" w:sz="8" w:color="auto"/>
            </w:tcBorders>
            <w:gridSpan w:val="2"/>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4"/>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97"/>
              </w:rPr>
              <w:t>4</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67"/>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3"/>
              </w:rPr>
              <w:t>Delaware</w:t>
            </w:r>
          </w:p>
        </w:tc>
        <w:tc>
          <w:tcPr>
            <w:tcW w:w="720" w:type="dxa"/>
            <w:vAlign w:val="bottom"/>
            <w:tcBorders>
              <w:bottom w:val="single" w:sz="8" w:color="auto"/>
            </w:tcBorders>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4"/>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b w:val="1"/>
                <w:bCs w:val="1"/>
                <w:color w:val="auto"/>
                <w:w w:val="97"/>
              </w:rPr>
              <w:t>5</w:t>
            </w:r>
          </w:p>
        </w:tc>
        <w:tc>
          <w:tcPr>
            <w:tcW w:w="88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08"/>
        </w:trPr>
        <w:tc>
          <w:tcPr>
            <w:tcW w:w="162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840" w:type="dxa"/>
            <w:vAlign w:val="bottom"/>
            <w:tcBorders>
              <w:bottom w:val="single" w:sz="8" w:color="auto"/>
            </w:tcBorders>
          </w:tcPr>
          <w:p>
            <w:pPr>
              <w:ind w:left="80"/>
              <w:spacing w:after="0" w:line="301" w:lineRule="exact"/>
              <w:rPr>
                <w:sz w:val="20"/>
                <w:szCs w:val="20"/>
                <w:color w:val="auto"/>
              </w:rPr>
            </w:pPr>
            <w:r>
              <w:rPr>
                <w:rFonts w:ascii="Arial" w:cs="Arial" w:eastAsia="Arial" w:hAnsi="Arial"/>
                <w:sz w:val="18"/>
                <w:szCs w:val="18"/>
                <w:b w:val="1"/>
                <w:bCs w:val="1"/>
                <w:color w:val="auto"/>
              </w:rPr>
              <w:t xml:space="preserve">4,034,522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02"/>
        </w:trPr>
        <w:tc>
          <w:tcPr>
            <w:tcW w:w="1240" w:type="dxa"/>
            <w:vAlign w:val="bottom"/>
            <w:gridSpan w:val="3"/>
          </w:tcPr>
          <w:p>
            <w:pPr>
              <w:jc w:val="center"/>
              <w:ind w:left="280"/>
              <w:spacing w:after="0" w:line="201" w:lineRule="exact"/>
              <w:rPr>
                <w:sz w:val="20"/>
                <w:szCs w:val="20"/>
                <w:color w:val="auto"/>
              </w:rPr>
            </w:pPr>
            <w:r>
              <w:rPr>
                <w:rFonts w:ascii="Arial" w:cs="Arial" w:eastAsia="Arial" w:hAnsi="Arial"/>
                <w:sz w:val="18"/>
                <w:szCs w:val="18"/>
                <w:color w:val="auto"/>
                <w:w w:val="94"/>
              </w:rPr>
              <w:t>SHARES</w:t>
            </w:r>
          </w:p>
        </w:tc>
        <w:tc>
          <w:tcPr>
            <w:tcW w:w="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right w:val="single" w:sz="8" w:color="auto"/>
            </w:tcBorders>
            <w:vMerge w:val="restart"/>
          </w:tcPr>
          <w:p>
            <w:pPr>
              <w:jc w:val="right"/>
              <w:ind w:right="472"/>
              <w:spacing w:after="0"/>
              <w:rPr>
                <w:sz w:val="20"/>
                <w:szCs w:val="20"/>
                <w:color w:val="auto"/>
              </w:rPr>
            </w:pPr>
            <w:r>
              <w:rPr>
                <w:rFonts w:ascii="Arial" w:cs="Arial" w:eastAsia="Arial" w:hAnsi="Arial"/>
                <w:sz w:val="22"/>
                <w:szCs w:val="22"/>
                <w:b w:val="1"/>
                <w:bCs w:val="1"/>
                <w:color w:val="auto"/>
                <w:w w:val="97"/>
              </w:rPr>
              <w:t>6</w:t>
            </w:r>
          </w:p>
        </w:tc>
        <w:tc>
          <w:tcPr>
            <w:tcW w:w="88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2"/>
        </w:trPr>
        <w:tc>
          <w:tcPr>
            <w:tcW w:w="162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8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620" w:type="dxa"/>
            <w:vAlign w:val="bottom"/>
            <w:tcBorders>
              <w:right w:val="single" w:sz="8" w:color="auto"/>
            </w:tcBorders>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88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3"/>
        </w:trPr>
        <w:tc>
          <w:tcPr>
            <w:tcW w:w="1620" w:type="dxa"/>
            <w:vAlign w:val="bottom"/>
            <w:tcBorders>
              <w:right w:val="single" w:sz="8" w:color="auto"/>
            </w:tcBorders>
            <w:gridSpan w:val="4"/>
          </w:tcPr>
          <w:p>
            <w:pPr>
              <w:jc w:val="center"/>
              <w:spacing w:after="0" w:line="157" w:lineRule="exact"/>
              <w:rPr>
                <w:sz w:val="20"/>
                <w:szCs w:val="20"/>
                <w:color w:val="auto"/>
              </w:rPr>
            </w:pPr>
            <w:r>
              <w:rPr>
                <w:rFonts w:ascii="Arial" w:cs="Arial" w:eastAsia="Arial" w:hAnsi="Arial"/>
                <w:sz w:val="18"/>
                <w:szCs w:val="18"/>
                <w:color w:val="auto"/>
                <w:w w:val="99"/>
              </w:rPr>
              <w:t>OWNED BY</w:t>
            </w: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700" w:type="dxa"/>
            <w:vAlign w:val="bottom"/>
            <w:gridSpan w:val="2"/>
          </w:tcPr>
          <w:p>
            <w:pPr>
              <w:jc w:val="center"/>
              <w:ind w:right="70"/>
              <w:spacing w:after="0"/>
              <w:rPr>
                <w:sz w:val="20"/>
                <w:szCs w:val="20"/>
                <w:color w:val="auto"/>
              </w:rPr>
            </w:pPr>
            <w:r>
              <w:rPr>
                <w:rFonts w:ascii="Arial" w:cs="Arial" w:eastAsia="Arial" w:hAnsi="Arial"/>
                <w:sz w:val="18"/>
                <w:szCs w:val="18"/>
                <w:color w:val="auto"/>
                <w:w w:val="99"/>
              </w:rPr>
              <w:t>EACH</w:t>
            </w:r>
          </w:p>
        </w:tc>
        <w:tc>
          <w:tcPr>
            <w:tcW w:w="3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Borders>
              <w:right w:val="single" w:sz="8" w:color="auto"/>
            </w:tcBorders>
          </w:tcPr>
          <w:p>
            <w:pPr>
              <w:jc w:val="right"/>
              <w:ind w:right="472"/>
              <w:spacing w:after="0" w:line="245" w:lineRule="exact"/>
              <w:rPr>
                <w:sz w:val="20"/>
                <w:szCs w:val="20"/>
                <w:color w:val="auto"/>
              </w:rPr>
            </w:pPr>
            <w:r>
              <w:rPr>
                <w:rFonts w:ascii="Arial" w:cs="Arial" w:eastAsia="Arial" w:hAnsi="Arial"/>
                <w:sz w:val="22"/>
                <w:szCs w:val="22"/>
                <w:b w:val="1"/>
                <w:bCs w:val="1"/>
                <w:color w:val="auto"/>
                <w:w w:val="97"/>
              </w:rPr>
              <w:t>7</w:t>
            </w:r>
          </w:p>
        </w:tc>
        <w:tc>
          <w:tcPr>
            <w:tcW w:w="8840" w:type="dxa"/>
            <w:vAlign w:val="bottom"/>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0"/>
        </w:trPr>
        <w:tc>
          <w:tcPr>
            <w:tcW w:w="1620" w:type="dxa"/>
            <w:vAlign w:val="bottom"/>
            <w:tcBorders>
              <w:right w:val="single" w:sz="8" w:color="auto"/>
            </w:tcBorders>
            <w:gridSpan w:val="4"/>
          </w:tcPr>
          <w:p>
            <w:pPr>
              <w:jc w:val="center"/>
              <w:spacing w:after="0" w:line="200" w:lineRule="exact"/>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88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 xml:space="preserve">4,034,522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197"/>
        </w:trPr>
        <w:tc>
          <w:tcPr>
            <w:tcW w:w="1240" w:type="dxa"/>
            <w:vAlign w:val="bottom"/>
            <w:gridSpan w:val="3"/>
          </w:tcPr>
          <w:p>
            <w:pPr>
              <w:jc w:val="center"/>
              <w:ind w:left="280"/>
              <w:spacing w:after="0" w:line="190" w:lineRule="exact"/>
              <w:rPr>
                <w:sz w:val="20"/>
                <w:szCs w:val="20"/>
                <w:color w:val="auto"/>
              </w:rPr>
            </w:pPr>
            <w:r>
              <w:rPr>
                <w:rFonts w:ascii="Arial" w:cs="Arial" w:eastAsia="Arial" w:hAnsi="Arial"/>
                <w:sz w:val="18"/>
                <w:szCs w:val="18"/>
                <w:color w:val="auto"/>
                <w:w w:val="92"/>
              </w:rPr>
              <w:t>PERSON</w:t>
            </w:r>
          </w:p>
        </w:tc>
        <w:tc>
          <w:tcPr>
            <w:tcW w:w="380" w:type="dxa"/>
            <w:vAlign w:val="bottom"/>
            <w:tcBorders>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8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540" w:type="dxa"/>
            <w:vAlign w:val="bottom"/>
          </w:tcPr>
          <w:p>
            <w:pPr>
              <w:spacing w:after="0"/>
              <w:rPr>
                <w:sz w:val="24"/>
                <w:szCs w:val="24"/>
                <w:color w:val="auto"/>
              </w:rPr>
            </w:pPr>
          </w:p>
        </w:tc>
        <w:tc>
          <w:tcPr>
            <w:tcW w:w="700" w:type="dxa"/>
            <w:vAlign w:val="bottom"/>
            <w:gridSpan w:val="2"/>
          </w:tcPr>
          <w:p>
            <w:pPr>
              <w:jc w:val="center"/>
              <w:ind w:right="70"/>
              <w:spacing w:after="0"/>
              <w:rPr>
                <w:sz w:val="20"/>
                <w:szCs w:val="20"/>
                <w:color w:val="auto"/>
              </w:rPr>
            </w:pPr>
            <w:r>
              <w:rPr>
                <w:rFonts w:ascii="Arial" w:cs="Arial" w:eastAsia="Arial" w:hAnsi="Arial"/>
                <w:sz w:val="18"/>
                <w:szCs w:val="18"/>
                <w:color w:val="auto"/>
                <w:w w:val="99"/>
              </w:rPr>
              <w:t>WITH</w:t>
            </w:r>
          </w:p>
        </w:tc>
        <w:tc>
          <w:tcPr>
            <w:tcW w:w="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b w:val="1"/>
                <w:bCs w:val="1"/>
                <w:color w:val="auto"/>
                <w:w w:val="97"/>
              </w:rPr>
              <w:t>8</w:t>
            </w:r>
          </w:p>
        </w:tc>
        <w:tc>
          <w:tcPr>
            <w:tcW w:w="8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67"/>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8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34"/>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97"/>
              </w:rPr>
              <w:t>9</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07"/>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4"/>
          </w:tcPr>
          <w:p>
            <w:pPr>
              <w:ind w:left="80"/>
              <w:spacing w:after="0" w:line="301" w:lineRule="exact"/>
              <w:rPr>
                <w:sz w:val="20"/>
                <w:szCs w:val="20"/>
                <w:color w:val="auto"/>
              </w:rPr>
            </w:pPr>
            <w:r>
              <w:rPr>
                <w:rFonts w:ascii="Arial" w:cs="Arial" w:eastAsia="Arial" w:hAnsi="Arial"/>
                <w:sz w:val="18"/>
                <w:szCs w:val="18"/>
                <w:b w:val="1"/>
                <w:bCs w:val="1"/>
                <w:color w:val="auto"/>
              </w:rPr>
              <w:t xml:space="preserve">4,034,522 </w:t>
            </w:r>
            <w:r>
              <w:rPr>
                <w:rFonts w:ascii="Arial" w:cs="Arial" w:eastAsia="Arial" w:hAnsi="Arial"/>
                <w:sz w:val="29"/>
                <w:szCs w:val="29"/>
                <w:b w:val="1"/>
                <w:bCs w:val="1"/>
                <w:color w:val="auto"/>
                <w:vertAlign w:val="superscript"/>
              </w:rPr>
              <w:t>(1)</w:t>
            </w: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81"/>
              </w:rPr>
              <w:t>10</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70"/>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4"/>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81"/>
              </w:rPr>
              <w:t>11</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307"/>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3"/>
          </w:tcPr>
          <w:p>
            <w:pPr>
              <w:ind w:left="80"/>
              <w:spacing w:after="0" w:line="301" w:lineRule="exact"/>
              <w:rPr>
                <w:sz w:val="20"/>
                <w:szCs w:val="20"/>
                <w:color w:val="auto"/>
              </w:rPr>
            </w:pPr>
            <w:r>
              <w:rPr>
                <w:rFonts w:ascii="Arial" w:cs="Arial" w:eastAsia="Arial" w:hAnsi="Arial"/>
                <w:sz w:val="18"/>
                <w:szCs w:val="18"/>
                <w:b w:val="1"/>
                <w:bCs w:val="1"/>
                <w:color w:val="auto"/>
                <w:w w:val="92"/>
              </w:rPr>
              <w:t xml:space="preserve">11.1% </w:t>
            </w:r>
            <w:r>
              <w:rPr>
                <w:rFonts w:ascii="Arial" w:cs="Arial" w:eastAsia="Arial" w:hAnsi="Arial"/>
                <w:sz w:val="29"/>
                <w:szCs w:val="29"/>
                <w:b w:val="1"/>
                <w:bCs w:val="1"/>
                <w:color w:val="auto"/>
                <w:w w:val="92"/>
                <w:vertAlign w:val="superscript"/>
              </w:rPr>
              <w:t>(2)</w:t>
            </w: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81"/>
              </w:rPr>
              <w:t>12</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67"/>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OO</w:t>
            </w:r>
          </w:p>
        </w:tc>
        <w:tc>
          <w:tcPr>
            <w:tcW w:w="3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right="20" w:hanging="492"/>
        <w:spacing w:after="0" w:line="194" w:lineRule="auto"/>
        <w:tabs>
          <w:tab w:leader="none" w:pos="50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The shares of common stock, par value $0.001 per share (the “Common Stock”) of ALX Oncology Holdings Inc. (the “Issuer”) are held of record by Vivo Capital Fund IX, L.P. Vivo Capital IX, LLC is the general partner of Vivo Capital Fund IX, L.P.</w:t>
      </w:r>
    </w:p>
    <w:p>
      <w:pPr>
        <w:spacing w:after="0" w:line="188" w:lineRule="exact"/>
        <w:rPr>
          <w:rFonts w:ascii="Arial" w:cs="Arial" w:eastAsia="Arial" w:hAnsi="Arial"/>
          <w:sz w:val="30"/>
          <w:szCs w:val="30"/>
          <w:color w:val="auto"/>
          <w:vertAlign w:val="superscript"/>
        </w:rPr>
      </w:pPr>
    </w:p>
    <w:p>
      <w:pPr>
        <w:ind w:left="500" w:right="200" w:hanging="492"/>
        <w:spacing w:after="0" w:line="209" w:lineRule="auto"/>
        <w:tabs>
          <w:tab w:leader="none" w:pos="50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Based on 36,486,553 shares of Common Stock issued and outstanding (including the full exercise of the underwriters’ over-allotment option) after the completion of the initial public offering, as disclosed in the prospectus filed by the Issuer on July 17, 2020, pursuant to Rule 424(b)(4), which forms part of the Issuer’s Registration Statement on Form S-1 (File No. 333-239490).</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246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246370"/>
                    </a:xfrm>
                    <a:prstGeom prst="rect">
                      <a:avLst/>
                    </a:prstGeom>
                    <a:noFill/>
                  </pic:spPr>
                </pic:pic>
              </a:graphicData>
            </a:graphic>
          </wp:anchor>
        </w:drawing>
        <w:t>CUSIP No</w:t>
      </w:r>
      <w:r>
        <w:rPr>
          <w:rFonts w:ascii="Arial" w:cs="Arial" w:eastAsia="Arial" w:hAnsi="Arial"/>
          <w:sz w:val="18"/>
          <w:szCs w:val="18"/>
          <w:b w:val="1"/>
          <w:bCs w:val="1"/>
          <w:color w:val="auto"/>
        </w:rPr>
        <w:t>. 00166B105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341"/>
        </w:trPr>
        <w:tc>
          <w:tcPr>
            <w:tcW w:w="540" w:type="dxa"/>
            <w:vAlign w:val="bottom"/>
            <w:tcBorders>
              <w:top w:val="single" w:sz="8" w:color="auto"/>
            </w:tcBorders>
          </w:tcPr>
          <w:p>
            <w:pPr>
              <w:jc w:val="center"/>
              <w:ind w:left="200"/>
              <w:spacing w:after="0"/>
              <w:rPr>
                <w:sz w:val="20"/>
                <w:szCs w:val="20"/>
                <w:color w:val="auto"/>
              </w:rPr>
            </w:pPr>
            <w:r>
              <w:rPr>
                <w:rFonts w:ascii="Arial" w:cs="Arial" w:eastAsia="Arial" w:hAnsi="Arial"/>
                <w:sz w:val="22"/>
                <w:szCs w:val="22"/>
                <w:b w:val="1"/>
                <w:bCs w:val="1"/>
                <w:color w:val="auto"/>
                <w:w w:val="97"/>
              </w:rPr>
              <w:t>1</w:t>
            </w:r>
          </w:p>
        </w:tc>
        <w:tc>
          <w:tcPr>
            <w:tcW w:w="300" w:type="dxa"/>
            <w:vAlign w:val="bottom"/>
            <w:tcBorders>
              <w:top w:val="single" w:sz="8" w:color="auto"/>
              <w:right w:val="single" w:sz="8" w:color="auto"/>
            </w:tcBorders>
          </w:tcPr>
          <w:p>
            <w:pPr>
              <w:spacing w:after="0"/>
              <w:rPr>
                <w:sz w:val="24"/>
                <w:szCs w:val="24"/>
                <w:color w:val="auto"/>
              </w:rPr>
            </w:pPr>
          </w:p>
        </w:tc>
        <w:tc>
          <w:tcPr>
            <w:tcW w:w="10400" w:type="dxa"/>
            <w:vAlign w:val="bottom"/>
            <w:tcBorders>
              <w:top w:val="single" w:sz="8" w:color="auto"/>
            </w:tcBorders>
            <w:gridSpan w:val="5"/>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67"/>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1040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Vivo Opportunity, LLC</w:t>
            </w:r>
          </w:p>
        </w:tc>
        <w:tc>
          <w:tcPr>
            <w:tcW w:w="0" w:type="dxa"/>
            <w:vAlign w:val="bottom"/>
          </w:tcPr>
          <w:p>
            <w:pPr>
              <w:spacing w:after="0"/>
              <w:rPr>
                <w:sz w:val="1"/>
                <w:szCs w:val="1"/>
                <w:color w:val="auto"/>
              </w:rPr>
            </w:pPr>
          </w:p>
        </w:tc>
      </w:tr>
      <w:tr>
        <w:trPr>
          <w:trHeight w:val="331"/>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97"/>
              </w:rPr>
              <w:t>2</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54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97"/>
              </w:rPr>
              <w:t>3</w:t>
            </w:r>
          </w:p>
        </w:tc>
        <w:tc>
          <w:tcPr>
            <w:tcW w:w="300" w:type="dxa"/>
            <w:vAlign w:val="bottom"/>
            <w:tcBorders>
              <w:right w:val="single" w:sz="8" w:color="auto"/>
            </w:tcBorders>
          </w:tcPr>
          <w:p>
            <w:pPr>
              <w:spacing w:after="0"/>
              <w:rPr>
                <w:sz w:val="24"/>
                <w:szCs w:val="24"/>
                <w:color w:val="auto"/>
              </w:rPr>
            </w:pPr>
          </w:p>
        </w:tc>
        <w:tc>
          <w:tcPr>
            <w:tcW w:w="1560" w:type="dxa"/>
            <w:vAlign w:val="bottom"/>
            <w:gridSpan w:val="4"/>
          </w:tcPr>
          <w:p>
            <w:pPr>
              <w:ind w:left="80"/>
              <w:spacing w:after="0"/>
              <w:rPr>
                <w:sz w:val="20"/>
                <w:szCs w:val="20"/>
                <w:color w:val="auto"/>
              </w:rPr>
            </w:pPr>
            <w:r>
              <w:rPr>
                <w:rFonts w:ascii="Arial" w:cs="Arial" w:eastAsia="Arial" w:hAnsi="Arial"/>
                <w:sz w:val="18"/>
                <w:szCs w:val="18"/>
                <w:color w:val="auto"/>
              </w:rPr>
              <w:t>SEC USE ONLY</w:t>
            </w:r>
          </w:p>
        </w:tc>
        <w:tc>
          <w:tcPr>
            <w:tcW w:w="8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780" w:type="dxa"/>
            <w:vAlign w:val="bottom"/>
            <w:tcBorders>
              <w:bottom w:val="single" w:sz="8" w:color="auto"/>
            </w:tcBorders>
            <w:gridSpan w:val="2"/>
          </w:tcPr>
          <w:p>
            <w:pPr>
              <w:spacing w:after="0"/>
              <w:rPr>
                <w:sz w:val="23"/>
                <w:szCs w:val="23"/>
                <w:color w:val="auto"/>
              </w:rPr>
            </w:pPr>
          </w:p>
        </w:tc>
        <w:tc>
          <w:tcPr>
            <w:tcW w:w="780" w:type="dxa"/>
            <w:vAlign w:val="bottom"/>
            <w:tcBorders>
              <w:bottom w:val="single" w:sz="8" w:color="auto"/>
            </w:tcBorders>
            <w:gridSpan w:val="2"/>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4"/>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97"/>
              </w:rPr>
              <w:t>4</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67"/>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8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3"/>
              </w:rPr>
              <w:t>Delaware</w:t>
            </w:r>
          </w:p>
        </w:tc>
        <w:tc>
          <w:tcPr>
            <w:tcW w:w="720" w:type="dxa"/>
            <w:vAlign w:val="bottom"/>
            <w:tcBorders>
              <w:bottom w:val="single" w:sz="8" w:color="auto"/>
            </w:tcBorders>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4"/>
        </w:trPr>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b w:val="1"/>
                <w:bCs w:val="1"/>
                <w:color w:val="auto"/>
                <w:w w:val="97"/>
              </w:rPr>
              <w:t>5</w:t>
            </w:r>
          </w:p>
        </w:tc>
        <w:tc>
          <w:tcPr>
            <w:tcW w:w="884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08"/>
        </w:trPr>
        <w:tc>
          <w:tcPr>
            <w:tcW w:w="162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8840" w:type="dxa"/>
            <w:vAlign w:val="bottom"/>
            <w:tcBorders>
              <w:bottom w:val="single" w:sz="8" w:color="auto"/>
            </w:tcBorders>
          </w:tcPr>
          <w:p>
            <w:pPr>
              <w:ind w:left="80"/>
              <w:spacing w:after="0" w:line="301" w:lineRule="exact"/>
              <w:rPr>
                <w:sz w:val="20"/>
                <w:szCs w:val="20"/>
                <w:color w:val="auto"/>
              </w:rPr>
            </w:pPr>
            <w:r>
              <w:rPr>
                <w:rFonts w:ascii="Arial" w:cs="Arial" w:eastAsia="Arial" w:hAnsi="Arial"/>
                <w:sz w:val="18"/>
                <w:szCs w:val="18"/>
                <w:b w:val="1"/>
                <w:bCs w:val="1"/>
                <w:color w:val="auto"/>
              </w:rPr>
              <w:t xml:space="preserve">185,526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02"/>
        </w:trPr>
        <w:tc>
          <w:tcPr>
            <w:tcW w:w="1240" w:type="dxa"/>
            <w:vAlign w:val="bottom"/>
            <w:gridSpan w:val="3"/>
          </w:tcPr>
          <w:p>
            <w:pPr>
              <w:jc w:val="center"/>
              <w:ind w:left="280"/>
              <w:spacing w:after="0" w:line="201" w:lineRule="exact"/>
              <w:rPr>
                <w:sz w:val="20"/>
                <w:szCs w:val="20"/>
                <w:color w:val="auto"/>
              </w:rPr>
            </w:pPr>
            <w:r>
              <w:rPr>
                <w:rFonts w:ascii="Arial" w:cs="Arial" w:eastAsia="Arial" w:hAnsi="Arial"/>
                <w:sz w:val="18"/>
                <w:szCs w:val="18"/>
                <w:color w:val="auto"/>
                <w:w w:val="94"/>
              </w:rPr>
              <w:t>SHARES</w:t>
            </w:r>
          </w:p>
        </w:tc>
        <w:tc>
          <w:tcPr>
            <w:tcW w:w="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right w:val="single" w:sz="8" w:color="auto"/>
            </w:tcBorders>
            <w:vMerge w:val="restart"/>
          </w:tcPr>
          <w:p>
            <w:pPr>
              <w:jc w:val="right"/>
              <w:ind w:right="472"/>
              <w:spacing w:after="0"/>
              <w:rPr>
                <w:sz w:val="20"/>
                <w:szCs w:val="20"/>
                <w:color w:val="auto"/>
              </w:rPr>
            </w:pPr>
            <w:r>
              <w:rPr>
                <w:rFonts w:ascii="Arial" w:cs="Arial" w:eastAsia="Arial" w:hAnsi="Arial"/>
                <w:sz w:val="22"/>
                <w:szCs w:val="22"/>
                <w:b w:val="1"/>
                <w:bCs w:val="1"/>
                <w:color w:val="auto"/>
                <w:w w:val="97"/>
              </w:rPr>
              <w:t>6</w:t>
            </w:r>
          </w:p>
        </w:tc>
        <w:tc>
          <w:tcPr>
            <w:tcW w:w="8840" w:type="dxa"/>
            <w:vAlign w:val="bottom"/>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2"/>
        </w:trPr>
        <w:tc>
          <w:tcPr>
            <w:tcW w:w="1620" w:type="dxa"/>
            <w:vAlign w:val="bottom"/>
            <w:tcBorders>
              <w:right w:val="single" w:sz="8" w:color="auto"/>
            </w:tcBorders>
            <w:gridSpan w:val="4"/>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60" w:type="dxa"/>
            <w:vAlign w:val="bottom"/>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8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620" w:type="dxa"/>
            <w:vAlign w:val="bottom"/>
            <w:tcBorders>
              <w:right w:val="single" w:sz="8" w:color="auto"/>
            </w:tcBorders>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88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83"/>
        </w:trPr>
        <w:tc>
          <w:tcPr>
            <w:tcW w:w="1620" w:type="dxa"/>
            <w:vAlign w:val="bottom"/>
            <w:tcBorders>
              <w:right w:val="single" w:sz="8" w:color="auto"/>
            </w:tcBorders>
            <w:gridSpan w:val="4"/>
          </w:tcPr>
          <w:p>
            <w:pPr>
              <w:jc w:val="center"/>
              <w:spacing w:after="0" w:line="157" w:lineRule="exact"/>
              <w:rPr>
                <w:sz w:val="20"/>
                <w:szCs w:val="20"/>
                <w:color w:val="auto"/>
              </w:rPr>
            </w:pPr>
            <w:r>
              <w:rPr>
                <w:rFonts w:ascii="Arial" w:cs="Arial" w:eastAsia="Arial" w:hAnsi="Arial"/>
                <w:sz w:val="18"/>
                <w:szCs w:val="18"/>
                <w:color w:val="auto"/>
                <w:w w:val="99"/>
              </w:rPr>
              <w:t>OWNED BY</w:t>
            </w: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8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540" w:type="dxa"/>
            <w:vAlign w:val="bottom"/>
          </w:tcPr>
          <w:p>
            <w:pPr>
              <w:spacing w:after="0"/>
              <w:rPr>
                <w:sz w:val="21"/>
                <w:szCs w:val="21"/>
                <w:color w:val="auto"/>
              </w:rPr>
            </w:pPr>
          </w:p>
        </w:tc>
        <w:tc>
          <w:tcPr>
            <w:tcW w:w="700" w:type="dxa"/>
            <w:vAlign w:val="bottom"/>
            <w:gridSpan w:val="2"/>
          </w:tcPr>
          <w:p>
            <w:pPr>
              <w:jc w:val="center"/>
              <w:ind w:right="70"/>
              <w:spacing w:after="0"/>
              <w:rPr>
                <w:sz w:val="20"/>
                <w:szCs w:val="20"/>
                <w:color w:val="auto"/>
              </w:rPr>
            </w:pPr>
            <w:r>
              <w:rPr>
                <w:rFonts w:ascii="Arial" w:cs="Arial" w:eastAsia="Arial" w:hAnsi="Arial"/>
                <w:sz w:val="18"/>
                <w:szCs w:val="18"/>
                <w:color w:val="auto"/>
                <w:w w:val="99"/>
              </w:rPr>
              <w:t>EACH</w:t>
            </w:r>
          </w:p>
        </w:tc>
        <w:tc>
          <w:tcPr>
            <w:tcW w:w="38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Borders>
              <w:right w:val="single" w:sz="8" w:color="auto"/>
            </w:tcBorders>
          </w:tcPr>
          <w:p>
            <w:pPr>
              <w:jc w:val="right"/>
              <w:ind w:right="472"/>
              <w:spacing w:after="0" w:line="245" w:lineRule="exact"/>
              <w:rPr>
                <w:sz w:val="20"/>
                <w:szCs w:val="20"/>
                <w:color w:val="auto"/>
              </w:rPr>
            </w:pPr>
            <w:r>
              <w:rPr>
                <w:rFonts w:ascii="Arial" w:cs="Arial" w:eastAsia="Arial" w:hAnsi="Arial"/>
                <w:sz w:val="22"/>
                <w:szCs w:val="22"/>
                <w:b w:val="1"/>
                <w:bCs w:val="1"/>
                <w:color w:val="auto"/>
                <w:w w:val="97"/>
              </w:rPr>
              <w:t>7</w:t>
            </w:r>
          </w:p>
        </w:tc>
        <w:tc>
          <w:tcPr>
            <w:tcW w:w="8840" w:type="dxa"/>
            <w:vAlign w:val="bottom"/>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00"/>
        </w:trPr>
        <w:tc>
          <w:tcPr>
            <w:tcW w:w="1620" w:type="dxa"/>
            <w:vAlign w:val="bottom"/>
            <w:tcBorders>
              <w:right w:val="single" w:sz="8" w:color="auto"/>
            </w:tcBorders>
            <w:gridSpan w:val="4"/>
          </w:tcPr>
          <w:p>
            <w:pPr>
              <w:jc w:val="center"/>
              <w:spacing w:after="0" w:line="200" w:lineRule="exact"/>
              <w:rPr>
                <w:sz w:val="20"/>
                <w:szCs w:val="20"/>
                <w:color w:val="auto"/>
              </w:rPr>
            </w:pPr>
            <w:r>
              <w:rPr>
                <w:rFonts w:ascii="Arial" w:cs="Arial" w:eastAsia="Arial" w:hAnsi="Arial"/>
                <w:sz w:val="18"/>
                <w:szCs w:val="18"/>
                <w:color w:val="auto"/>
                <w:w w:val="93"/>
              </w:rPr>
              <w:t>REPORTING</w:t>
            </w:r>
          </w:p>
        </w:tc>
        <w:tc>
          <w:tcPr>
            <w:tcW w:w="6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88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 xml:space="preserve">185,526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197"/>
        </w:trPr>
        <w:tc>
          <w:tcPr>
            <w:tcW w:w="1240" w:type="dxa"/>
            <w:vAlign w:val="bottom"/>
            <w:gridSpan w:val="3"/>
          </w:tcPr>
          <w:p>
            <w:pPr>
              <w:jc w:val="center"/>
              <w:ind w:left="280"/>
              <w:spacing w:after="0" w:line="190" w:lineRule="exact"/>
              <w:rPr>
                <w:sz w:val="20"/>
                <w:szCs w:val="20"/>
                <w:color w:val="auto"/>
              </w:rPr>
            </w:pPr>
            <w:r>
              <w:rPr>
                <w:rFonts w:ascii="Arial" w:cs="Arial" w:eastAsia="Arial" w:hAnsi="Arial"/>
                <w:sz w:val="18"/>
                <w:szCs w:val="18"/>
                <w:color w:val="auto"/>
                <w:w w:val="92"/>
              </w:rPr>
              <w:t>PERSON</w:t>
            </w:r>
          </w:p>
        </w:tc>
        <w:tc>
          <w:tcPr>
            <w:tcW w:w="380" w:type="dxa"/>
            <w:vAlign w:val="bottom"/>
            <w:tcBorders>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8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540" w:type="dxa"/>
            <w:vAlign w:val="bottom"/>
          </w:tcPr>
          <w:p>
            <w:pPr>
              <w:spacing w:after="0"/>
              <w:rPr>
                <w:sz w:val="24"/>
                <w:szCs w:val="24"/>
                <w:color w:val="auto"/>
              </w:rPr>
            </w:pPr>
          </w:p>
        </w:tc>
        <w:tc>
          <w:tcPr>
            <w:tcW w:w="700" w:type="dxa"/>
            <w:vAlign w:val="bottom"/>
            <w:gridSpan w:val="2"/>
          </w:tcPr>
          <w:p>
            <w:pPr>
              <w:jc w:val="center"/>
              <w:ind w:right="70"/>
              <w:spacing w:after="0"/>
              <w:rPr>
                <w:sz w:val="20"/>
                <w:szCs w:val="20"/>
                <w:color w:val="auto"/>
              </w:rPr>
            </w:pPr>
            <w:r>
              <w:rPr>
                <w:rFonts w:ascii="Arial" w:cs="Arial" w:eastAsia="Arial" w:hAnsi="Arial"/>
                <w:sz w:val="18"/>
                <w:szCs w:val="18"/>
                <w:color w:val="auto"/>
                <w:w w:val="99"/>
              </w:rPr>
              <w:t>WITH</w:t>
            </w:r>
          </w:p>
        </w:tc>
        <w:tc>
          <w:tcPr>
            <w:tcW w:w="3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Borders>
              <w:right w:val="single" w:sz="8" w:color="auto"/>
            </w:tcBorders>
          </w:tcPr>
          <w:p>
            <w:pPr>
              <w:jc w:val="right"/>
              <w:ind w:right="472"/>
              <w:spacing w:after="0"/>
              <w:rPr>
                <w:sz w:val="20"/>
                <w:szCs w:val="20"/>
                <w:color w:val="auto"/>
              </w:rPr>
            </w:pPr>
            <w:r>
              <w:rPr>
                <w:rFonts w:ascii="Arial" w:cs="Arial" w:eastAsia="Arial" w:hAnsi="Arial"/>
                <w:sz w:val="22"/>
                <w:szCs w:val="22"/>
                <w:b w:val="1"/>
                <w:bCs w:val="1"/>
                <w:color w:val="auto"/>
                <w:w w:val="97"/>
              </w:rPr>
              <w:t>8</w:t>
            </w:r>
          </w:p>
        </w:tc>
        <w:tc>
          <w:tcPr>
            <w:tcW w:w="884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67"/>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8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334"/>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97"/>
              </w:rPr>
              <w:t>9</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07"/>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560" w:type="dxa"/>
            <w:vAlign w:val="bottom"/>
            <w:tcBorders>
              <w:bottom w:val="single" w:sz="8" w:color="auto"/>
            </w:tcBorders>
            <w:gridSpan w:val="4"/>
          </w:tcPr>
          <w:p>
            <w:pPr>
              <w:ind w:left="80"/>
              <w:spacing w:after="0" w:line="301" w:lineRule="exact"/>
              <w:rPr>
                <w:sz w:val="20"/>
                <w:szCs w:val="20"/>
                <w:color w:val="auto"/>
              </w:rPr>
            </w:pPr>
            <w:r>
              <w:rPr>
                <w:rFonts w:ascii="Arial" w:cs="Arial" w:eastAsia="Arial" w:hAnsi="Arial"/>
                <w:sz w:val="18"/>
                <w:szCs w:val="18"/>
                <w:b w:val="1"/>
                <w:bCs w:val="1"/>
                <w:color w:val="auto"/>
              </w:rPr>
              <w:t xml:space="preserve">185,526 </w:t>
            </w:r>
            <w:r>
              <w:rPr>
                <w:rFonts w:ascii="Arial" w:cs="Arial" w:eastAsia="Arial" w:hAnsi="Arial"/>
                <w:sz w:val="29"/>
                <w:szCs w:val="29"/>
                <w:b w:val="1"/>
                <w:bCs w:val="1"/>
                <w:color w:val="auto"/>
                <w:vertAlign w:val="superscript"/>
              </w:rPr>
              <w:t>(1)</w:t>
            </w: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81"/>
              </w:rPr>
              <w:t>10</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270"/>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4"/>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81"/>
              </w:rPr>
              <w:t>11</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307"/>
        </w:trPr>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gridSpan w:val="2"/>
          </w:tcPr>
          <w:p>
            <w:pPr>
              <w:ind w:left="80"/>
              <w:spacing w:after="0" w:line="301" w:lineRule="exact"/>
              <w:rPr>
                <w:sz w:val="20"/>
                <w:szCs w:val="20"/>
                <w:color w:val="auto"/>
              </w:rPr>
            </w:pPr>
            <w:r>
              <w:rPr>
                <w:rFonts w:ascii="Arial" w:cs="Arial" w:eastAsia="Arial" w:hAnsi="Arial"/>
                <w:sz w:val="18"/>
                <w:szCs w:val="18"/>
                <w:b w:val="1"/>
                <w:bCs w:val="1"/>
                <w:color w:val="auto"/>
                <w:w w:val="94"/>
              </w:rPr>
              <w:t xml:space="preserve">0.5% </w:t>
            </w:r>
            <w:r>
              <w:rPr>
                <w:rFonts w:ascii="Arial" w:cs="Arial" w:eastAsia="Arial" w:hAnsi="Arial"/>
                <w:sz w:val="29"/>
                <w:szCs w:val="29"/>
                <w:b w:val="1"/>
                <w:bCs w:val="1"/>
                <w:color w:val="auto"/>
                <w:w w:val="94"/>
                <w:vertAlign w:val="superscript"/>
              </w:rPr>
              <w:t>(2)</w:t>
            </w:r>
          </w:p>
        </w:tc>
        <w:tc>
          <w:tcPr>
            <w:tcW w:w="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540" w:type="dxa"/>
            <w:vAlign w:val="bottom"/>
          </w:tcPr>
          <w:p>
            <w:pPr>
              <w:jc w:val="center"/>
              <w:ind w:left="200"/>
              <w:spacing w:after="0"/>
              <w:rPr>
                <w:sz w:val="20"/>
                <w:szCs w:val="20"/>
                <w:color w:val="auto"/>
              </w:rPr>
            </w:pPr>
            <w:r>
              <w:rPr>
                <w:rFonts w:ascii="Arial" w:cs="Arial" w:eastAsia="Arial" w:hAnsi="Arial"/>
                <w:sz w:val="22"/>
                <w:szCs w:val="22"/>
                <w:b w:val="1"/>
                <w:bCs w:val="1"/>
                <w:color w:val="auto"/>
                <w:w w:val="81"/>
              </w:rPr>
              <w:t>12</w:t>
            </w:r>
          </w:p>
        </w:tc>
        <w:tc>
          <w:tcPr>
            <w:tcW w:w="300" w:type="dxa"/>
            <w:vAlign w:val="bottom"/>
            <w:tcBorders>
              <w:right w:val="single" w:sz="8" w:color="auto"/>
            </w:tcBorders>
          </w:tcPr>
          <w:p>
            <w:pPr>
              <w:spacing w:after="0"/>
              <w:rPr>
                <w:sz w:val="24"/>
                <w:szCs w:val="24"/>
                <w:color w:val="auto"/>
              </w:rPr>
            </w:pPr>
          </w:p>
        </w:tc>
        <w:tc>
          <w:tcPr>
            <w:tcW w:w="1040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67"/>
        </w:trPr>
        <w:tc>
          <w:tcPr>
            <w:tcW w:w="540" w:type="dxa"/>
            <w:vAlign w:val="bottom"/>
            <w:tcBorders>
              <w:bottom w:val="single" w:sz="8" w:color="auto"/>
            </w:tcBorders>
          </w:tcPr>
          <w:p>
            <w:pPr>
              <w:spacing w:after="0"/>
              <w:rPr>
                <w:sz w:val="23"/>
                <w:szCs w:val="23"/>
                <w:color w:val="auto"/>
              </w:rPr>
            </w:pPr>
          </w:p>
        </w:tc>
        <w:tc>
          <w:tcPr>
            <w:tcW w:w="300" w:type="dxa"/>
            <w:vAlign w:val="bottom"/>
            <w:tcBorders>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OO</w:t>
            </w:r>
          </w:p>
        </w:tc>
        <w:tc>
          <w:tcPr>
            <w:tcW w:w="3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88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00" w:right="140" w:hanging="492"/>
        <w:spacing w:after="0" w:line="194" w:lineRule="auto"/>
        <w:tabs>
          <w:tab w:leader="none" w:pos="50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The shares of Common Stock of the Issuer are held of record by Vivo Opportunity Fund, L.P. Vivo Opportunity, LLC is the general partner of Vivo Opportunity Fund, L.P.</w:t>
      </w:r>
    </w:p>
    <w:p>
      <w:pPr>
        <w:spacing w:after="0" w:line="188" w:lineRule="exact"/>
        <w:rPr>
          <w:rFonts w:ascii="Arial" w:cs="Arial" w:eastAsia="Arial" w:hAnsi="Arial"/>
          <w:sz w:val="30"/>
          <w:szCs w:val="30"/>
          <w:color w:val="auto"/>
          <w:vertAlign w:val="superscript"/>
        </w:rPr>
      </w:pPr>
    </w:p>
    <w:p>
      <w:pPr>
        <w:ind w:left="500" w:right="200" w:hanging="492"/>
        <w:spacing w:after="0" w:line="209" w:lineRule="auto"/>
        <w:tabs>
          <w:tab w:leader="none" w:pos="50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Based on 36,486,553 shares of Common Stock issued and outstanding (including the full exercise of the underwriters’ over-allotment option) after the completion of the initial public offering, as disclosed in the prospectus filed by the Issuer on July 17, 2020, pursuant to Rule 424(b)(4), which forms part of the Issuer’s Registration Statement on Form S-1 (File No. 333-239490).</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 (a)</w:t>
      </w:r>
      <w:r>
        <w:rPr>
          <w:sz w:val="20"/>
          <w:szCs w:val="20"/>
          <w:color w:val="auto"/>
        </w:rPr>
        <w:tab/>
      </w:r>
      <w:r>
        <w:rPr>
          <w:rFonts w:ascii="Arial" w:cs="Arial" w:eastAsia="Arial" w:hAnsi="Arial"/>
          <w:sz w:val="18"/>
          <w:szCs w:val="18"/>
          <w:b w:val="1"/>
          <w:bCs w:val="1"/>
          <w:color w:val="auto"/>
        </w:rPr>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ALX Oncology Holdings Inc.</w:t>
      </w:r>
    </w:p>
    <w:p>
      <w:pPr>
        <w:spacing w:after="0" w:line="221" w:lineRule="exact"/>
        <w:rPr>
          <w:sz w:val="20"/>
          <w:szCs w:val="20"/>
          <w:color w:val="auto"/>
        </w:rPr>
      </w:pPr>
    </w:p>
    <w:p>
      <w:pPr>
        <w:ind w:left="1140" w:hanging="484"/>
        <w:spacing w:after="0"/>
        <w:tabs>
          <w:tab w:leader="none" w:pos="11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FFICES</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866 Malcolm Road, Suite 100</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Burlingame, California 94010</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2. (a)</w:t>
      </w:r>
      <w:r>
        <w:rPr>
          <w:sz w:val="20"/>
          <w:szCs w:val="20"/>
          <w:color w:val="auto"/>
        </w:rPr>
        <w:tab/>
      </w:r>
      <w:r>
        <w:rPr>
          <w:rFonts w:ascii="Arial" w:cs="Arial" w:eastAsia="Arial" w:hAnsi="Arial"/>
          <w:sz w:val="18"/>
          <w:szCs w:val="18"/>
          <w:b w:val="1"/>
          <w:bCs w:val="1"/>
          <w:color w:val="auto"/>
        </w:rPr>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w:t>
      </w:r>
      <w:r>
        <w:rPr>
          <w:rFonts w:ascii="Arial" w:cs="Arial" w:eastAsia="Arial" w:hAnsi="Arial"/>
          <w:sz w:val="18"/>
          <w:szCs w:val="18"/>
          <w:b w:val="1"/>
          <w:bCs w:val="1"/>
          <w:color w:val="auto"/>
        </w:rPr>
        <w:t>:</w:t>
      </w:r>
    </w:p>
    <w:p>
      <w:pPr>
        <w:spacing w:after="0" w:line="229" w:lineRule="exact"/>
        <w:rPr>
          <w:sz w:val="20"/>
          <w:szCs w:val="20"/>
          <w:color w:val="auto"/>
        </w:rPr>
      </w:pPr>
    </w:p>
    <w:p>
      <w:pPr>
        <w:ind w:right="20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This Schedule 13G is filed jointly by Vivo Capital IX, LLC and Vivo Opportunity, LLC. Vivo Capital IX, LLC and Vivo Opportunity, LLC have entered into a Joint Filing Agreement, a copy of which is filed with this Schedule 13G as </w:t>
      </w:r>
      <w:hyperlink w:anchor="page8">
        <w:r>
          <w:rPr>
            <w:rFonts w:ascii="Arial" w:cs="Arial" w:eastAsia="Arial" w:hAnsi="Arial"/>
            <w:sz w:val="18"/>
            <w:szCs w:val="18"/>
            <w:u w:val="single" w:color="auto"/>
            <w:color w:val="0000EE"/>
          </w:rPr>
          <w:t>Exhibit 99.1</w:t>
        </w:r>
      </w:hyperlink>
      <w:r>
        <w:rPr>
          <w:rFonts w:ascii="Arial" w:cs="Arial" w:eastAsia="Arial" w:hAnsi="Arial"/>
          <w:sz w:val="18"/>
          <w:szCs w:val="18"/>
          <w:color w:val="auto"/>
        </w:rPr>
        <w:t>, pursuant to which they have agreed to file this Schedule 13G jointly in accordance with the provisions of Rule 13d-1(k) of the Securities Exchange Act of 1934, as amended.</w:t>
      </w:r>
    </w:p>
    <w:p>
      <w:pPr>
        <w:spacing w:after="0" w:line="180" w:lineRule="exact"/>
        <w:rPr>
          <w:sz w:val="20"/>
          <w:szCs w:val="20"/>
          <w:color w:val="auto"/>
        </w:rPr>
      </w:pPr>
    </w:p>
    <w:p>
      <w:pPr>
        <w:ind w:left="1140" w:hanging="484"/>
        <w:spacing w:after="0"/>
        <w:tabs>
          <w:tab w:leader="none" w:pos="11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 OR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ONE</w:t>
      </w:r>
      <w:r>
        <w:rPr>
          <w:rFonts w:ascii="Arial" w:cs="Arial" w:eastAsia="Arial" w:hAnsi="Arial"/>
          <w:sz w:val="18"/>
          <w:szCs w:val="18"/>
          <w:b w:val="1"/>
          <w:bCs w:val="1"/>
          <w:color w:val="auto"/>
        </w:rPr>
        <w:t>, R</w:t>
      </w:r>
      <w:r>
        <w:rPr>
          <w:rFonts w:ascii="Arial" w:cs="Arial" w:eastAsia="Arial" w:hAnsi="Arial"/>
          <w:sz w:val="12"/>
          <w:szCs w:val="12"/>
          <w:b w:val="1"/>
          <w:bCs w:val="1"/>
          <w:color w:val="auto"/>
        </w:rPr>
        <w:t>ESIDENCE</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192 Lytton Avenue, Palo Alto, CA 94301</w:t>
      </w:r>
    </w:p>
    <w:p>
      <w:pPr>
        <w:spacing w:after="0" w:line="221" w:lineRule="exact"/>
        <w:rPr>
          <w:sz w:val="20"/>
          <w:szCs w:val="20"/>
          <w:color w:val="auto"/>
        </w:rPr>
      </w:pPr>
    </w:p>
    <w:p>
      <w:pPr>
        <w:ind w:left="1140" w:hanging="484"/>
        <w:spacing w:after="0"/>
        <w:tabs>
          <w:tab w:leader="none" w:pos="11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Vivo Capital IX, LLC is a Delaware limited liability company.</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Vivo Opportunity, LLC is a Delaware limited liability company.</w:t>
      </w:r>
    </w:p>
    <w:p>
      <w:pPr>
        <w:spacing w:after="0" w:line="221" w:lineRule="exact"/>
        <w:rPr>
          <w:sz w:val="20"/>
          <w:szCs w:val="20"/>
          <w:color w:val="auto"/>
        </w:rPr>
      </w:pPr>
    </w:p>
    <w:p>
      <w:pPr>
        <w:ind w:left="1140" w:hanging="484"/>
        <w:spacing w:after="0"/>
        <w:tabs>
          <w:tab w:leader="none" w:pos="11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Common stock, par value $0.001 per share</w:t>
      </w:r>
    </w:p>
    <w:p>
      <w:pPr>
        <w:spacing w:after="0" w:line="221" w:lineRule="exact"/>
        <w:rPr>
          <w:sz w:val="20"/>
          <w:szCs w:val="20"/>
          <w:color w:val="auto"/>
        </w:rPr>
      </w:pPr>
    </w:p>
    <w:p>
      <w:pPr>
        <w:ind w:left="1140" w:right="8840" w:hanging="484"/>
        <w:spacing w:after="0" w:line="530" w:lineRule="auto"/>
        <w:tabs>
          <w:tab w:leader="none" w:pos="114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CUSIP N</w:t>
      </w:r>
      <w:r>
        <w:rPr>
          <w:rFonts w:ascii="Arial" w:cs="Arial" w:eastAsia="Arial" w:hAnsi="Arial"/>
          <w:sz w:val="11"/>
          <w:szCs w:val="11"/>
          <w:b w:val="1"/>
          <w:bCs w:val="1"/>
          <w:color w:val="auto"/>
        </w:rPr>
        <w:t>UMBER</w:t>
      </w:r>
      <w:r>
        <w:rPr>
          <w:rFonts w:ascii="Arial" w:cs="Arial" w:eastAsia="Arial" w:hAnsi="Arial"/>
          <w:sz w:val="17"/>
          <w:szCs w:val="17"/>
          <w:b w:val="1"/>
          <w:bCs w:val="1"/>
          <w:color w:val="auto"/>
        </w:rPr>
        <w:t xml:space="preserve">: </w:t>
      </w:r>
      <w:r>
        <w:rPr>
          <w:rFonts w:ascii="Arial" w:cs="Arial" w:eastAsia="Arial" w:hAnsi="Arial"/>
          <w:sz w:val="17"/>
          <w:szCs w:val="17"/>
          <w:color w:val="auto"/>
        </w:rPr>
        <w:t>00166B105</w:t>
      </w:r>
    </w:p>
    <w:p>
      <w:pPr>
        <w:spacing w:after="0" w:line="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3.</w:t>
      </w:r>
      <w:r>
        <w:rPr>
          <w:sz w:val="20"/>
          <w:szCs w:val="20"/>
          <w:color w:val="auto"/>
        </w:rPr>
        <w:tab/>
      </w:r>
      <w:r>
        <w:rPr>
          <w:rFonts w:ascii="Arial" w:cs="Arial" w:eastAsia="Arial" w:hAnsi="Arial"/>
          <w:sz w:val="17"/>
          <w:szCs w:val="17"/>
          <w:b w:val="1"/>
          <w:bCs w:val="1"/>
          <w:color w:val="auto"/>
        </w:rPr>
        <w:t>I</w:t>
      </w:r>
      <w:r>
        <w:rPr>
          <w:rFonts w:ascii="Arial" w:cs="Arial" w:eastAsia="Arial" w:hAnsi="Arial"/>
          <w:sz w:val="11"/>
          <w:szCs w:val="11"/>
          <w:b w:val="1"/>
          <w:bCs w:val="1"/>
          <w:color w:val="auto"/>
        </w:rPr>
        <w:t>F</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HIS</w:t>
      </w:r>
      <w:r>
        <w:rPr>
          <w:rFonts w:ascii="Arial" w:cs="Arial" w:eastAsia="Arial" w:hAnsi="Arial"/>
          <w:sz w:val="17"/>
          <w:szCs w:val="17"/>
          <w:b w:val="1"/>
          <w:bCs w:val="1"/>
          <w:color w:val="auto"/>
        </w:rPr>
        <w:t xml:space="preserve"> S</w:t>
      </w:r>
      <w:r>
        <w:rPr>
          <w:rFonts w:ascii="Arial" w:cs="Arial" w:eastAsia="Arial" w:hAnsi="Arial"/>
          <w:sz w:val="11"/>
          <w:szCs w:val="11"/>
          <w:b w:val="1"/>
          <w:bCs w:val="1"/>
          <w:color w:val="auto"/>
        </w:rPr>
        <w:t>TATEMENT IS</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ILED</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URSUANT TO</w:t>
      </w:r>
      <w:r>
        <w:rPr>
          <w:rFonts w:ascii="Arial" w:cs="Arial" w:eastAsia="Arial" w:hAnsi="Arial"/>
          <w:sz w:val="17"/>
          <w:szCs w:val="17"/>
          <w:b w:val="1"/>
          <w:bCs w:val="1"/>
          <w:color w:val="auto"/>
        </w:rPr>
        <w:t xml:space="preserve"> §§ 240.13d-1(b), </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240.13d-2(b) </w:t>
      </w:r>
      <w:r>
        <w:rPr>
          <w:rFonts w:ascii="Arial" w:cs="Arial" w:eastAsia="Arial" w:hAnsi="Arial"/>
          <w:sz w:val="11"/>
          <w:szCs w:val="11"/>
          <w:b w:val="1"/>
          <w:bCs w:val="1"/>
          <w:color w:val="auto"/>
        </w:rPr>
        <w:t>OR</w:t>
      </w:r>
      <w:r>
        <w:rPr>
          <w:rFonts w:ascii="Arial" w:cs="Arial" w:eastAsia="Arial" w:hAnsi="Arial"/>
          <w:sz w:val="17"/>
          <w:szCs w:val="17"/>
          <w:b w:val="1"/>
          <w:bCs w:val="1"/>
          <w:color w:val="auto"/>
        </w:rPr>
        <w:t xml:space="preserve"> (c), C</w:t>
      </w:r>
      <w:r>
        <w:rPr>
          <w:rFonts w:ascii="Arial" w:cs="Arial" w:eastAsia="Arial" w:hAnsi="Arial"/>
          <w:sz w:val="11"/>
          <w:szCs w:val="11"/>
          <w:b w:val="1"/>
          <w:bCs w:val="1"/>
          <w:color w:val="auto"/>
        </w:rPr>
        <w:t>HECK</w:t>
      </w:r>
      <w:r>
        <w:rPr>
          <w:rFonts w:ascii="Arial" w:cs="Arial" w:eastAsia="Arial" w:hAnsi="Arial"/>
          <w:sz w:val="17"/>
          <w:szCs w:val="17"/>
          <w:b w:val="1"/>
          <w:bCs w:val="1"/>
          <w:color w:val="auto"/>
        </w:rPr>
        <w:t xml:space="preserve"> W</w:t>
      </w:r>
      <w:r>
        <w:rPr>
          <w:rFonts w:ascii="Arial" w:cs="Arial" w:eastAsia="Arial" w:hAnsi="Arial"/>
          <w:sz w:val="11"/>
          <w:szCs w:val="11"/>
          <w:b w:val="1"/>
          <w:bCs w:val="1"/>
          <w:color w:val="auto"/>
        </w:rPr>
        <w:t>HETHER THE</w:t>
      </w:r>
      <w:r>
        <w:rPr>
          <w:rFonts w:ascii="Arial" w:cs="Arial" w:eastAsia="Arial" w:hAnsi="Arial"/>
          <w:sz w:val="17"/>
          <w:szCs w:val="17"/>
          <w:b w:val="1"/>
          <w:bCs w:val="1"/>
          <w:color w:val="auto"/>
        </w:rPr>
        <w:t xml:space="preserve"> P</w:t>
      </w:r>
      <w:r>
        <w:rPr>
          <w:rFonts w:ascii="Arial" w:cs="Arial" w:eastAsia="Arial" w:hAnsi="Arial"/>
          <w:sz w:val="11"/>
          <w:szCs w:val="11"/>
          <w:b w:val="1"/>
          <w:bCs w:val="1"/>
          <w:color w:val="auto"/>
        </w:rPr>
        <w:t>ERSON</w:t>
      </w:r>
      <w:r>
        <w:rPr>
          <w:rFonts w:ascii="Arial" w:cs="Arial" w:eastAsia="Arial" w:hAnsi="Arial"/>
          <w:sz w:val="17"/>
          <w:szCs w:val="17"/>
          <w:b w:val="1"/>
          <w:bCs w:val="1"/>
          <w:color w:val="auto"/>
        </w:rPr>
        <w:t xml:space="preserve"> F</w:t>
      </w:r>
      <w:r>
        <w:rPr>
          <w:rFonts w:ascii="Arial" w:cs="Arial" w:eastAsia="Arial" w:hAnsi="Arial"/>
          <w:sz w:val="11"/>
          <w:szCs w:val="11"/>
          <w:b w:val="1"/>
          <w:bCs w:val="1"/>
          <w:color w:val="auto"/>
        </w:rPr>
        <w:t>ILING IS A</w:t>
      </w:r>
      <w:r>
        <w:rPr>
          <w:rFonts w:ascii="Arial" w:cs="Arial" w:eastAsia="Arial" w:hAnsi="Arial"/>
          <w:sz w:val="17"/>
          <w:szCs w:val="17"/>
          <w:b w:val="1"/>
          <w:bCs w:val="1"/>
          <w:color w:val="auto"/>
        </w:rPr>
        <w:t>:</w:t>
      </w:r>
    </w:p>
    <w:p>
      <w:pPr>
        <w:spacing w:after="0" w:line="196" w:lineRule="exact"/>
        <w:rPr>
          <w:sz w:val="20"/>
          <w:szCs w:val="20"/>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57"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9"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9"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9"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9"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9"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240.13d-1(b)(l)(ii)(G);</w:t>
      </w:r>
    </w:p>
    <w:p>
      <w:pPr>
        <w:spacing w:after="0" w:line="9"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9" w:lineRule="exact"/>
        <w:rPr>
          <w:rFonts w:ascii="Arial" w:cs="Arial" w:eastAsia="Arial" w:hAnsi="Arial"/>
          <w:sz w:val="18"/>
          <w:szCs w:val="18"/>
          <w:color w:val="auto"/>
        </w:rPr>
      </w:pPr>
    </w:p>
    <w:p>
      <w:pPr>
        <w:ind w:left="1140" w:hanging="484"/>
        <w:spacing w:after="0" w:line="184" w:lineRule="exact"/>
        <w:tabs>
          <w:tab w:leader="none" w:pos="1140" w:val="left"/>
        </w:tabs>
        <w:numPr>
          <w:ilvl w:val="0"/>
          <w:numId w:val="1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w:t>
      </w:r>
    </w:p>
    <w:p>
      <w:pPr>
        <w:spacing w:after="0" w:line="32" w:lineRule="exact"/>
        <w:rPr>
          <w:rFonts w:ascii="Arial" w:cs="Arial" w:eastAsia="Arial" w:hAnsi="Arial"/>
          <w:sz w:val="16"/>
          <w:szCs w:val="16"/>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9" w:lineRule="exact"/>
        <w:rPr>
          <w:rFonts w:ascii="Arial" w:cs="Arial" w:eastAsia="Arial" w:hAnsi="Arial"/>
          <w:sz w:val="18"/>
          <w:szCs w:val="18"/>
          <w:color w:val="auto"/>
        </w:rPr>
      </w:pPr>
    </w:p>
    <w:p>
      <w:pPr>
        <w:ind w:left="1140" w:hanging="484"/>
        <w:spacing w:after="0" w:line="207" w:lineRule="exact"/>
        <w:tabs>
          <w:tab w:leader="none" w:pos="114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240.13d-1(b)(l)(ii)(K).</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 ________________</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 w:name="page5"/>
    <w:bookmarkEnd w:id="4"/>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4.</w:t>
        <w:tab/>
        <w:t>O</w:t>
      </w:r>
      <w:r>
        <w:rPr>
          <w:rFonts w:ascii="Arial" w:cs="Arial" w:eastAsia="Arial" w:hAnsi="Arial"/>
          <w:sz w:val="12"/>
          <w:szCs w:val="12"/>
          <w:b w:val="1"/>
          <w:bCs w:val="1"/>
          <w:color w:val="auto"/>
        </w:rPr>
        <w:t>WNERSHIP</w:t>
      </w:r>
      <w:r>
        <w:rPr>
          <w:rFonts w:ascii="Arial" w:cs="Arial" w:eastAsia="Arial" w:hAnsi="Arial"/>
          <w:sz w:val="18"/>
          <w:szCs w:val="18"/>
          <w:b w:val="1"/>
          <w:bCs w:val="1"/>
          <w:color w:val="auto"/>
        </w:rPr>
        <w:t>.</w:t>
      </w:r>
    </w:p>
    <w:p>
      <w:pPr>
        <w:spacing w:after="0" w:line="225" w:lineRule="exact"/>
        <w:rPr>
          <w:sz w:val="20"/>
          <w:szCs w:val="20"/>
          <w:color w:val="auto"/>
        </w:rPr>
      </w:pPr>
    </w:p>
    <w:p>
      <w:pPr>
        <w:ind w:left="1220" w:hanging="402"/>
        <w:spacing w:after="0"/>
        <w:tabs>
          <w:tab w:leader="none" w:pos="1220" w:val="left"/>
        </w:tabs>
        <w:numPr>
          <w:ilvl w:val="1"/>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MOUNT BENEFICIALLY OWNED</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Vivo Capital IX, LLC</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4,034,522 shares of Common Stock are held of record by Vivo Capital Fund IX, L.P. Vivo Capital IX, LLC is the general partner of Vivo Capital Fund IX, L.P. The voting members of Vivo Capital IX, LLC are Frank Kung, Edgar Engleman, Albert Cha, Shan Fu and Chen Yu, none of whom has individual voting or investment power with respect to these shares and each of whom disclaims beneficial ownership of such shares.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(2) Vivo Opportunity, LLC</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185,526 shares of Common Stock are held of record by Vivo Opportunity Fund, L.P. Vivo Opportunity, LLC is the general partner of Vivo Opportunity Fund, L.P. The voting members of Vivo Opportunity, LLC are Albert Cha, Gaurav Aggarwal, Shan Fu, Frank Kung and Michael Chang, none of whom has individual voting or investment power with respect to these shares and each of whom disclaims beneficial ownership of such shares.</w:t>
      </w:r>
    </w:p>
    <w:p>
      <w:pPr>
        <w:spacing w:after="0" w:line="145" w:lineRule="exact"/>
        <w:rPr>
          <w:sz w:val="20"/>
          <w:szCs w:val="20"/>
          <w:color w:val="auto"/>
        </w:rPr>
      </w:pPr>
    </w:p>
    <w:p>
      <w:pPr>
        <w:ind w:left="1220" w:hanging="402"/>
        <w:spacing w:after="0"/>
        <w:tabs>
          <w:tab w:leader="none" w:pos="12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w:t>
      </w:r>
      <w:r>
        <w:rPr>
          <w:rFonts w:ascii="Arial" w:cs="Arial" w:eastAsia="Arial" w:hAnsi="Arial"/>
          <w:sz w:val="18"/>
          <w:szCs w:val="18"/>
          <w:b w:val="1"/>
          <w:bCs w:val="1"/>
          <w:color w:val="auto"/>
        </w:rPr>
        <w:t>:</w:t>
      </w:r>
    </w:p>
    <w:p>
      <w:pPr>
        <w:spacing w:after="0" w:line="22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Vivo Capital IX, LLC: 11.1%</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Vivo Opportunity, LLC:0.5%</w:t>
      </w:r>
    </w:p>
    <w:p>
      <w:pPr>
        <w:spacing w:after="0" w:line="221" w:lineRule="exact"/>
        <w:rPr>
          <w:sz w:val="20"/>
          <w:szCs w:val="20"/>
          <w:color w:val="auto"/>
        </w:rPr>
      </w:pPr>
    </w:p>
    <w:p>
      <w:pPr>
        <w:ind w:left="1220" w:hanging="402"/>
        <w:spacing w:after="0"/>
        <w:tabs>
          <w:tab w:leader="none" w:pos="12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 SHARES AS TO WHICH SUCH PERSON HAS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620" w:right="6740" w:hanging="397"/>
        <w:spacing w:after="0" w:line="530" w:lineRule="auto"/>
        <w:tabs>
          <w:tab w:leader="none" w:pos="1612" w:val="left"/>
        </w:tabs>
        <w:numPr>
          <w:ilvl w:val="1"/>
          <w:numId w:val="16"/>
        </w:numPr>
        <w:rPr>
          <w:rFonts w:ascii="Arial" w:cs="Arial" w:eastAsia="Arial" w:hAnsi="Arial"/>
          <w:sz w:val="17"/>
          <w:szCs w:val="17"/>
          <w:color w:val="auto"/>
        </w:rPr>
      </w:pPr>
      <w:r>
        <w:rPr>
          <w:rFonts w:ascii="Arial" w:cs="Arial" w:eastAsia="Arial" w:hAnsi="Arial"/>
          <w:sz w:val="17"/>
          <w:szCs w:val="17"/>
          <w:color w:val="auto"/>
        </w:rPr>
        <w:t>Sole power to vote or to direct the vote: Vivo Capital IX, LLC: 4,034,522 Vivo Opportunity, LLC: 185,526</w:t>
      </w:r>
    </w:p>
    <w:p>
      <w:pPr>
        <w:ind w:left="1620" w:hanging="397"/>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620" w:right="5820" w:hanging="397"/>
        <w:spacing w:after="0" w:line="500" w:lineRule="auto"/>
        <w:tabs>
          <w:tab w:leader="none" w:pos="16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Vivo Capital IX, LLC: 4,034,522</w:t>
      </w:r>
    </w:p>
    <w:p>
      <w:pPr>
        <w:spacing w:after="0" w:line="1"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Vivo Opportunity, LLC: 185,526</w:t>
      </w:r>
    </w:p>
    <w:p>
      <w:pPr>
        <w:spacing w:after="0" w:line="225" w:lineRule="exact"/>
        <w:rPr>
          <w:rFonts w:ascii="Arial" w:cs="Arial" w:eastAsia="Arial" w:hAnsi="Arial"/>
          <w:sz w:val="18"/>
          <w:szCs w:val="18"/>
          <w:color w:val="auto"/>
        </w:rPr>
      </w:pPr>
    </w:p>
    <w:p>
      <w:pPr>
        <w:ind w:left="1620" w:hanging="397"/>
        <w:spacing w:after="0"/>
        <w:tabs>
          <w:tab w:leader="none" w:pos="1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dispose of or to direct the disposition of: 0</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5.</w:t>
        <w:tab/>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ESS OF A</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6.</w:t>
        <w:tab/>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ORE THAN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EHALF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NOTHER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82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7.</w:t>
        <w:tab/>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UBSIDIARY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HICH</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CQUIRED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EPORTED ON BY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ARENT</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OLDING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8.</w:t>
        <w:tab/>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EMBERS OF THE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9.</w:t>
        <w:tab/>
        <w:t>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ISSOLUTION OF</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10.</w:t>
        <w:tab/>
        <w:t>C</w:t>
      </w:r>
      <w:r>
        <w:rPr>
          <w:rFonts w:ascii="Arial" w:cs="Arial" w:eastAsia="Arial" w:hAnsi="Arial"/>
          <w:sz w:val="12"/>
          <w:szCs w:val="12"/>
          <w:b w:val="1"/>
          <w:bCs w:val="1"/>
          <w:color w:val="auto"/>
        </w:rPr>
        <w:t>ERTIFICATIONS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60" w:firstLine="81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6" w:name="page7"/>
    <w:bookmarkEnd w:id="6"/>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Capital IX,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July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Opportunity,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July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4"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accordance with Rule 13d-1(k) under the Securities Exchange Act of 1934, as amended, the persons named below agree to the joint filing on behalf of each of them of a statement on Schedule 13G (including amendments thereto) with respect to common stock, par value $0.001 per share, of ALX Oncology Holdings Inc., and further agree that this Joint Filing Agreement be included as an Exhibit to such joint filing.</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Capital IX,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July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Opportunity,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July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lowerLetter"/>
      <w:start w:val="2"/>
    </w:lvl>
  </w:abstractNum>
  <w:abstractNum w:abstractNumId="7">
    <w:nsid w:val="66EF438D"/>
    <w:multiLevelType w:val="hybridMultilevel"/>
    <w:lvl w:ilvl="0">
      <w:lvlJc w:val="left"/>
      <w:lvlText w:val="(%1)"/>
      <w:numFmt w:val="lowerLetter"/>
      <w:start w:val="2"/>
    </w:lvl>
  </w:abstractNum>
  <w:abstractNum w:abstractNumId="8">
    <w:nsid w:val="140E0F76"/>
    <w:multiLevelType w:val="hybridMultilevel"/>
    <w:lvl w:ilvl="0">
      <w:lvlJc w:val="left"/>
      <w:lvlText w:val="(%1)"/>
      <w:numFmt w:val="lowerLetter"/>
      <w:start w:val="3"/>
    </w:lvl>
  </w:abstractNum>
  <w:abstractNum w:abstractNumId="9">
    <w:nsid w:val="3352255A"/>
    <w:multiLevelType w:val="hybridMultilevel"/>
    <w:lvl w:ilvl="0">
      <w:lvlJc w:val="left"/>
      <w:lvlText w:val="(%1)"/>
      <w:numFmt w:val="lowerLetter"/>
      <w:start w:val="4"/>
    </w:lvl>
  </w:abstractNum>
  <w:abstractNum w:abstractNumId="10">
    <w:nsid w:val="109CF92E"/>
    <w:multiLevelType w:val="hybridMultilevel"/>
    <w:lvl w:ilvl="0">
      <w:lvlJc w:val="left"/>
      <w:lvlText w:val="(%1)"/>
      <w:numFmt w:val="lowerLetter"/>
      <w:start w:val="5"/>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Letter"/>
      <w:start w:val="2"/>
    </w:lvl>
  </w:abstractNum>
  <w:abstractNum w:abstractNumId="15">
    <w:nsid w:val="6B68079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2020-07-29T15:36:24Z</dcterms:created>
  <dcterms:modified xsi:type="dcterms:W3CDTF">2020-07-29T15:36:24Z</dcterms:modified>
</cp:coreProperties>
</file>