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ALX ONCOLOGY HOLDINGS INC.</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191135</wp:posOffset>
            </wp:positionV>
            <wp:extent cx="5709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4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80" w:hanging="319"/>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80" w:hanging="319"/>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80" w:hanging="319"/>
        <w:spacing w:after="0"/>
        <w:tabs>
          <w:tab w:leader="none" w:pos="88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454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0" w:lineRule="exact"/>
        <w:rPr>
          <w:sz w:val="20"/>
          <w:szCs w:val="20"/>
          <w:color w:val="auto"/>
        </w:rPr>
      </w:pPr>
    </w:p>
    <w:p>
      <w:pPr>
        <w:ind w:left="680" w:hanging="561"/>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ame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Redmile Group, LLC</w:t>
      </w:r>
    </w:p>
    <w:p>
      <w:pPr>
        <w:spacing w:after="0" w:line="283" w:lineRule="exact"/>
        <w:rPr>
          <w:sz w:val="20"/>
          <w:szCs w:val="20"/>
          <w:color w:val="auto"/>
        </w:rPr>
      </w:pPr>
    </w:p>
    <w:p>
      <w:pPr>
        <w:ind w:left="680" w:hanging="561"/>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ppropriate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ox if 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ember of 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8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p>
      <w:pPr>
        <w:spacing w:after="0" w:line="70" w:lineRule="exact"/>
        <w:rPr>
          <w:sz w:val="20"/>
          <w:szCs w:val="20"/>
          <w:color w:val="auto"/>
        </w:rPr>
      </w:pPr>
    </w:p>
    <w:p>
      <w:pPr>
        <w:ind w:left="68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b</w:t>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p>
      <w:pPr>
        <w:spacing w:after="0" w:line="43" w:lineRule="exact"/>
        <w:rPr>
          <w:sz w:val="20"/>
          <w:szCs w:val="20"/>
          <w:color w:val="auto"/>
        </w:rPr>
      </w:pPr>
    </w:p>
    <w:p>
      <w:pPr>
        <w:ind w:left="680" w:hanging="561"/>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w:t>
      </w:r>
      <w:r>
        <w:rPr>
          <w:rFonts w:ascii="Times New Roman" w:cs="Times New Roman" w:eastAsia="Times New Roman" w:hAnsi="Times New Roman"/>
          <w:sz w:val="12"/>
          <w:szCs w:val="12"/>
          <w:color w:val="auto"/>
        </w:rPr>
        <w:t>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nly</w:t>
      </w:r>
    </w:p>
    <w:p>
      <w:pPr>
        <w:spacing w:after="0" w:line="279" w:lineRule="exact"/>
        <w:rPr>
          <w:sz w:val="20"/>
          <w:szCs w:val="20"/>
          <w:color w:val="auto"/>
        </w:rPr>
      </w:pPr>
    </w:p>
    <w:p>
      <w:pPr>
        <w:ind w:left="680" w:hanging="561"/>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itizenship 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lace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rganization</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8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171"/>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60" w:type="dxa"/>
            <w:vAlign w:val="bottom"/>
            <w:tcBorders>
              <w:right w:val="single" w:sz="8" w:color="auto"/>
            </w:tcBorders>
          </w:tcPr>
          <w:p>
            <w:pPr>
              <w:spacing w:after="0"/>
              <w:rPr>
                <w:sz w:val="18"/>
                <w:szCs w:val="18"/>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6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7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OWNED BY</w:t>
            </w:r>
          </w:p>
        </w:tc>
        <w:tc>
          <w:tcPr>
            <w:tcW w:w="560" w:type="dxa"/>
            <w:vAlign w:val="bottom"/>
            <w:tcBorders>
              <w:right w:val="single" w:sz="8" w:color="auto"/>
            </w:tcBorders>
          </w:tcPr>
          <w:p>
            <w:pPr>
              <w:jc w:val="right"/>
              <w:ind w:right="290"/>
              <w:spacing w:after="0" w:line="174" w:lineRule="exact"/>
              <w:rPr>
                <w:sz w:val="20"/>
                <w:szCs w:val="20"/>
                <w:color w:val="auto"/>
              </w:rPr>
            </w:pPr>
            <w:r>
              <w:rPr>
                <w:rFonts w:ascii="Times New Roman" w:cs="Times New Roman" w:eastAsia="Times New Roman" w:hAnsi="Times New Roman"/>
                <w:sz w:val="18"/>
                <w:szCs w:val="18"/>
                <w:b w:val="1"/>
                <w:bCs w:val="1"/>
                <w:color w:val="auto"/>
              </w:rPr>
              <w:t>6</w:t>
            </w:r>
          </w:p>
        </w:tc>
        <w:tc>
          <w:tcPr>
            <w:tcW w:w="896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60" w:type="dxa"/>
            <w:vAlign w:val="bottom"/>
            <w:tcBorders>
              <w:right w:val="single" w:sz="8" w:color="auto"/>
            </w:tcBorders>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60" w:type="dxa"/>
            <w:vAlign w:val="bottom"/>
            <w:tcBorders>
              <w:right w:val="single" w:sz="8" w:color="auto"/>
            </w:tcBorders>
          </w:tcPr>
          <w:p>
            <w:pPr>
              <w:spacing w:after="0"/>
              <w:rPr>
                <w:sz w:val="20"/>
                <w:szCs w:val="20"/>
                <w:color w:val="auto"/>
              </w:rPr>
            </w:pPr>
          </w:p>
        </w:tc>
        <w:tc>
          <w:tcPr>
            <w:tcW w:w="8960" w:type="dxa"/>
            <w:vAlign w:val="bottom"/>
          </w:tcPr>
          <w:p>
            <w:pPr>
              <w:ind w:left="1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4,909,264 </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60" w:type="dxa"/>
            <w:vAlign w:val="bottom"/>
            <w:tcBorders>
              <w:right w:val="single" w:sz="8" w:color="auto"/>
            </w:tcBorders>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7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41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573"/>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4,909,264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8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680" w:hanging="561"/>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 by</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ach</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4,909,264 </w:t>
      </w:r>
      <w:r>
        <w:rPr>
          <w:rFonts w:ascii="Times New Roman" w:cs="Times New Roman" w:eastAsia="Times New Roman" w:hAnsi="Times New Roman"/>
          <w:sz w:val="29"/>
          <w:szCs w:val="29"/>
          <w:b w:val="1"/>
          <w:bCs w:val="1"/>
          <w:color w:val="auto"/>
          <w:vertAlign w:val="superscript"/>
        </w:rPr>
        <w:t>(1)</w:t>
      </w:r>
    </w:p>
    <w:p>
      <w:pPr>
        <w:spacing w:after="0" w:line="193" w:lineRule="exact"/>
        <w:rPr>
          <w:sz w:val="20"/>
          <w:szCs w:val="20"/>
          <w:color w:val="auto"/>
        </w:rPr>
      </w:pPr>
    </w:p>
    <w:p>
      <w:pPr>
        <w:ind w:left="680" w:hanging="561"/>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if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 E</w:t>
      </w:r>
      <w:r>
        <w:rPr>
          <w:rFonts w:ascii="Times New Roman" w:cs="Times New Roman" w:eastAsia="Times New Roman" w:hAnsi="Times New Roman"/>
          <w:sz w:val="12"/>
          <w:szCs w:val="12"/>
          <w:color w:val="auto"/>
        </w:rPr>
        <w:t>xcludes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b w:val="1"/>
          <w:bCs w:val="1"/>
          <w:color w:val="auto"/>
        </w:rPr>
      </w:pPr>
    </w:p>
    <w:p>
      <w:pPr>
        <w:ind w:left="680" w:hanging="561"/>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ercent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lass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epresented by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9.6%</w:t>
      </w:r>
      <w:r>
        <w:rPr>
          <w:rFonts w:ascii="Times New Roman" w:cs="Times New Roman" w:eastAsia="Times New Roman" w:hAnsi="Times New Roman"/>
          <w:sz w:val="29"/>
          <w:szCs w:val="29"/>
          <w:b w:val="1"/>
          <w:bCs w:val="1"/>
          <w:color w:val="auto"/>
          <w:vertAlign w:val="superscript"/>
        </w:rPr>
        <w:t>(2)</w:t>
      </w:r>
    </w:p>
    <w:p>
      <w:pPr>
        <w:spacing w:after="0" w:line="193" w:lineRule="exact"/>
        <w:rPr>
          <w:sz w:val="20"/>
          <w:szCs w:val="20"/>
          <w:color w:val="auto"/>
        </w:rPr>
      </w:pPr>
    </w:p>
    <w:p>
      <w:pPr>
        <w:ind w:left="680" w:hanging="561"/>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ype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firstLine="8"/>
        <w:spacing w:after="0" w:line="261" w:lineRule="auto"/>
        <w:tabs>
          <w:tab w:leader="none" w:pos="212"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Redmile Group, LLC’s beneficial ownership of the Issuer’s common shares (“Common Stock”) is comprised of (a) 3,659,264 shares of Common Stock and (b) 1,250,000 shares of Common Stock issuable upon exercise of certain pre-funded warrants (the “Warrants”), which, in each case, are owned by certain private investment vehicles and/or sub-advised accounts managed by Redmile Group, LLC, including Redmile Biopharma Investments III, L.P., (the “Redmile Clients”). The shares of Common Stock may be deemed beneficially owned by Redmile Group, LLC as investment manager of the Redmile Clients since, in such capacity, Redmile Group, LLC exercises voting and investment power over all of the shares held by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6" w:lineRule="exact"/>
        <w:rPr>
          <w:rFonts w:ascii="Times New Roman" w:cs="Times New Roman" w:eastAsia="Times New Roman" w:hAnsi="Times New Roman"/>
          <w:sz w:val="26"/>
          <w:szCs w:val="26"/>
          <w:color w:val="auto"/>
          <w:vertAlign w:val="superscript"/>
        </w:rPr>
      </w:pPr>
    </w:p>
    <w:p>
      <w:pPr>
        <w:jc w:val="both"/>
        <w:ind w:firstLine="8"/>
        <w:spacing w:after="0" w:line="224" w:lineRule="auto"/>
        <w:tabs>
          <w:tab w:leader="none" w:pos="226"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Percentage based on: (i) 49,818,812 shares of Common Stock outstanding as of November 6, 2023, as reported by the Issuer in its Quarterly Report on Form 10-Q for the quarterly period ended September 30, 2023 filed with the SEC on November 13, 2023 (the “Form 10-Q”),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249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249035"/>
                    </a:xfrm>
                    <a:prstGeom prst="rect">
                      <a:avLst/>
                    </a:prstGeom>
                    <a:noFill/>
                  </pic:spPr>
                </pic:pic>
              </a:graphicData>
            </a:graphic>
          </wp:anchor>
        </w:drawing>
      </w:r>
    </w:p>
    <w:p>
      <w:pPr>
        <w:spacing w:after="0" w:line="11" w:lineRule="exact"/>
        <w:rPr>
          <w:sz w:val="20"/>
          <w:szCs w:val="20"/>
          <w:color w:val="auto"/>
        </w:rPr>
      </w:pPr>
    </w:p>
    <w:p>
      <w:pPr>
        <w:ind w:left="680" w:hanging="561"/>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ame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Jeremy C. Green</w:t>
      </w:r>
    </w:p>
    <w:p>
      <w:pPr>
        <w:spacing w:after="0" w:line="243" w:lineRule="exact"/>
        <w:rPr>
          <w:sz w:val="20"/>
          <w:szCs w:val="20"/>
          <w:color w:val="auto"/>
        </w:rPr>
      </w:pPr>
    </w:p>
    <w:p>
      <w:pPr>
        <w:ind w:left="680" w:hanging="561"/>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ppropriate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ox if 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ember of 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8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p>
      <w:pPr>
        <w:spacing w:after="0" w:line="70" w:lineRule="exact"/>
        <w:rPr>
          <w:sz w:val="20"/>
          <w:szCs w:val="20"/>
          <w:color w:val="auto"/>
        </w:rPr>
      </w:pPr>
    </w:p>
    <w:p>
      <w:pPr>
        <w:ind w:left="68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b</w:t>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p>
      <w:pPr>
        <w:spacing w:after="0" w:line="23" w:lineRule="exact"/>
        <w:rPr>
          <w:sz w:val="20"/>
          <w:szCs w:val="20"/>
          <w:color w:val="auto"/>
        </w:rPr>
      </w:pPr>
    </w:p>
    <w:p>
      <w:pPr>
        <w:ind w:left="680" w:hanging="561"/>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w:t>
      </w:r>
      <w:r>
        <w:rPr>
          <w:rFonts w:ascii="Times New Roman" w:cs="Times New Roman" w:eastAsia="Times New Roman" w:hAnsi="Times New Roman"/>
          <w:sz w:val="12"/>
          <w:szCs w:val="12"/>
          <w:color w:val="auto"/>
        </w:rPr>
        <w:t>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nly</w:t>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itizenship 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lace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rganization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8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171"/>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60" w:type="dxa"/>
            <w:vAlign w:val="bottom"/>
            <w:tcBorders>
              <w:right w:val="single" w:sz="8" w:color="auto"/>
            </w:tcBorders>
          </w:tcPr>
          <w:p>
            <w:pPr>
              <w:spacing w:after="0"/>
              <w:rPr>
                <w:sz w:val="18"/>
                <w:szCs w:val="18"/>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6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7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OWNED BY</w:t>
            </w:r>
          </w:p>
        </w:tc>
        <w:tc>
          <w:tcPr>
            <w:tcW w:w="560" w:type="dxa"/>
            <w:vAlign w:val="bottom"/>
            <w:tcBorders>
              <w:right w:val="single" w:sz="8" w:color="auto"/>
            </w:tcBorders>
          </w:tcPr>
          <w:p>
            <w:pPr>
              <w:jc w:val="right"/>
              <w:ind w:right="290"/>
              <w:spacing w:after="0" w:line="174" w:lineRule="exact"/>
              <w:rPr>
                <w:sz w:val="20"/>
                <w:szCs w:val="20"/>
                <w:color w:val="auto"/>
              </w:rPr>
            </w:pPr>
            <w:r>
              <w:rPr>
                <w:rFonts w:ascii="Times New Roman" w:cs="Times New Roman" w:eastAsia="Times New Roman" w:hAnsi="Times New Roman"/>
                <w:sz w:val="18"/>
                <w:szCs w:val="18"/>
                <w:b w:val="1"/>
                <w:bCs w:val="1"/>
                <w:color w:val="auto"/>
              </w:rPr>
              <w:t>6</w:t>
            </w:r>
          </w:p>
        </w:tc>
        <w:tc>
          <w:tcPr>
            <w:tcW w:w="896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60" w:type="dxa"/>
            <w:vAlign w:val="bottom"/>
            <w:tcBorders>
              <w:right w:val="single" w:sz="8" w:color="auto"/>
            </w:tcBorders>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60" w:type="dxa"/>
            <w:vAlign w:val="bottom"/>
            <w:tcBorders>
              <w:right w:val="single" w:sz="8" w:color="auto"/>
            </w:tcBorders>
          </w:tcPr>
          <w:p>
            <w:pPr>
              <w:spacing w:after="0"/>
              <w:rPr>
                <w:sz w:val="20"/>
                <w:szCs w:val="20"/>
                <w:color w:val="auto"/>
              </w:rPr>
            </w:pPr>
          </w:p>
        </w:tc>
        <w:tc>
          <w:tcPr>
            <w:tcW w:w="8960" w:type="dxa"/>
            <w:vAlign w:val="bottom"/>
          </w:tcPr>
          <w:p>
            <w:pPr>
              <w:ind w:left="1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4,909,264 </w:t>
            </w:r>
            <w:r>
              <w:rPr>
                <w:rFonts w:ascii="Times New Roman" w:cs="Times New Roman" w:eastAsia="Times New Roman" w:hAnsi="Times New Roman"/>
                <w:sz w:val="27"/>
                <w:szCs w:val="27"/>
                <w:b w:val="1"/>
                <w:bCs w:val="1"/>
                <w:color w:val="auto"/>
                <w:vertAlign w:val="superscript"/>
              </w:rPr>
              <w:t>(3)</w:t>
            </w: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60" w:type="dxa"/>
            <w:vAlign w:val="bottom"/>
            <w:tcBorders>
              <w:right w:val="single" w:sz="8" w:color="auto"/>
            </w:tcBorders>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7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41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573"/>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4,909,264 </w:t>
            </w:r>
            <w:r>
              <w:rPr>
                <w:rFonts w:ascii="Times New Roman" w:cs="Times New Roman" w:eastAsia="Times New Roman" w:hAnsi="Times New Roman"/>
                <w:sz w:val="29"/>
                <w:szCs w:val="29"/>
                <w:b w:val="1"/>
                <w:bCs w:val="1"/>
                <w:color w:val="auto"/>
                <w:vertAlign w:val="superscript"/>
              </w:rPr>
              <w:t>(3)</w:t>
            </w: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8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680" w:hanging="561"/>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 by</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ach</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4,909,264 </w:t>
      </w:r>
      <w:r>
        <w:rPr>
          <w:rFonts w:ascii="Times New Roman" w:cs="Times New Roman" w:eastAsia="Times New Roman" w:hAnsi="Times New Roman"/>
          <w:sz w:val="29"/>
          <w:szCs w:val="29"/>
          <w:b w:val="1"/>
          <w:bCs w:val="1"/>
          <w:color w:val="auto"/>
          <w:vertAlign w:val="superscript"/>
        </w:rPr>
        <w:t>(3)</w:t>
      </w:r>
    </w:p>
    <w:p>
      <w:pPr>
        <w:spacing w:after="0" w:line="153" w:lineRule="exact"/>
        <w:rPr>
          <w:sz w:val="20"/>
          <w:szCs w:val="20"/>
          <w:color w:val="auto"/>
        </w:rPr>
      </w:pPr>
    </w:p>
    <w:p>
      <w:pPr>
        <w:ind w:left="680" w:hanging="561"/>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if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 E</w:t>
      </w:r>
      <w:r>
        <w:rPr>
          <w:rFonts w:ascii="Times New Roman" w:cs="Times New Roman" w:eastAsia="Times New Roman" w:hAnsi="Times New Roman"/>
          <w:sz w:val="12"/>
          <w:szCs w:val="12"/>
          <w:color w:val="auto"/>
        </w:rPr>
        <w:t>xcludes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ind w:left="680" w:hanging="561"/>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ercent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lass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epresented by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9.6%</w:t>
      </w:r>
      <w:r>
        <w:rPr>
          <w:rFonts w:ascii="Times New Roman" w:cs="Times New Roman" w:eastAsia="Times New Roman" w:hAnsi="Times New Roman"/>
          <w:sz w:val="29"/>
          <w:szCs w:val="29"/>
          <w:b w:val="1"/>
          <w:bCs w:val="1"/>
          <w:color w:val="auto"/>
          <w:vertAlign w:val="superscript"/>
        </w:rPr>
        <w:t>(4)</w:t>
      </w:r>
    </w:p>
    <w:p>
      <w:pPr>
        <w:spacing w:after="0" w:line="153" w:lineRule="exact"/>
        <w:rPr>
          <w:sz w:val="20"/>
          <w:szCs w:val="20"/>
          <w:color w:val="auto"/>
        </w:rPr>
      </w:pPr>
    </w:p>
    <w:p>
      <w:pPr>
        <w:ind w:left="680" w:hanging="561"/>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ype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firstLine="8"/>
        <w:spacing w:after="0" w:line="242" w:lineRule="auto"/>
        <w:tabs>
          <w:tab w:leader="none" w:pos="226"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Jeremy C. Green’s beneficial ownership of the Common Stock is comprised of (a) 3,659,264 shares of Common Stock and (b) 1,250,000 shares of Common Stock issuable upon exercise of the Warrants, which, in each case, are owned by the Redmile Clients, including Redmile Biopharma Investments III, L.P. The shares of Common Stock may be deemed beneficially owned by Redmile Group, LLC as investment manager of the Redmile Clients since, in such capacity, Redmile Group, LLC exercises voting and investment power over all of the shares held by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6" w:lineRule="exact"/>
        <w:rPr>
          <w:rFonts w:ascii="Times New Roman" w:cs="Times New Roman" w:eastAsia="Times New Roman" w:hAnsi="Times New Roman"/>
          <w:sz w:val="28"/>
          <w:szCs w:val="28"/>
          <w:color w:val="auto"/>
          <w:vertAlign w:val="superscript"/>
        </w:rPr>
      </w:pPr>
    </w:p>
    <w:p>
      <w:pPr>
        <w:ind w:right="20" w:firstLine="8"/>
        <w:spacing w:after="0" w:line="218" w:lineRule="auto"/>
        <w:tabs>
          <w:tab w:leader="none" w:pos="225"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Percentage based on: (i) 49,818,812 shares of Common Stock outstanding as of November 6, 2023, as reported by the Issuer in its Form 10-Q,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223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223635"/>
                    </a:xfrm>
                    <a:prstGeom prst="rect">
                      <a:avLst/>
                    </a:prstGeom>
                    <a:noFill/>
                  </pic:spPr>
                </pic:pic>
              </a:graphicData>
            </a:graphic>
          </wp:anchor>
        </w:drawing>
      </w:r>
    </w:p>
    <w:p>
      <w:pPr>
        <w:spacing w:after="0" w:line="11" w:lineRule="exact"/>
        <w:rPr>
          <w:sz w:val="20"/>
          <w:szCs w:val="20"/>
          <w:color w:val="auto"/>
        </w:rPr>
      </w:pPr>
    </w:p>
    <w:p>
      <w:pPr>
        <w:ind w:left="680" w:hanging="561"/>
        <w:spacing w:after="0"/>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ame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Redmile Biopharma Investments III, L.P.</w:t>
      </w:r>
    </w:p>
    <w:p>
      <w:pPr>
        <w:spacing w:after="0" w:line="243" w:lineRule="exact"/>
        <w:rPr>
          <w:sz w:val="20"/>
          <w:szCs w:val="20"/>
          <w:color w:val="auto"/>
        </w:rPr>
      </w:pPr>
    </w:p>
    <w:p>
      <w:pPr>
        <w:ind w:left="680" w:hanging="561"/>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ppropriate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ox if 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ember of a</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8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p>
      <w:pPr>
        <w:spacing w:after="0" w:line="70" w:lineRule="exact"/>
        <w:rPr>
          <w:sz w:val="20"/>
          <w:szCs w:val="20"/>
          <w:color w:val="auto"/>
        </w:rPr>
      </w:pPr>
    </w:p>
    <w:p>
      <w:pPr>
        <w:ind w:left="68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b</w:t>
      </w: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p>
    <w:p>
      <w:pPr>
        <w:spacing w:after="0" w:line="23" w:lineRule="exact"/>
        <w:rPr>
          <w:sz w:val="20"/>
          <w:szCs w:val="20"/>
          <w:color w:val="auto"/>
        </w:rPr>
      </w:pPr>
    </w:p>
    <w:p>
      <w:pPr>
        <w:ind w:left="680" w:hanging="561"/>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w:t>
      </w:r>
      <w:r>
        <w:rPr>
          <w:rFonts w:ascii="Times New Roman" w:cs="Times New Roman" w:eastAsia="Times New Roman" w:hAnsi="Times New Roman"/>
          <w:sz w:val="12"/>
          <w:szCs w:val="12"/>
          <w:color w:val="auto"/>
        </w:rPr>
        <w:t>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nly</w:t>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itizenship 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lace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rganization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8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171"/>
        </w:trPr>
        <w:tc>
          <w:tcPr>
            <w:tcW w:w="172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60" w:type="dxa"/>
            <w:vAlign w:val="bottom"/>
            <w:tcBorders>
              <w:right w:val="single" w:sz="8" w:color="auto"/>
            </w:tcBorders>
          </w:tcPr>
          <w:p>
            <w:pPr>
              <w:spacing w:after="0"/>
              <w:rPr>
                <w:sz w:val="18"/>
                <w:szCs w:val="18"/>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6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7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OWNED BY</w:t>
            </w:r>
          </w:p>
        </w:tc>
        <w:tc>
          <w:tcPr>
            <w:tcW w:w="560" w:type="dxa"/>
            <w:vAlign w:val="bottom"/>
            <w:tcBorders>
              <w:right w:val="single" w:sz="8" w:color="auto"/>
            </w:tcBorders>
          </w:tcPr>
          <w:p>
            <w:pPr>
              <w:jc w:val="right"/>
              <w:ind w:right="290"/>
              <w:spacing w:after="0" w:line="174" w:lineRule="exact"/>
              <w:rPr>
                <w:sz w:val="20"/>
                <w:szCs w:val="20"/>
                <w:color w:val="auto"/>
              </w:rPr>
            </w:pPr>
            <w:r>
              <w:rPr>
                <w:rFonts w:ascii="Times New Roman" w:cs="Times New Roman" w:eastAsia="Times New Roman" w:hAnsi="Times New Roman"/>
                <w:sz w:val="18"/>
                <w:szCs w:val="18"/>
                <w:b w:val="1"/>
                <w:bCs w:val="1"/>
                <w:color w:val="auto"/>
              </w:rPr>
              <w:t>6</w:t>
            </w:r>
          </w:p>
        </w:tc>
        <w:tc>
          <w:tcPr>
            <w:tcW w:w="896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60" w:type="dxa"/>
            <w:vAlign w:val="bottom"/>
            <w:tcBorders>
              <w:right w:val="single" w:sz="8" w:color="auto"/>
            </w:tcBorders>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60" w:type="dxa"/>
            <w:vAlign w:val="bottom"/>
            <w:tcBorders>
              <w:right w:val="single" w:sz="8" w:color="auto"/>
            </w:tcBorders>
          </w:tcPr>
          <w:p>
            <w:pPr>
              <w:spacing w:after="0"/>
              <w:rPr>
                <w:sz w:val="20"/>
                <w:szCs w:val="20"/>
                <w:color w:val="auto"/>
              </w:rPr>
            </w:pPr>
          </w:p>
        </w:tc>
        <w:tc>
          <w:tcPr>
            <w:tcW w:w="8960" w:type="dxa"/>
            <w:vAlign w:val="bottom"/>
          </w:tcPr>
          <w:p>
            <w:pPr>
              <w:ind w:left="1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3,675,481 </w:t>
            </w:r>
            <w:r>
              <w:rPr>
                <w:rFonts w:ascii="Times New Roman" w:cs="Times New Roman" w:eastAsia="Times New Roman" w:hAnsi="Times New Roman"/>
                <w:sz w:val="27"/>
                <w:szCs w:val="27"/>
                <w:b w:val="1"/>
                <w:bCs w:val="1"/>
                <w:color w:val="auto"/>
                <w:vertAlign w:val="superscript"/>
              </w:rPr>
              <w:t>(5)</w:t>
            </w:r>
          </w:p>
        </w:tc>
        <w:tc>
          <w:tcPr>
            <w:tcW w:w="0" w:type="dxa"/>
            <w:vAlign w:val="bottom"/>
          </w:tcPr>
          <w:p>
            <w:pPr>
              <w:spacing w:after="0"/>
              <w:rPr>
                <w:sz w:val="1"/>
                <w:szCs w:val="1"/>
                <w:color w:val="auto"/>
              </w:rPr>
            </w:pPr>
          </w:p>
        </w:tc>
      </w:tr>
      <w:tr>
        <w:trPr>
          <w:trHeight w:val="250"/>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60" w:type="dxa"/>
            <w:vAlign w:val="bottom"/>
            <w:tcBorders>
              <w:bottom w:val="single" w:sz="8" w:color="auto"/>
              <w:right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ole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410"/>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ispositive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ower</w:t>
            </w:r>
          </w:p>
        </w:tc>
        <w:tc>
          <w:tcPr>
            <w:tcW w:w="0" w:type="dxa"/>
            <w:vAlign w:val="bottom"/>
          </w:tcPr>
          <w:p>
            <w:pPr>
              <w:spacing w:after="0"/>
              <w:rPr>
                <w:sz w:val="1"/>
                <w:szCs w:val="1"/>
                <w:color w:val="auto"/>
              </w:rPr>
            </w:pPr>
          </w:p>
        </w:tc>
      </w:tr>
      <w:tr>
        <w:trPr>
          <w:trHeight w:val="573"/>
        </w:trPr>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3,675,481</w:t>
            </w:r>
            <w:r>
              <w:rPr>
                <w:rFonts w:ascii="Times New Roman" w:cs="Times New Roman" w:eastAsia="Times New Roman" w:hAnsi="Times New Roman"/>
                <w:sz w:val="29"/>
                <w:szCs w:val="29"/>
                <w:b w:val="1"/>
                <w:bCs w:val="1"/>
                <w:color w:val="auto"/>
                <w:vertAlign w:val="superscript"/>
              </w:rPr>
              <w:t>(5)</w:t>
            </w: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8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680" w:hanging="561"/>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 by</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ach</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p>
    <w:p>
      <w:pPr>
        <w:spacing w:after="0" w:line="2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3,675,481</w:t>
      </w:r>
      <w:r>
        <w:rPr>
          <w:rFonts w:ascii="Times New Roman" w:cs="Times New Roman" w:eastAsia="Times New Roman" w:hAnsi="Times New Roman"/>
          <w:sz w:val="29"/>
          <w:szCs w:val="29"/>
          <w:b w:val="1"/>
          <w:bCs w:val="1"/>
          <w:color w:val="auto"/>
          <w:vertAlign w:val="superscript"/>
        </w:rPr>
        <w:t>(5)</w:t>
      </w:r>
    </w:p>
    <w:p>
      <w:pPr>
        <w:spacing w:after="0" w:line="139" w:lineRule="exact"/>
        <w:rPr>
          <w:sz w:val="20"/>
          <w:szCs w:val="20"/>
          <w:color w:val="auto"/>
        </w:rPr>
      </w:pPr>
    </w:p>
    <w:p>
      <w:pPr>
        <w:ind w:left="680" w:hanging="561"/>
        <w:spacing w:after="0"/>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heck if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ggregate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 E</w:t>
      </w:r>
      <w:r>
        <w:rPr>
          <w:rFonts w:ascii="Times New Roman" w:cs="Times New Roman" w:eastAsia="Times New Roman" w:hAnsi="Times New Roman"/>
          <w:sz w:val="12"/>
          <w:szCs w:val="12"/>
          <w:color w:val="auto"/>
        </w:rPr>
        <w:t>xcludes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ind w:left="680" w:hanging="561"/>
        <w:spacing w:after="0"/>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ercent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lass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epresented by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 in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(9)</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29"/>
          <w:szCs w:val="29"/>
          <w:b w:val="1"/>
          <w:bCs w:val="1"/>
          <w:color w:val="auto"/>
          <w:vertAlign w:val="superscript"/>
        </w:rPr>
        <w:t>(6)</w:t>
      </w:r>
    </w:p>
    <w:p>
      <w:pPr>
        <w:spacing w:after="0" w:line="139" w:lineRule="exact"/>
        <w:rPr>
          <w:sz w:val="20"/>
          <w:szCs w:val="20"/>
          <w:color w:val="auto"/>
        </w:rPr>
      </w:pPr>
    </w:p>
    <w:p>
      <w:pPr>
        <w:ind w:left="680" w:hanging="561"/>
        <w:spacing w:after="0"/>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ype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nstructions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40" w:firstLine="8"/>
        <w:spacing w:after="0" w:line="223" w:lineRule="auto"/>
        <w:tabs>
          <w:tab w:leader="none" w:pos="212"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Redmile Biopharma Investments III, L.P. beneficially owns (i) 2,425,481 shares of Common Stock, and (ii) 1,250,000 shares of Common Stock issuable upon exercise of the Warrants.</w:t>
      </w:r>
    </w:p>
    <w:p>
      <w:pPr>
        <w:spacing w:after="0" w:line="23" w:lineRule="exact"/>
        <w:rPr>
          <w:rFonts w:ascii="Times New Roman" w:cs="Times New Roman" w:eastAsia="Times New Roman" w:hAnsi="Times New Roman"/>
          <w:sz w:val="26"/>
          <w:szCs w:val="26"/>
          <w:color w:val="auto"/>
          <w:vertAlign w:val="superscript"/>
        </w:rPr>
      </w:pPr>
    </w:p>
    <w:p>
      <w:pPr>
        <w:ind w:right="20" w:firstLine="8"/>
        <w:spacing w:after="0" w:line="218" w:lineRule="auto"/>
        <w:tabs>
          <w:tab w:leader="none" w:pos="225"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Percentage based on: (i) 49,818,812 shares of Common Stock outstanding as of November 6, 2023, as reported by the Issuer in its Form 10-Q,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1000" w:hanging="43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w:t>
      </w:r>
    </w:p>
    <w:p>
      <w:pPr>
        <w:spacing w:after="0" w:line="22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 Allerton Avenue</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000" w:hanging="43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Persons Filing</w:t>
      </w:r>
    </w:p>
    <w:p>
      <w:pPr>
        <w:spacing w:after="0" w:line="225" w:lineRule="exact"/>
        <w:rPr>
          <w:rFonts w:ascii="Times New Roman" w:cs="Times New Roman" w:eastAsia="Times New Roman" w:hAnsi="Times New Roman"/>
          <w:sz w:val="18"/>
          <w:szCs w:val="18"/>
          <w:color w:val="auto"/>
        </w:rPr>
      </w:pPr>
    </w:p>
    <w:p>
      <w:pPr>
        <w:ind w:left="1000" w:right="75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Jeremy C. Green</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Biopharma Investments III, L.P.</w:t>
      </w:r>
    </w:p>
    <w:p>
      <w:pPr>
        <w:spacing w:after="0" w:line="20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w:t>
      </w:r>
    </w:p>
    <w:p>
      <w:pPr>
        <w:spacing w:after="0" w:line="236" w:lineRule="exact"/>
        <w:rPr>
          <w:rFonts w:ascii="Times New Roman" w:cs="Times New Roman" w:eastAsia="Times New Roman" w:hAnsi="Times New Roman"/>
          <w:sz w:val="17"/>
          <w:szCs w:val="17"/>
          <w:color w:val="auto"/>
        </w:rPr>
      </w:pPr>
    </w:p>
    <w:p>
      <w:pPr>
        <w:ind w:left="1000" w:right="6799"/>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Redmile Group, LLC One Letterman Drive Building D, Suite D3-300 The Presidio of San Francisco San Francisco, California 94129</w:t>
      </w:r>
    </w:p>
    <w:p>
      <w:pPr>
        <w:spacing w:after="0" w:line="183"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Jeremy C. Green</w:t>
      </w:r>
    </w:p>
    <w:p>
      <w:pPr>
        <w:spacing w:after="0" w:line="27"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 Redmile Group, LLC (NY Office)</w:t>
      </w:r>
    </w:p>
    <w:p>
      <w:pPr>
        <w:spacing w:after="0" w:line="9" w:lineRule="exact"/>
        <w:rPr>
          <w:rFonts w:ascii="Times New Roman" w:cs="Times New Roman" w:eastAsia="Times New Roman" w:hAnsi="Times New Roman"/>
          <w:sz w:val="17"/>
          <w:szCs w:val="17"/>
          <w:color w:val="auto"/>
        </w:rPr>
      </w:pPr>
    </w:p>
    <w:p>
      <w:pPr>
        <w:ind w:left="1000" w:right="717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45 W. 27th Street, Floor 11 New York, NY 10001</w:t>
      </w:r>
    </w:p>
    <w:p>
      <w:pPr>
        <w:spacing w:after="0" w:line="181" w:lineRule="exact"/>
        <w:rPr>
          <w:rFonts w:ascii="Times New Roman" w:cs="Times New Roman" w:eastAsia="Times New Roman" w:hAnsi="Times New Roman"/>
          <w:sz w:val="17"/>
          <w:szCs w:val="17"/>
          <w:color w:val="auto"/>
        </w:rPr>
      </w:pPr>
    </w:p>
    <w:p>
      <w:pPr>
        <w:ind w:left="1000" w:right="615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Redmile Biopharma Investments III, L.P. c/o Redmile Group, LLC</w:t>
      </w:r>
    </w:p>
    <w:p>
      <w:pPr>
        <w:ind w:left="1000" w:right="679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One Letterman Drive Building D, Suite D3-300 The Presidio of San Francisco San Francisco, California 94129</w:t>
      </w:r>
    </w:p>
    <w:p>
      <w:pPr>
        <w:spacing w:after="0" w:line="188" w:lineRule="exact"/>
        <w:rPr>
          <w:rFonts w:ascii="Times New Roman" w:cs="Times New Roman" w:eastAsia="Times New Roman" w:hAnsi="Times New Roman"/>
          <w:sz w:val="17"/>
          <w:szCs w:val="17"/>
          <w:color w:val="auto"/>
        </w:rPr>
      </w:pPr>
    </w:p>
    <w:p>
      <w:pPr>
        <w:ind w:left="1000" w:hanging="43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Delaware</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Jeremy C. Green: United Kingdom</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Biopharma Investments III, L.P.: Delaware</w:t>
      </w:r>
    </w:p>
    <w:p>
      <w:pPr>
        <w:spacing w:after="0" w:line="206"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$0.001 per share</w:t>
      </w:r>
    </w:p>
    <w:p>
      <w:pPr>
        <w:spacing w:after="0" w:line="225" w:lineRule="exact"/>
        <w:rPr>
          <w:rFonts w:ascii="Times New Roman" w:cs="Times New Roman" w:eastAsia="Times New Roman" w:hAnsi="Times New Roman"/>
          <w:sz w:val="18"/>
          <w:szCs w:val="18"/>
          <w:color w:val="auto"/>
        </w:rPr>
      </w:pPr>
    </w:p>
    <w:p>
      <w:pPr>
        <w:ind w:left="1000" w:right="7979" w:hanging="439"/>
        <w:spacing w:after="0" w:line="53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 w:name="page6"/>
    <w:bookmarkEnd w:id="5"/>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 240.13d-1(b) or 240.13d-2(b) or (c), check whether the person filing is a:</w:t>
      </w:r>
    </w:p>
    <w:p>
      <w:pPr>
        <w:spacing w:after="0" w:line="188" w:lineRule="exact"/>
        <w:rPr>
          <w:sz w:val="20"/>
          <w:szCs w:val="20"/>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40" w:right="240" w:hanging="733"/>
        <w:spacing w:after="0" w:line="245" w:lineRule="exact"/>
        <w:tabs>
          <w:tab w:leader="none" w:pos="1551"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1560" w:hanging="553"/>
        <w:spacing w:after="0" w:line="207" w:lineRule="exact"/>
        <w:tabs>
          <w:tab w:leader="none" w:pos="15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880" w:hanging="873"/>
        <w:spacing w:after="0" w:line="245" w:lineRule="exact"/>
        <w:tabs>
          <w:tab w:leader="none" w:pos="1556"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Group, in accordance with § 240.13d-1(b)(1)(ii)(K). If filing as a non-U.S. institution in accordance with § 240.13d-1(b)(1)(ii)(J), please specify the type of institution: __________</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560" w:hanging="553"/>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560" w:right="69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 4,909,264 (1) Jeremy C. Green – 4,909,264 (1)</w:t>
      </w: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Biopharma Investments III, L.P. – 3,675,481 (1)</w:t>
      </w:r>
    </w:p>
    <w:p>
      <w:pPr>
        <w:spacing w:after="0" w:line="206" w:lineRule="exact"/>
        <w:rPr>
          <w:rFonts w:ascii="Times New Roman" w:cs="Times New Roman" w:eastAsia="Times New Roman" w:hAnsi="Times New Roman"/>
          <w:sz w:val="18"/>
          <w:szCs w:val="18"/>
          <w:color w:val="auto"/>
        </w:rPr>
      </w:pPr>
    </w:p>
    <w:p>
      <w:pPr>
        <w:ind w:left="1560" w:hanging="553"/>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560" w:right="7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Group, LLC – 9.6% (2) Jeremy C. Green – 9.6% (2)</w:t>
      </w: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Biopharma Investments III, L.P. – 7.2% (2)</w:t>
      </w:r>
    </w:p>
    <w:p>
      <w:pPr>
        <w:spacing w:after="0" w:line="206" w:lineRule="exact"/>
        <w:rPr>
          <w:rFonts w:ascii="Times New Roman" w:cs="Times New Roman" w:eastAsia="Times New Roman" w:hAnsi="Times New Roman"/>
          <w:sz w:val="18"/>
          <w:szCs w:val="18"/>
          <w:color w:val="auto"/>
        </w:rPr>
      </w:pPr>
    </w:p>
    <w:p>
      <w:pPr>
        <w:ind w:left="1560" w:hanging="553"/>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Redmile Group, LLC has:</w:t>
      </w:r>
    </w:p>
    <w:p>
      <w:pPr>
        <w:spacing w:after="0" w:line="225" w:lineRule="exact"/>
        <w:rPr>
          <w:rFonts w:ascii="Times New Roman" w:cs="Times New Roman" w:eastAsia="Times New Roman" w:hAnsi="Times New Roman"/>
          <w:sz w:val="18"/>
          <w:szCs w:val="18"/>
          <w:color w:val="auto"/>
        </w:rPr>
      </w:pPr>
    </w:p>
    <w:p>
      <w:pPr>
        <w:ind w:left="1780" w:hanging="220"/>
        <w:spacing w:after="0"/>
        <w:tabs>
          <w:tab w:leader="none" w:pos="17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power to vote or to direct the vote:</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0</w:t>
      </w:r>
    </w:p>
    <w:p>
      <w:pPr>
        <w:spacing w:after="0" w:line="225" w:lineRule="exact"/>
        <w:rPr>
          <w:sz w:val="20"/>
          <w:szCs w:val="20"/>
          <w:color w:val="auto"/>
        </w:rPr>
      </w:pPr>
    </w:p>
    <w:p>
      <w:pPr>
        <w:ind w:left="1820" w:hanging="260"/>
        <w:spacing w:after="0"/>
        <w:tabs>
          <w:tab w:leader="none" w:pos="1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Shared power to vote or to direct the vote:</w:t>
      </w:r>
    </w:p>
    <w:p>
      <w:pPr>
        <w:spacing w:after="0" w:line="225" w:lineRule="exact"/>
        <w:rPr>
          <w:rFonts w:ascii="Times New Roman" w:cs="Times New Roman" w:eastAsia="Times New Roman" w:hAnsi="Times New Roman"/>
          <w:sz w:val="18"/>
          <w:szCs w:val="18"/>
          <w:color w:val="auto"/>
        </w:rPr>
      </w:pPr>
    </w:p>
    <w:p>
      <w:pPr>
        <w:ind w:left="1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4,909,264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ind w:left="1000" w:right="5480" w:hanging="440"/>
        <w:spacing w:after="0" w:line="500"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1000" w:right="5300" w:hanging="440"/>
        <w:spacing w:after="0" w:line="500"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4,909,264 (1)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as to which Jeremy C. Green has:</w:t>
      </w:r>
    </w:p>
    <w:p>
      <w:pPr>
        <w:spacing w:after="0" w:line="225" w:lineRule="exact"/>
        <w:rPr>
          <w:sz w:val="20"/>
          <w:szCs w:val="20"/>
          <w:color w:val="auto"/>
        </w:rPr>
      </w:pPr>
    </w:p>
    <w:p>
      <w:pPr>
        <w:ind w:left="1000" w:right="6380" w:hanging="440"/>
        <w:spacing w:after="0" w:line="500"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1000" w:hanging="440"/>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4,909,264 (1)</w:t>
      </w:r>
    </w:p>
    <w:p>
      <w:pPr>
        <w:spacing w:after="0" w:line="225" w:lineRule="exact"/>
        <w:rPr>
          <w:rFonts w:ascii="Times New Roman" w:cs="Times New Roman" w:eastAsia="Times New Roman" w:hAnsi="Times New Roman"/>
          <w:sz w:val="18"/>
          <w:szCs w:val="18"/>
          <w:color w:val="auto"/>
        </w:rPr>
      </w:pPr>
    </w:p>
    <w:p>
      <w:pPr>
        <w:ind w:left="1000" w:right="5480" w:hanging="440"/>
        <w:spacing w:after="0" w:line="500"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1000" w:hanging="440"/>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4,909,264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as to which Redmile Biopharma Investments III, L.P. has:</w:t>
      </w:r>
    </w:p>
    <w:p>
      <w:pPr>
        <w:spacing w:after="0" w:line="225" w:lineRule="exact"/>
        <w:rPr>
          <w:sz w:val="20"/>
          <w:szCs w:val="20"/>
          <w:color w:val="auto"/>
        </w:rPr>
      </w:pPr>
    </w:p>
    <w:p>
      <w:pPr>
        <w:ind w:left="1000" w:right="6380" w:hanging="440"/>
        <w:spacing w:after="0" w:line="500"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1000" w:hanging="440"/>
        <w:spacing w:after="0"/>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3,675,481 (1)</w:t>
      </w:r>
    </w:p>
    <w:p>
      <w:pPr>
        <w:spacing w:after="0" w:line="225" w:lineRule="exact"/>
        <w:rPr>
          <w:rFonts w:ascii="Times New Roman" w:cs="Times New Roman" w:eastAsia="Times New Roman" w:hAnsi="Times New Roman"/>
          <w:sz w:val="18"/>
          <w:szCs w:val="18"/>
          <w:color w:val="auto"/>
        </w:rPr>
      </w:pPr>
    </w:p>
    <w:p>
      <w:pPr>
        <w:ind w:left="1000" w:right="5480" w:hanging="440"/>
        <w:spacing w:after="0" w:line="500"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1000" w:hanging="440"/>
        <w:spacing w:after="0"/>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3,675,481 (1)</w:t>
      </w:r>
    </w:p>
    <w:p>
      <w:pPr>
        <w:spacing w:after="0" w:line="225" w:lineRule="exact"/>
        <w:rPr>
          <w:rFonts w:ascii="Times New Roman" w:cs="Times New Roman" w:eastAsia="Times New Roman" w:hAnsi="Times New Roman"/>
          <w:sz w:val="18"/>
          <w:szCs w:val="18"/>
          <w:color w:val="auto"/>
        </w:rPr>
      </w:pPr>
    </w:p>
    <w:p>
      <w:pPr>
        <w:jc w:val="both"/>
        <w:ind w:left="800" w:hanging="334"/>
        <w:spacing w:after="0" w:line="255"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common shares reported herein are held by, or issuable upon exercise of the Warrants by, certain private investment vehicles and/or sub-advised accounts, including Redmile Biopharma Investments III, L.P. (collectively, the “Redmile Clients”), for which Redmile Group, LLC is the investment manager/adviser and, in such capacity, exercises voting and investment power over all of the common shares held by the Redmile Clients and may be deemed to be the beneficial owner of these shares. Jeremy C. Green serves as the principal of Redmile Group, LLC and also may be deemed to be the beneficial owner of these shares. Redmile Group, LLC and Mr. Green each disclaim beneficial ownership of these shares, except to the extent of its or his pecuniary interest in such shares, if any.</w:t>
      </w:r>
    </w:p>
    <w:p>
      <w:pPr>
        <w:spacing w:after="0" w:line="188" w:lineRule="exact"/>
        <w:rPr>
          <w:rFonts w:ascii="Times New Roman" w:cs="Times New Roman" w:eastAsia="Times New Roman" w:hAnsi="Times New Roman"/>
          <w:sz w:val="18"/>
          <w:szCs w:val="18"/>
          <w:color w:val="auto"/>
        </w:rPr>
      </w:pPr>
    </w:p>
    <w:p>
      <w:pPr>
        <w:ind w:left="8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Redmile Biopharma Investments III, L.P. is the direct beneficial owner of 2,425,481 shares of Common Stock and all of the shares of Common Stock issuable upon exercise of the Warrants.</w:t>
      </w:r>
    </w:p>
    <w:p>
      <w:pPr>
        <w:spacing w:after="0" w:line="161" w:lineRule="exact"/>
        <w:rPr>
          <w:rFonts w:ascii="Times New Roman" w:cs="Times New Roman" w:eastAsia="Times New Roman" w:hAnsi="Times New Roman"/>
          <w:sz w:val="18"/>
          <w:szCs w:val="18"/>
          <w:color w:val="auto"/>
        </w:rPr>
      </w:pPr>
    </w:p>
    <w:p>
      <w:pPr>
        <w:ind w:left="800" w:hanging="334"/>
        <w:spacing w:after="0" w:line="282"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based on: (i) 49,818,812 shares of Common Stock outstanding as of November 6, 2023, as reported by the Issuer in its Form 10-Q,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251460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20" w:top="904" w:right="339"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left="9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ind w:left="980" w:right="1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the response to Item 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Redmile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Jeremy C. Green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Jeremy C. Green</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Redmile Biopharma Investments III,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Redmile Biopharma Investments III (GP),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Jeremy C. Green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undersigned hereby agree to the joint filing on behalf of each of them of a Statement on Schedule 13G (including any and all amendments thereto, the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 relating to the Common Stock of ALX Oncology Holdings Inc., which may be deemed necessary pursuant to Regulation 13D or 13G promulgated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Joint Filing Agreement shall be attached as an exhibit to the Schedule 13G, filed on behalf of each of the parties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executed this Joint Filing Agreement as of the 14th day of February,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REDMILE GROUP,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Jeremy C. Green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JEREMY C. GREEN</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REDMILE BIOPHARMA INVESTMENTS III,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Redmile Biopharma Investments III (GP), LLC, its general partner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Jeremy C. Green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3"/>
      <w:numFmt w:val="bullet"/>
      <w:start w:val="1"/>
    </w:lvl>
  </w:abstractNum>
  <w:abstractNum w:abstractNumId="6">
    <w:nsid w:val="436C6125"/>
    <w:multiLevelType w:val="hybridMultilevel"/>
    <w:lvl w:ilvl="0">
      <w:lvlJc w:val="left"/>
      <w:lvlText w:val="4"/>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1"/>
      <w:numFmt w:val="decimal"/>
      <w:start w:val="10"/>
    </w:lvl>
  </w:abstractNum>
  <w:abstractNum w:abstractNumId="9">
    <w:nsid w:val="721DA317"/>
    <w:multiLevelType w:val="hybridMultilevel"/>
    <w:lvl w:ilvl="0">
      <w:lvlJc w:val="left"/>
      <w:lvlText w:val="%1"/>
      <w:numFmt w:val="decimal"/>
      <w:start w:val="12"/>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2"/>
      <w:numFmt w:val="bullet"/>
      <w:start w:val="1"/>
    </w:lvl>
  </w:abstractNum>
  <w:abstractNum w:abstractNumId="13">
    <w:nsid w:val="75A2A8D4"/>
    <w:multiLevelType w:val="hybridMultilevel"/>
    <w:lvl w:ilvl="0">
      <w:lvlJc w:val="left"/>
      <w:lvlText w:val="3"/>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bullet"/>
      <w:start w:val="1"/>
    </w:lvl>
  </w:abstractNum>
  <w:abstractNum w:abstractNumId="19">
    <w:nsid w:val="54E49EB4"/>
    <w:multiLevelType w:val="hybridMultilevel"/>
    <w:lvl w:ilvl="0">
      <w:lvlJc w:val="left"/>
      <w:lvlText w:val="2"/>
      <w:numFmt w:val="bullet"/>
      <w:start w:val="1"/>
    </w:lvl>
  </w:abstractNum>
  <w:abstractNum w:abstractNumId="20">
    <w:nsid w:val="71F32454"/>
    <w:multiLevelType w:val="hybridMultilevel"/>
    <w:lvl w:ilvl="0">
      <w:lvlJc w:val="left"/>
      <w:lvlText w:val="3"/>
      <w:numFmt w:val="bullet"/>
      <w:start w:val="1"/>
    </w:lvl>
  </w:abstractNum>
  <w:abstractNum w:abstractNumId="21">
    <w:nsid w:val="2CA88611"/>
    <w:multiLevelType w:val="hybridMultilevel"/>
    <w:lvl w:ilvl="0">
      <w:lvlJc w:val="left"/>
      <w:lvlText w:val="9"/>
      <w:numFmt w:val="bullet"/>
      <w:start w:val="1"/>
    </w:lvl>
  </w:abstractNum>
  <w:abstractNum w:abstractNumId="22">
    <w:nsid w:val="836C40E"/>
    <w:multiLevelType w:val="hybridMultilevel"/>
    <w:lvl w:ilvl="0">
      <w:lvlJc w:val="left"/>
      <w:lvlText w:val="%1"/>
      <w:numFmt w:val="decimal"/>
      <w:start w:val="10"/>
    </w:lvl>
  </w:abstractNum>
  <w:abstractNum w:abstractNumId="23">
    <w:nsid w:val="2901D82"/>
    <w:multiLevelType w:val="hybridMultilevel"/>
    <w:lvl w:ilvl="0">
      <w:lvlJc w:val="left"/>
      <w:lvlText w:val="%1"/>
      <w:numFmt w:val="decimal"/>
      <w:start w:val="12"/>
    </w:lvl>
  </w:abstractNum>
  <w:abstractNum w:abstractNumId="24">
    <w:nsid w:val="3A95F874"/>
    <w:multiLevelType w:val="hybridMultilevel"/>
    <w:lvl w:ilvl="0">
      <w:lvlJc w:val="left"/>
      <w:lvlText w:val="(%1)"/>
      <w:numFmt w:val="decimal"/>
      <w:start w:val="5"/>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lvl w:ilvl="1">
      <w:lvlJc w:val="left"/>
      <w:lvlText w:val="(%2)"/>
      <w:numFmt w:val="lowerLetter"/>
      <w:start w:val="9"/>
    </w:lvl>
  </w:abstractNum>
  <w:abstractNum w:abstractNumId="29">
    <w:nsid w:val="6CEAF087"/>
    <w:multiLevelType w:val="hybridMultilevel"/>
    <w:lvl w:ilvl="0">
      <w:lvlJc w:val="left"/>
      <w:lvlText w:val="(%1)"/>
      <w:numFmt w:val="lowerRoman"/>
      <w:start w:val="2"/>
    </w:lvl>
  </w:abstractNum>
  <w:abstractNum w:abstractNumId="30">
    <w:nsid w:val="22221A70"/>
    <w:multiLevelType w:val="hybridMultilevel"/>
    <w:lvl w:ilvl="0">
      <w:lvlJc w:val="left"/>
      <w:lvlText w:val="(%1)"/>
      <w:numFmt w:val="lowerRoman"/>
      <w:start w:val="3"/>
    </w:lvl>
  </w:abstractNum>
  <w:abstractNum w:abstractNumId="31">
    <w:nsid w:val="4516DDE9"/>
    <w:multiLevelType w:val="hybridMultilevel"/>
    <w:lvl w:ilvl="0">
      <w:lvlJc w:val="left"/>
      <w:lvlText w:val="(%1)"/>
      <w:numFmt w:val="lowerRoman"/>
      <w:start w:val="1"/>
    </w:lvl>
  </w:abstractNum>
  <w:abstractNum w:abstractNumId="32">
    <w:nsid w:val="3006C83E"/>
    <w:multiLevelType w:val="hybridMultilevel"/>
    <w:lvl w:ilvl="0">
      <w:lvlJc w:val="left"/>
      <w:lvlText w:val="%1"/>
      <w:numFmt w:val="decimal"/>
      <w:start w:val="1"/>
    </w:lvl>
    <w:lvl w:ilvl="1">
      <w:lvlJc w:val="left"/>
      <w:lvlText w:val="(%2)"/>
      <w:numFmt w:val="lowerRoman"/>
      <w:start w:val="1"/>
    </w:lvl>
  </w:abstractNum>
  <w:abstractNum w:abstractNumId="33">
    <w:nsid w:val="614FD4A1"/>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2024-02-14T16:25:22Z</dcterms:created>
  <dcterms:modified xsi:type="dcterms:W3CDTF">2024-02-14T16:25:22Z</dcterms:modified>
</cp:coreProperties>
</file>