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As filed with the Securities and Exchange Commission on August 13, 2021</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4"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S-3</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REGISTRATION STATEMENT</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Under</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ALX ONCOLOGY HOLDINGS INC.</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84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Delaware</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0"/>
              </w:rPr>
              <w:t>81-4481426</w:t>
            </w:r>
          </w:p>
        </w:tc>
      </w:tr>
      <w:tr>
        <w:trPr>
          <w:trHeight w:val="149"/>
        </w:trPr>
        <w:tc>
          <w:tcPr>
            <w:tcW w:w="3840" w:type="dxa"/>
            <w:vAlign w:val="bottom"/>
          </w:tcPr>
          <w:p>
            <w:pPr>
              <w:jc w:val="center"/>
              <w:ind w:right="1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866 Malcolm Road, Suite 100</w:t>
      </w:r>
    </w:p>
    <w:p>
      <w:pPr>
        <w:jc w:val="center"/>
        <w:ind w:right="-199"/>
        <w:spacing w:after="0" w:line="226" w:lineRule="auto"/>
        <w:rPr>
          <w:sz w:val="20"/>
          <w:szCs w:val="20"/>
          <w:color w:val="auto"/>
        </w:rPr>
      </w:pPr>
      <w:r>
        <w:rPr>
          <w:rFonts w:ascii="Arial" w:cs="Arial" w:eastAsia="Arial" w:hAnsi="Arial"/>
          <w:sz w:val="14"/>
          <w:szCs w:val="14"/>
          <w:b w:val="1"/>
          <w:bCs w:val="1"/>
          <w:color w:val="auto"/>
        </w:rPr>
        <w:t>Burlingame, California 94010</w:t>
      </w:r>
    </w:p>
    <w:p>
      <w:pPr>
        <w:jc w:val="center"/>
        <w:ind w:right="-199"/>
        <w:spacing w:after="0" w:line="221" w:lineRule="auto"/>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Jaume Pons, Ph.D.</w:t>
      </w:r>
    </w:p>
    <w:p>
      <w:pPr>
        <w:jc w:val="center"/>
        <w:ind w:right="-1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99"/>
        <w:spacing w:after="0" w:line="221" w:lineRule="auto"/>
        <w:rPr>
          <w:sz w:val="20"/>
          <w:szCs w:val="20"/>
          <w:color w:val="auto"/>
        </w:rPr>
      </w:pPr>
      <w:r>
        <w:rPr>
          <w:rFonts w:ascii="Arial" w:cs="Arial" w:eastAsia="Arial" w:hAnsi="Arial"/>
          <w:sz w:val="14"/>
          <w:szCs w:val="14"/>
          <w:b w:val="1"/>
          <w:bCs w:val="1"/>
          <w:color w:val="auto"/>
        </w:rPr>
        <w:t>ALX Oncology Holdings Inc.</w:t>
      </w:r>
    </w:p>
    <w:p>
      <w:pPr>
        <w:jc w:val="center"/>
        <w:ind w:right="-199"/>
        <w:spacing w:after="0" w:line="222" w:lineRule="auto"/>
        <w:rPr>
          <w:sz w:val="20"/>
          <w:szCs w:val="20"/>
          <w:color w:val="auto"/>
        </w:rPr>
      </w:pPr>
      <w:r>
        <w:rPr>
          <w:rFonts w:ascii="Arial" w:cs="Arial" w:eastAsia="Arial" w:hAnsi="Arial"/>
          <w:sz w:val="14"/>
          <w:szCs w:val="14"/>
          <w:b w:val="1"/>
          <w:bCs w:val="1"/>
          <w:color w:val="auto"/>
        </w:rPr>
        <w:t>866 Malcolm Road, Suite 100</w:t>
      </w:r>
    </w:p>
    <w:p>
      <w:pPr>
        <w:jc w:val="center"/>
        <w:ind w:right="-199"/>
        <w:spacing w:after="0" w:line="221" w:lineRule="auto"/>
        <w:rPr>
          <w:sz w:val="20"/>
          <w:szCs w:val="20"/>
          <w:color w:val="auto"/>
        </w:rPr>
      </w:pPr>
      <w:r>
        <w:rPr>
          <w:rFonts w:ascii="Arial" w:cs="Arial" w:eastAsia="Arial" w:hAnsi="Arial"/>
          <w:sz w:val="14"/>
          <w:szCs w:val="14"/>
          <w:b w:val="1"/>
          <w:bCs w:val="1"/>
          <w:color w:val="auto"/>
        </w:rPr>
        <w:t>Burlingame, California 94010</w:t>
      </w:r>
    </w:p>
    <w:p>
      <w:pPr>
        <w:jc w:val="center"/>
        <w:ind w:right="-199"/>
        <w:spacing w:after="0" w:line="222" w:lineRule="auto"/>
        <w:rPr>
          <w:sz w:val="20"/>
          <w:szCs w:val="20"/>
          <w:color w:val="auto"/>
        </w:rPr>
      </w:pPr>
      <w:r>
        <w:rPr>
          <w:rFonts w:ascii="Arial" w:cs="Arial" w:eastAsia="Arial" w:hAnsi="Arial"/>
          <w:sz w:val="14"/>
          <w:szCs w:val="14"/>
          <w:b w:val="1"/>
          <w:bCs w:val="1"/>
          <w:color w:val="auto"/>
        </w:rPr>
        <w:t>650-466-7125</w:t>
      </w: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Kenneth A. Clark</w:t>
      </w:r>
    </w:p>
    <w:p>
      <w:pPr>
        <w:jc w:val="center"/>
        <w:ind w:right="-199"/>
        <w:spacing w:after="0" w:line="226" w:lineRule="auto"/>
        <w:rPr>
          <w:sz w:val="20"/>
          <w:szCs w:val="20"/>
          <w:color w:val="auto"/>
        </w:rPr>
      </w:pPr>
      <w:r>
        <w:rPr>
          <w:rFonts w:ascii="Arial" w:cs="Arial" w:eastAsia="Arial" w:hAnsi="Arial"/>
          <w:sz w:val="14"/>
          <w:szCs w:val="14"/>
          <w:b w:val="1"/>
          <w:bCs w:val="1"/>
          <w:color w:val="auto"/>
        </w:rPr>
        <w:t>Michael E. Coke</w:t>
      </w:r>
    </w:p>
    <w:p>
      <w:pPr>
        <w:jc w:val="center"/>
        <w:ind w:right="-199"/>
        <w:spacing w:after="0" w:line="221" w:lineRule="auto"/>
        <w:rPr>
          <w:sz w:val="20"/>
          <w:szCs w:val="20"/>
          <w:color w:val="auto"/>
        </w:rPr>
      </w:pPr>
      <w:r>
        <w:rPr>
          <w:rFonts w:ascii="Arial" w:cs="Arial" w:eastAsia="Arial" w:hAnsi="Arial"/>
          <w:sz w:val="14"/>
          <w:szCs w:val="14"/>
          <w:b w:val="1"/>
          <w:bCs w:val="1"/>
          <w:color w:val="auto"/>
        </w:rPr>
        <w:t>Christina L. Poulsen</w:t>
      </w:r>
    </w:p>
    <w:p>
      <w:pPr>
        <w:jc w:val="center"/>
        <w:ind w:right="-199"/>
        <w:spacing w:after="0" w:line="222" w:lineRule="auto"/>
        <w:rPr>
          <w:sz w:val="20"/>
          <w:szCs w:val="20"/>
          <w:color w:val="auto"/>
        </w:rPr>
      </w:pPr>
      <w:r>
        <w:rPr>
          <w:rFonts w:ascii="Arial" w:cs="Arial" w:eastAsia="Arial" w:hAnsi="Arial"/>
          <w:sz w:val="14"/>
          <w:szCs w:val="14"/>
          <w:b w:val="1"/>
          <w:bCs w:val="1"/>
          <w:color w:val="auto"/>
        </w:rPr>
        <w:t>Wilson Sonsini Goodrich &amp; Rosati, P.C.</w:t>
      </w:r>
    </w:p>
    <w:p>
      <w:pPr>
        <w:jc w:val="center"/>
        <w:ind w:right="-199"/>
        <w:spacing w:after="0" w:line="221" w:lineRule="auto"/>
        <w:rPr>
          <w:sz w:val="20"/>
          <w:szCs w:val="20"/>
          <w:color w:val="auto"/>
        </w:rPr>
      </w:pPr>
      <w:r>
        <w:rPr>
          <w:rFonts w:ascii="Arial" w:cs="Arial" w:eastAsia="Arial" w:hAnsi="Arial"/>
          <w:sz w:val="14"/>
          <w:szCs w:val="14"/>
          <w:b w:val="1"/>
          <w:bCs w:val="1"/>
          <w:color w:val="auto"/>
        </w:rPr>
        <w:t>650 Page Mill Road</w:t>
      </w:r>
    </w:p>
    <w:p>
      <w:pPr>
        <w:jc w:val="center"/>
        <w:ind w:right="-199"/>
        <w:spacing w:after="0" w:line="222" w:lineRule="auto"/>
        <w:rPr>
          <w:sz w:val="20"/>
          <w:szCs w:val="20"/>
          <w:color w:val="auto"/>
        </w:rPr>
      </w:pPr>
      <w:r>
        <w:rPr>
          <w:rFonts w:ascii="Arial" w:cs="Arial" w:eastAsia="Arial" w:hAnsi="Arial"/>
          <w:sz w:val="14"/>
          <w:szCs w:val="14"/>
          <w:b w:val="1"/>
          <w:bCs w:val="1"/>
          <w:color w:val="auto"/>
        </w:rPr>
        <w:t>Palo Alto, California 94304</w:t>
      </w:r>
    </w:p>
    <w:p>
      <w:pPr>
        <w:jc w:val="center"/>
        <w:ind w:right="-199"/>
        <w:spacing w:after="0"/>
        <w:rPr>
          <w:sz w:val="20"/>
          <w:szCs w:val="20"/>
          <w:color w:val="auto"/>
        </w:rPr>
      </w:pPr>
      <w:r>
        <w:rPr>
          <w:rFonts w:ascii="Arial" w:cs="Arial" w:eastAsia="Arial" w:hAnsi="Arial"/>
          <w:sz w:val="14"/>
          <w:szCs w:val="14"/>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p>
      <w:pPr>
        <w:ind w:left="120" w:right="980"/>
        <w:spacing w:after="0" w:line="209" w:lineRule="exact"/>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From time to time after the effective date of this Registration Statement.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9" w:lineRule="exact"/>
        <w:rPr>
          <w:sz w:val="24"/>
          <w:szCs w:val="24"/>
          <w:color w:val="auto"/>
        </w:rPr>
      </w:pPr>
    </w:p>
    <w:p>
      <w:pPr>
        <w:ind w:left="120" w:right="2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6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8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left="120"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60"/>
          </w:cols>
          <w:pgMar w:left="320" w:top="230" w:right="51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3037205</wp:posOffset>
            </wp:positionH>
            <wp:positionV relativeFrom="page">
              <wp:posOffset>200660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t>CALCULATION OF REGISTRATION FEE</w:t>
      </w:r>
    </w:p>
    <w:p>
      <w:pPr>
        <w:spacing w:after="0" w:line="5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738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8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jc w:val="center"/>
              <w:ind w:left="49"/>
              <w:spacing w:after="0" w:line="106" w:lineRule="exact"/>
              <w:rPr>
                <w:sz w:val="20"/>
                <w:szCs w:val="20"/>
                <w:color w:val="auto"/>
              </w:rPr>
            </w:pPr>
            <w:r>
              <w:rPr>
                <w:rFonts w:ascii="Arial" w:cs="Arial" w:eastAsia="Arial" w:hAnsi="Arial"/>
                <w:sz w:val="12"/>
                <w:szCs w:val="12"/>
                <w:b w:val="1"/>
                <w:bCs w:val="1"/>
                <w:color w:val="auto"/>
              </w:rPr>
              <w:t>Amount to be</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38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0"/>
              </w:rPr>
              <w:t>registered/proposed</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3"/>
              </w:rPr>
              <w:t>maximum offering</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price per</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Borders>
              <w:right w:val="single" w:sz="8" w:color="auto"/>
            </w:tcBorders>
            <w:vMerge w:val="restart"/>
          </w:tcPr>
          <w:p>
            <w:pPr>
              <w:ind w:left="3060"/>
              <w:spacing w:after="0"/>
              <w:rPr>
                <w:sz w:val="20"/>
                <w:szCs w:val="20"/>
                <w:color w:val="auto"/>
              </w:rPr>
            </w:pPr>
            <w:r>
              <w:rPr>
                <w:rFonts w:ascii="Arial" w:cs="Arial" w:eastAsia="Arial" w:hAnsi="Arial"/>
                <w:sz w:val="14"/>
                <w:szCs w:val="14"/>
                <w:b w:val="1"/>
                <w:bCs w:val="1"/>
                <w:color w:val="auto"/>
              </w:rPr>
              <w:t>Title of each class of</w:t>
            </w:r>
          </w:p>
        </w:tc>
        <w:tc>
          <w:tcPr>
            <w:tcW w:w="20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2"/>
              </w:rPr>
              <w:t>unit/proposed</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738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tcPr>
          <w:p>
            <w:pPr>
              <w:jc w:val="center"/>
              <w:ind w:left="29"/>
              <w:spacing w:after="0" w:line="144" w:lineRule="exact"/>
              <w:rPr>
                <w:sz w:val="20"/>
                <w:szCs w:val="20"/>
                <w:color w:val="auto"/>
              </w:rPr>
            </w:pPr>
            <w:r>
              <w:rPr>
                <w:rFonts w:ascii="Arial" w:cs="Arial" w:eastAsia="Arial" w:hAnsi="Arial"/>
                <w:sz w:val="14"/>
                <w:szCs w:val="14"/>
                <w:b w:val="1"/>
                <w:bCs w:val="1"/>
                <w:color w:val="auto"/>
                <w:w w:val="92"/>
              </w:rPr>
              <w:t>maximum aggregate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380" w:type="dxa"/>
            <w:vAlign w:val="bottom"/>
            <w:tcBorders>
              <w:bottom w:val="single" w:sz="8" w:color="auto"/>
              <w:right w:val="single" w:sz="8" w:color="auto"/>
            </w:tcBorders>
          </w:tcPr>
          <w:p>
            <w:pPr>
              <w:ind w:left="2900"/>
              <w:spacing w:after="0"/>
              <w:rPr>
                <w:sz w:val="20"/>
                <w:szCs w:val="20"/>
                <w:color w:val="auto"/>
              </w:rPr>
            </w:pPr>
            <w:r>
              <w:rPr>
                <w:rFonts w:ascii="Arial" w:cs="Arial" w:eastAsia="Arial" w:hAnsi="Arial"/>
                <w:sz w:val="14"/>
                <w:szCs w:val="14"/>
                <w:b w:val="1"/>
                <w:bCs w:val="1"/>
                <w:color w:val="auto"/>
              </w:rPr>
              <w:t>securities to be registered</w:t>
            </w:r>
          </w:p>
        </w:tc>
        <w:tc>
          <w:tcPr>
            <w:tcW w:w="2000" w:type="dxa"/>
            <w:vAlign w:val="bottom"/>
            <w:tcBorders>
              <w:bottom w:val="single" w:sz="8" w:color="auto"/>
              <w:right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3"/>
              </w:rPr>
              <w:t>offering price</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$0.001 par value</w:t>
            </w:r>
          </w:p>
        </w:tc>
        <w:tc>
          <w:tcPr>
            <w:tcW w:w="20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9"/>
              </w:rPr>
              <w:t>(1)(2)</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Preferred Stock, $0.001 par value</w:t>
            </w:r>
          </w:p>
        </w:tc>
        <w:tc>
          <w:tcPr>
            <w:tcW w:w="20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9"/>
              </w:rPr>
              <w:t>(1)(2)</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Warrants</w:t>
            </w:r>
          </w:p>
        </w:tc>
        <w:tc>
          <w:tcPr>
            <w:tcW w:w="20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9"/>
              </w:rPr>
              <w:t>(1)(2)</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Purchase Contracts</w:t>
            </w:r>
          </w:p>
        </w:tc>
        <w:tc>
          <w:tcPr>
            <w:tcW w:w="20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9"/>
              </w:rPr>
              <w:t>(1)(2)</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Units</w:t>
            </w:r>
          </w:p>
        </w:tc>
        <w:tc>
          <w:tcPr>
            <w:tcW w:w="20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9"/>
              </w:rPr>
              <w:t>(1)(2)</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20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9"/>
              </w:rPr>
              <w:t>(1)(2)</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hanging="424"/>
        <w:spacing w:after="0" w:line="231"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Form S-3 General Instruction II.E.</w:t>
      </w:r>
    </w:p>
    <w:p>
      <w:pPr>
        <w:ind w:left="424" w:hanging="424"/>
        <w:spacing w:after="0" w:line="221"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unspecified number of securities or aggregate principal amount, as applicable, is being registered as may from time to time be offered at unspecified prices.</w:t>
      </w:r>
    </w:p>
    <w:p>
      <w:pPr>
        <w:ind w:left="424" w:right="480" w:hanging="424"/>
        <w:spacing w:after="0" w:line="237"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under the Securities Act the registrant is deferring payment of all registration fees and will pay the registration fees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0"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262255</wp:posOffset>
            </wp:positionV>
            <wp:extent cx="195453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SECURITIES INVOLVES RISKS. SEE </w:t>
      </w:r>
      <w:hyperlink w:anchor="page7">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BEGINNING ON PAGE 3 OF THIS PROSPECTUS AND IN ANY SIMILAR SECTION CONTAINED IN OR INCORPORATED BY REFERENCE HEREIN OR IN THE APPLICABLE PROSPECTUS SUPPLEMENT CONCERNING FACTORS YOU SHOULD CONSIDER BEFORE INVESTING IN OUR SECURITIES.</w:t>
      </w:r>
    </w:p>
    <w:p>
      <w:pPr>
        <w:spacing w:after="0" w:line="19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“ALXO.” On August 12, 2021, the last reported sale price of our common stock on the Nasdaq Global Select Market was $66.41 per share.</w:t>
      </w:r>
    </w:p>
    <w:p>
      <w:pPr>
        <w:spacing w:after="0" w:line="166"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13, 2021.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60" w:type="dxa"/>
            <w:vAlign w:val="bottom"/>
            <w:gridSpan w:val="2"/>
          </w:tcPr>
          <w:p>
            <w:pPr>
              <w:ind w:left="10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1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THE COMPANY</w:t>
              </w:r>
            </w:hyperlink>
          </w:p>
        </w:tc>
        <w:tc>
          <w:tcPr>
            <w:tcW w:w="940" w:type="dxa"/>
            <w:vAlign w:val="bottom"/>
            <w:tcBorders>
              <w:top w:val="single" w:sz="8" w:color="0000EE"/>
            </w:tcBorders>
            <w:gridSpan w:val="4"/>
          </w:tcPr>
          <w:p>
            <w:pPr>
              <w:spacing w:after="0"/>
              <w:rPr>
                <w:sz w:val="18"/>
                <w:szCs w:val="18"/>
                <w:color w:val="auto"/>
              </w:rPr>
            </w:pPr>
          </w:p>
        </w:tc>
        <w:tc>
          <w:tcPr>
            <w:tcW w:w="8440" w:type="dxa"/>
            <w:vAlign w:val="bottom"/>
            <w:gridSpan w:val="5"/>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USE OF PROCEEDS</w:t>
              </w:r>
            </w:hyperlink>
          </w:p>
        </w:tc>
        <w:tc>
          <w:tcPr>
            <w:tcW w:w="90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SECURITIES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PLAN OF DISTRIBUTION</w:t>
              </w:r>
            </w:hyperlink>
          </w:p>
        </w:tc>
        <w:tc>
          <w:tcPr>
            <w:tcW w:w="78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00" w:type="dxa"/>
            <w:vAlign w:val="bottom"/>
            <w:gridSpan w:val="10"/>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INCORPORATION OF CERTAIN INFORMATION BY REFERENCE</w:t>
              </w:r>
            </w:hyperlink>
          </w:p>
        </w:tc>
        <w:tc>
          <w:tcPr>
            <w:tcW w:w="54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6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7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When we refer to “ALX Oncology Holdings,” “we,” “our,” “us” and the “Company” in this prospectus, we mean ALX Oncology Holdings Inc., unless the context indicates otherwise or unless otherwise specified. When we refer to “you,” we mean the holders of the applicable series of securities.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focus on the CD47-SIRPα checkpoint pathway and bridge the innate and adaptive immune system. Cancer cells leverage CD47, a cell surface protein, as a “don’t eat me” signal, to evade detection by the immune system. Our lead program is a next-generation checkpoint inhibitor designed to have a high affinity for CD47 and to avoid the limitations caused by hematologic toxicities inherent in other CD47 blocking approaches. We believe our lead product candidate, evorpacept (formerly known as ALX148), will have a wide therapeutic window to block the “don’t eat me” signal on cancer cells, and to leverage the immune activation of broadly used anti-cancer agents through combination strategies. We have dosed over 170 subjects with evorpacept across a range of hematologic and solid malignancies in combination with a number of leading anti-cancer agents. We intend to continue clinical development for the treatment of a range of solid tumor indications and for the treatment of hematologic malignancies, including myelodysplastic syndromes, or MDS, and acute myeloid leukemia, or AML. We plan to initiate additional studies in combination with leading anti-cancer agents.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w:t>
      </w:r>
    </w:p>
    <w:p>
      <w:pPr>
        <w:spacing w:after="0" w:line="18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Our office is located at 866 Malcom Road, Suite 100, Burlingame, California 94010. Our telephone number is 650-466-7125. Our website address is https://www.alxoncology.com. Information contained on, or that can be accessed through, our website is not incorporated by reference into this prospectus and should not be considered to be part of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common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preferred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shares of our common stock or preferred stock or other securities from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 representing two or more of the foregoing securities.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the amended and restated bylaws, copies of which are filed with the SEC as exhibits to our registration statement, of which this prospectus forms a part.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authorizes preferred stock and common stock. Our authorized capital stock consists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1,100,000,000 shares, $0.001 par value per share, of which:</w:t>
      </w:r>
    </w:p>
    <w:p>
      <w:pPr>
        <w:spacing w:after="0" w:line="11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1,000,000,000 shares are designated as voting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ratably those dividends, if any, as may be declared by the board of directors out of legally available funds. 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Subject to preferences that may be applicable to any then-outstanding shares of convertible preferred stock, holders of our common stock are entitled to receive dividends, if any, as may be declared from time to time by our board of directors out of legally available funds.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We are party to that certain Amended and Restated Investors’ Rights Agreement dated April 1, 2020,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connection with this offering, the holders of an aggregate of 24,429,399 shares of our common stock were entitled to, and the necessary percentage of holders waived, their rights to notice of this offering and to include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will pay the registration expenses, other than underwriting discounts and commissions, of the shares registered by the demand, Form S-3 and piggyback registrations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29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amended and restated certificate of incorporation provides that our board of directors is divided into three classes, designated Class I, Class II and Class III. The current board of directors consists of seven members, divided into three classes with staggered three-year terms. The term of initial Class I directors terminated on the date of the 2021 annual meeting. At the 2021 annual meeting, Corey Goodman, Ph.D., Jason Lettmann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Sophia Randolph, M.D., Ph.D., were nominated and elected to serve as Class I directors for a three-year term until the 2024 annual meeting of stockholders or until their successors are duly elected and qualified. The term of the initial Class II directors shall terminate on the date of the 2022 annual meeting, and the term of the initial Class III directors shall terminate on the date of the 2023 annual meeting. At each subsequent annual meeting of stockholders, successors to the class of directors whose term expires at that annual meeting will be elected for a three-year term.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affected by 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the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of Liability and Indemnification of Officers and Directors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4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Investors may be adversely affected to the extent we pay the costs of settlement and damage awards against directors and officers pursuant to these indemnification provisions.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trading symbol “ALXO.”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 Street, Canton, Massachusetts 02021.</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may sell the securities from time to time pursuant to underwritten public offerings, direct sales to the public, “at the market” offerings, negotiated transactions, block trades or a combination of these methods. We may sell the offered securities from time to time:</w:t>
      </w:r>
    </w:p>
    <w:p>
      <w:pPr>
        <w:spacing w:after="0" w:line="5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320" w:top="459"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ALX Oncology Holdings.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consolidated financial statements of ALX Oncology Holdings Inc. as of December 31, 2020 and 2019, and for each of the years in the three-year period ended December 31, 2020, have been incorporated by reference herein in reliance upon the report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We also maintain a website </w:t>
      </w:r>
      <w:r>
        <w:rPr>
          <w:rFonts w:ascii="Arial" w:cs="Arial" w:eastAsia="Arial" w:hAnsi="Arial"/>
          <w:sz w:val="16"/>
          <w:szCs w:val="16"/>
          <w:u w:val="single" w:color="auto"/>
          <w:color w:val="auto"/>
        </w:rPr>
        <w:t>at www.alxoncology.com</w:t>
      </w:r>
      <w:r>
        <w:rPr>
          <w:rFonts w:ascii="Arial" w:cs="Arial" w:eastAsia="Arial" w:hAnsi="Arial"/>
          <w:sz w:val="16"/>
          <w:szCs w:val="16"/>
          <w:color w:val="auto"/>
        </w:rPr>
        <w:t xml:space="preserve">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18, 2021;</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39">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0">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with the SEC on May 13, 2021 and August 12, 2021, respectively;</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2020, from our </w:t>
      </w:r>
      <w:hyperlink r:id="rId41">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2021 annual meeting of stockholders, filed with the SEC on April 29, 2021;</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42">
        <w:r>
          <w:rPr>
            <w:rFonts w:ascii="Arial" w:cs="Arial" w:eastAsia="Arial" w:hAnsi="Arial"/>
            <w:sz w:val="17"/>
            <w:szCs w:val="17"/>
            <w:u w:val="single" w:color="auto"/>
            <w:color w:val="0000EE"/>
          </w:rPr>
          <w:t>March 15, 2021</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EE"/>
          </w:rPr>
          <w:t>March 25, 2021</w:t>
        </w:r>
      </w:hyperlink>
      <w:r>
        <w:rPr>
          <w:rFonts w:ascii="Arial" w:cs="Arial" w:eastAsia="Arial" w:hAnsi="Arial"/>
          <w:sz w:val="17"/>
          <w:szCs w:val="17"/>
          <w:color w:val="auto"/>
        </w:rPr>
        <w:t xml:space="preserve">, </w:t>
      </w:r>
      <w:hyperlink r:id="rId44">
        <w:r>
          <w:rPr>
            <w:rFonts w:ascii="Arial" w:cs="Arial" w:eastAsia="Arial" w:hAnsi="Arial"/>
            <w:sz w:val="17"/>
            <w:szCs w:val="17"/>
            <w:u w:val="single" w:color="auto"/>
            <w:color w:val="0000EE"/>
          </w:rPr>
          <w:t>May 4,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5">
        <w:r>
          <w:rPr>
            <w:rFonts w:ascii="Arial" w:cs="Arial" w:eastAsia="Arial" w:hAnsi="Arial"/>
            <w:sz w:val="17"/>
            <w:szCs w:val="17"/>
            <w:u w:val="single" w:color="auto"/>
            <w:color w:val="0000EE"/>
          </w:rPr>
          <w:t>June 15,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46">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70" w:lineRule="exact"/>
        <w:rPr>
          <w:rFonts w:ascii="Arial" w:cs="Arial" w:eastAsia="Arial" w:hAnsi="Arial"/>
          <w:sz w:val="17"/>
          <w:szCs w:val="17"/>
          <w:color w:val="auto"/>
        </w:rPr>
      </w:pPr>
    </w:p>
    <w:p>
      <w:pPr>
        <w:ind w:left="120"/>
        <w:spacing w:after="0" w:line="272" w:lineRule="auto"/>
        <w:rPr>
          <w:sz w:val="20"/>
          <w:szCs w:val="20"/>
          <w:color w:val="auto"/>
        </w:rPr>
      </w:pPr>
      <w:r>
        <w:rPr>
          <w:rFonts w:ascii="Arial" w:cs="Arial" w:eastAsia="Arial" w:hAnsi="Arial"/>
          <w:sz w:val="17"/>
          <w:szCs w:val="17"/>
          <w:color w:val="auto"/>
        </w:rPr>
        <w:t>Any documents we file with the SEC pursuant to Section 13(a), 13(c), 14 or 15(d) of the Exchange Act after the date of this prospectus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7" w:lineRule="exact"/>
        <w:rPr>
          <w:rFonts w:ascii="Arial" w:cs="Arial" w:eastAsia="Arial" w:hAnsi="Arial"/>
          <w:sz w:val="17"/>
          <w:szCs w:val="17"/>
          <w:color w:val="auto"/>
        </w:rPr>
      </w:pPr>
    </w:p>
    <w:p>
      <w:pPr>
        <w:ind w:left="12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117"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ALX Oncology Holdings Inc.</w:t>
      </w:r>
    </w:p>
    <w:p>
      <w:pPr>
        <w:spacing w:after="0" w:line="23"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866 Malcolm Road, Suite 100</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Burlingame, California 94010</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650-466-7125</w:t>
      </w:r>
    </w:p>
    <w:p>
      <w:pPr>
        <w:spacing w:after="0" w:line="211" w:lineRule="exact"/>
        <w:rPr>
          <w:rFonts w:ascii="Arial" w:cs="Arial" w:eastAsia="Arial" w:hAnsi="Arial"/>
          <w:sz w:val="17"/>
          <w:szCs w:val="17"/>
          <w:color w:val="auto"/>
        </w:rPr>
      </w:pPr>
    </w:p>
    <w:p>
      <w:pPr>
        <w:ind w:left="120" w:right="16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03"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Printing expenses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trustee and warrant agent and depositary fees and expenses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17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of 1933, as amended, we are deferring payment of the registration fee for the securities offered under this registration statement.</w:t>
      </w:r>
    </w:p>
    <w:p>
      <w:pPr>
        <w:spacing w:after="0" w:line="1" w:lineRule="exact"/>
        <w:rPr>
          <w:rFonts w:ascii="Arial" w:cs="Arial" w:eastAsia="Arial" w:hAnsi="Arial"/>
          <w:sz w:val="18"/>
          <w:szCs w:val="18"/>
          <w:color w:val="auto"/>
        </w:rPr>
      </w:pPr>
    </w:p>
    <w:p>
      <w:pPr>
        <w:ind w:left="540" w:right="260" w:hanging="424"/>
        <w:spacing w:after="0" w:line="26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cannot be estimated at this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Delaware General Corporation Law. The registrant has entered into indemnification agreements with each of its directors and officers to provide these directors additional contractual assurances regarding the scope of the indemnification set forth in the registrant’s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6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proposed form of underwriting agreement filed as Exhibit 1.1. to this registration statement will provide for indemnification of directors and officers of the registrant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380" w:hanging="264"/>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280" w:hanging="4"/>
        <w:spacing w:after="0" w:line="263"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120" w:right="340" w:hanging="4"/>
        <w:spacing w:after="0" w:line="277" w:lineRule="auto"/>
        <w:tabs>
          <w:tab w:leader="none" w:pos="4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7" w:lineRule="exact"/>
        <w:rPr>
          <w:sz w:val="20"/>
          <w:szCs w:val="20"/>
          <w:color w:val="auto"/>
        </w:rPr>
      </w:pPr>
    </w:p>
    <w:p>
      <w:pPr>
        <w:ind w:left="120" w:right="80" w:hanging="4"/>
        <w:spacing w:after="0" w:line="263" w:lineRule="auto"/>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20" w:hanging="4"/>
        <w:spacing w:after="0" w:line="277" w:lineRule="auto"/>
        <w:tabs>
          <w:tab w:leader="none" w:pos="3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80" w:hanging="26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sz w:val="20"/>
          <w:szCs w:val="20"/>
          <w:color w:val="auto"/>
        </w:rPr>
      </w:pPr>
    </w:p>
    <w:p>
      <w:pPr>
        <w:ind w:left="120" w:right="380" w:hanging="4"/>
        <w:spacing w:after="0" w:line="277" w:lineRule="auto"/>
        <w:tabs>
          <w:tab w:leader="none" w:pos="4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hanging="4"/>
        <w:spacing w:after="0" w:line="272" w:lineRule="auto"/>
        <w:tabs>
          <w:tab w:leader="none" w:pos="40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7" w:lineRule="exact"/>
        <w:rPr>
          <w:sz w:val="20"/>
          <w:szCs w:val="20"/>
          <w:color w:val="auto"/>
        </w:rPr>
      </w:pPr>
    </w:p>
    <w:p>
      <w:pPr>
        <w:ind w:left="120" w:right="80" w:hanging="4"/>
        <w:spacing w:after="0" w:line="254"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5" w:lineRule="exact"/>
        <w:rPr>
          <w:sz w:val="20"/>
          <w:szCs w:val="20"/>
          <w:color w:val="auto"/>
        </w:rPr>
      </w:pPr>
    </w:p>
    <w:p>
      <w:pPr>
        <w:ind w:left="120" w:right="740" w:hanging="4"/>
        <w:spacing w:after="0" w:line="277" w:lineRule="auto"/>
        <w:tabs>
          <w:tab w:leader="none" w:pos="3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w:t>
      </w:r>
    </w:p>
    <w:p>
      <w:pPr>
        <w:spacing w:after="0" w:line="6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120" w:right="160" w:hanging="4"/>
        <w:spacing w:after="0" w:line="277" w:lineRule="auto"/>
        <w:tabs>
          <w:tab w:leader="none" w:pos="3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500" w:hanging="4"/>
        <w:spacing w:after="0" w:line="277" w:lineRule="auto"/>
        <w:tabs>
          <w:tab w:leader="none" w:pos="4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prepared by or on behalf of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420" w:hanging="304"/>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sz w:val="20"/>
          <w:szCs w:val="20"/>
          <w:color w:val="auto"/>
        </w:rPr>
      </w:pPr>
    </w:p>
    <w:p>
      <w:pPr>
        <w:ind w:left="120" w:right="20" w:hanging="4"/>
        <w:spacing w:after="0" w:line="308" w:lineRule="auto"/>
        <w:tabs>
          <w:tab w:leader="none" w:pos="3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46" w:lineRule="exact"/>
        <w:rPr>
          <w:sz w:val="20"/>
          <w:szCs w:val="20"/>
          <w:color w:val="auto"/>
        </w:rPr>
      </w:pPr>
    </w:p>
    <w:p>
      <w:pPr>
        <w:ind w:left="120" w:right="200" w:hanging="4"/>
        <w:spacing w:after="0" w:line="257" w:lineRule="auto"/>
        <w:tabs>
          <w:tab w:leader="none" w:pos="3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0" w:hanging="4"/>
        <w:spacing w:after="0" w:line="279" w:lineRule="auto"/>
        <w:tabs>
          <w:tab w:leader="none" w:pos="3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1"/>
              </w:rPr>
              <w:t>Incorporated by Reference</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5460" w:type="dxa"/>
            <w:vAlign w:val="bottom"/>
            <w:gridSpan w:val="12"/>
            <w:vMerge w:val="restart"/>
          </w:tcPr>
          <w:p>
            <w:pPr>
              <w:ind w:left="1800"/>
              <w:spacing w:after="0"/>
              <w:rPr>
                <w:sz w:val="20"/>
                <w:szCs w:val="20"/>
                <w:color w:val="auto"/>
              </w:rPr>
            </w:pPr>
            <w:r>
              <w:rPr>
                <w:rFonts w:ascii="Arial" w:cs="Arial" w:eastAsia="Arial" w:hAnsi="Arial"/>
                <w:sz w:val="14"/>
                <w:szCs w:val="14"/>
                <w:b w:val="1"/>
                <w:bCs w:val="1"/>
                <w:color w:val="auto"/>
              </w:rPr>
              <w:t>Description</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ind w:left="300"/>
              <w:spacing w:after="0" w:line="115"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82"/>
        </w:trPr>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Pr>
          <w:p>
            <w:pPr>
              <w:spacing w:after="0"/>
              <w:rPr>
                <w:sz w:val="15"/>
                <w:szCs w:val="15"/>
                <w:color w:val="auto"/>
              </w:rPr>
            </w:pPr>
          </w:p>
        </w:tc>
        <w:tc>
          <w:tcPr>
            <w:tcW w:w="5460" w:type="dxa"/>
            <w:vAlign w:val="bottom"/>
            <w:gridSpan w:val="1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040" w:type="dxa"/>
            <w:vAlign w:val="bottom"/>
          </w:tcPr>
          <w:p>
            <w:pPr>
              <w:ind w:left="3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98"/>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1.1*</w:t>
            </w:r>
          </w:p>
        </w:tc>
        <w:tc>
          <w:tcPr>
            <w:tcW w:w="27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gridSpan w:val="2"/>
          </w:tcPr>
          <w:p>
            <w:pPr>
              <w:spacing w:after="0"/>
              <w:rPr>
                <w:sz w:val="24"/>
                <w:szCs w:val="24"/>
                <w:color w:val="auto"/>
              </w:rPr>
            </w:pPr>
          </w:p>
        </w:tc>
        <w:tc>
          <w:tcPr>
            <w:tcW w:w="2940" w:type="dxa"/>
            <w:vAlign w:val="bottom"/>
            <w:gridSpan w:val="9"/>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6380" w:type="dxa"/>
            <w:vAlign w:val="bottom"/>
            <w:gridSpan w:val="13"/>
          </w:tcPr>
          <w:p>
            <w:pPr>
              <w:spacing w:after="0"/>
              <w:rPr>
                <w:rFonts w:ascii="Arial" w:cs="Arial" w:eastAsia="Arial" w:hAnsi="Arial"/>
                <w:sz w:val="18"/>
                <w:szCs w:val="18"/>
                <w:color w:val="0000EE"/>
              </w:rPr>
            </w:pPr>
            <w:hyperlink r:id="rId52">
              <w:r>
                <w:rPr>
                  <w:rFonts w:ascii="Arial" w:cs="Arial" w:eastAsia="Arial" w:hAnsi="Arial"/>
                  <w:sz w:val="18"/>
                  <w:szCs w:val="18"/>
                  <w:color w:val="0000EE"/>
                </w:rPr>
                <w:t>Amended and Restated Certificate of Incorporation of the Registrant.</w:t>
              </w:r>
            </w:hyperlink>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w w:val="93"/>
              </w:rPr>
              <w:t>July 21, 2020</w:t>
            </w:r>
          </w:p>
        </w:tc>
        <w:tc>
          <w:tcPr>
            <w:tcW w:w="0" w:type="dxa"/>
            <w:vAlign w:val="bottom"/>
          </w:tcPr>
          <w:p>
            <w:pPr>
              <w:spacing w:after="0"/>
              <w:rPr>
                <w:sz w:val="1"/>
                <w:szCs w:val="1"/>
                <w:color w:val="auto"/>
              </w:rPr>
            </w:pPr>
          </w:p>
        </w:tc>
      </w:tr>
      <w:tr>
        <w:trPr>
          <w:trHeight w:val="304"/>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4980" w:type="dxa"/>
            <w:vAlign w:val="bottom"/>
            <w:tcBorders>
              <w:top w:val="single" w:sz="8" w:color="0000EE"/>
            </w:tcBorders>
            <w:gridSpan w:val="7"/>
          </w:tcPr>
          <w:p>
            <w:pPr>
              <w:spacing w:after="0"/>
              <w:rPr>
                <w:rFonts w:ascii="Arial" w:cs="Arial" w:eastAsia="Arial" w:hAnsi="Arial"/>
                <w:sz w:val="18"/>
                <w:szCs w:val="18"/>
                <w:color w:val="0000EE"/>
              </w:rPr>
            </w:pPr>
            <w:hyperlink r:id="rId53">
              <w:r>
                <w:rPr>
                  <w:rFonts w:ascii="Arial" w:cs="Arial" w:eastAsia="Arial" w:hAnsi="Arial"/>
                  <w:sz w:val="18"/>
                  <w:szCs w:val="18"/>
                  <w:color w:val="0000EE"/>
                </w:rPr>
                <w:t>Amended and Restated Bylaws of the Registrant.</w:t>
              </w:r>
            </w:hyperlink>
          </w:p>
        </w:tc>
        <w:tc>
          <w:tcPr>
            <w:tcW w:w="1400" w:type="dxa"/>
            <w:vAlign w:val="bottom"/>
            <w:gridSpan w:val="6"/>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001-39386</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w w:val="93"/>
              </w:rPr>
              <w:t>July 21, 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6380" w:type="dxa"/>
            <w:vAlign w:val="bottom"/>
            <w:gridSpan w:val="13"/>
          </w:tcPr>
          <w:p>
            <w:pPr>
              <w:spacing w:after="0"/>
              <w:rPr>
                <w:rFonts w:ascii="Arial" w:cs="Arial" w:eastAsia="Arial" w:hAnsi="Arial"/>
                <w:sz w:val="18"/>
                <w:szCs w:val="18"/>
                <w:color w:val="0000EE"/>
              </w:rPr>
            </w:pPr>
            <w:hyperlink r:id="rId54">
              <w:r>
                <w:rPr>
                  <w:rFonts w:ascii="Arial" w:cs="Arial" w:eastAsia="Arial" w:hAnsi="Arial"/>
                  <w:sz w:val="18"/>
                  <w:szCs w:val="18"/>
                  <w:color w:val="0000EE"/>
                </w:rPr>
                <w:t>Amended and Restated Investors’ Rights Agreement among the Registrant and</w:t>
              </w:r>
            </w:hyperlink>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9"/>
              </w:rPr>
              <w:t>June 26, 2020</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certain of its stockholders, dated April 1, 2020.</w:t>
              </w:r>
            </w:hyperlink>
          </w:p>
        </w:tc>
        <w:tc>
          <w:tcPr>
            <w:tcW w:w="2280" w:type="dxa"/>
            <w:vAlign w:val="bottom"/>
            <w:tcBorders>
              <w:top w:val="single" w:sz="8" w:color="0000EE"/>
            </w:tcBorders>
            <w:gridSpan w:val="8"/>
          </w:tcPr>
          <w:p>
            <w:pPr>
              <w:spacing w:after="0"/>
              <w:rPr>
                <w:sz w:val="17"/>
                <w:szCs w:val="17"/>
                <w:color w:val="auto"/>
              </w:rPr>
            </w:pPr>
          </w:p>
        </w:tc>
        <w:tc>
          <w:tcPr>
            <w:tcW w:w="7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6380" w:type="dxa"/>
            <w:vAlign w:val="bottom"/>
            <w:gridSpan w:val="13"/>
          </w:tcPr>
          <w:p>
            <w:pPr>
              <w:spacing w:after="0"/>
              <w:rPr>
                <w:rFonts w:ascii="Arial" w:cs="Arial" w:eastAsia="Arial" w:hAnsi="Arial"/>
                <w:sz w:val="18"/>
                <w:szCs w:val="18"/>
                <w:color w:val="0000EE"/>
              </w:rPr>
            </w:pPr>
            <w:hyperlink r:id="rId55">
              <w:r>
                <w:rPr>
                  <w:rFonts w:ascii="Arial" w:cs="Arial" w:eastAsia="Arial" w:hAnsi="Arial"/>
                  <w:sz w:val="18"/>
                  <w:szCs w:val="18"/>
                  <w:color w:val="0000EE"/>
                </w:rPr>
                <w:t>Specimen common stock certificate of the Registrant.</w:t>
              </w:r>
            </w:hyperlink>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S-1</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333-239490</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9"/>
              </w:rPr>
              <w:t>June 26, 2020</w:t>
            </w:r>
          </w:p>
        </w:tc>
        <w:tc>
          <w:tcPr>
            <w:tcW w:w="0" w:type="dxa"/>
            <w:vAlign w:val="bottom"/>
          </w:tcPr>
          <w:p>
            <w:pPr>
              <w:spacing w:after="0"/>
              <w:rPr>
                <w:sz w:val="1"/>
                <w:szCs w:val="1"/>
                <w:color w:val="auto"/>
              </w:rPr>
            </w:pPr>
          </w:p>
        </w:tc>
      </w:tr>
      <w:tr>
        <w:trPr>
          <w:trHeight w:val="345"/>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4.3*</w:t>
            </w:r>
          </w:p>
        </w:tc>
        <w:tc>
          <w:tcPr>
            <w:tcW w:w="38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Form of Warrant.</w:t>
            </w:r>
          </w:p>
        </w:tc>
        <w:tc>
          <w:tcPr>
            <w:tcW w:w="252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4.4*</w:t>
            </w:r>
          </w:p>
        </w:tc>
        <w:tc>
          <w:tcPr>
            <w:tcW w:w="6380" w:type="dxa"/>
            <w:vAlign w:val="bottom"/>
            <w:gridSpan w:val="13"/>
          </w:tcPr>
          <w:p>
            <w:pPr>
              <w:spacing w:after="0"/>
              <w:rPr>
                <w:sz w:val="20"/>
                <w:szCs w:val="20"/>
                <w:color w:val="auto"/>
              </w:rPr>
            </w:pPr>
            <w:r>
              <w:rPr>
                <w:rFonts w:ascii="Arial" w:cs="Arial" w:eastAsia="Arial" w:hAnsi="Arial"/>
                <w:sz w:val="18"/>
                <w:szCs w:val="18"/>
                <w:color w:val="auto"/>
              </w:rPr>
              <w:t>Form of Warrant Agreement.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4.5*</w:t>
            </w:r>
          </w:p>
        </w:tc>
        <w:tc>
          <w:tcPr>
            <w:tcW w:w="6380" w:type="dxa"/>
            <w:vAlign w:val="bottom"/>
            <w:gridSpan w:val="13"/>
          </w:tcPr>
          <w:p>
            <w:pPr>
              <w:spacing w:after="0"/>
              <w:rPr>
                <w:sz w:val="20"/>
                <w:szCs w:val="20"/>
                <w:color w:val="auto"/>
              </w:rPr>
            </w:pPr>
            <w:r>
              <w:rPr>
                <w:rFonts w:ascii="Arial" w:cs="Arial" w:eastAsia="Arial" w:hAnsi="Arial"/>
                <w:sz w:val="18"/>
                <w:szCs w:val="18"/>
                <w:color w:val="auto"/>
              </w:rPr>
              <w:t>Form of Purchase Contract Agreement.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 w:type="dxa"/>
            <w:vAlign w:val="bottom"/>
          </w:tcPr>
          <w:p>
            <w:pPr>
              <w:jc w:val="right"/>
              <w:ind w:right="352"/>
              <w:spacing w:after="0"/>
              <w:rPr>
                <w:sz w:val="20"/>
                <w:szCs w:val="20"/>
                <w:color w:val="auto"/>
              </w:rPr>
            </w:pPr>
            <w:r>
              <w:rPr>
                <w:rFonts w:ascii="Arial" w:cs="Arial" w:eastAsia="Arial" w:hAnsi="Arial"/>
                <w:sz w:val="18"/>
                <w:szCs w:val="18"/>
                <w:color w:val="auto"/>
              </w:rPr>
              <w:t>4.6*</w:t>
            </w:r>
          </w:p>
        </w:tc>
        <w:tc>
          <w:tcPr>
            <w:tcW w:w="6380" w:type="dxa"/>
            <w:vAlign w:val="bottom"/>
            <w:gridSpan w:val="13"/>
          </w:tcPr>
          <w:p>
            <w:pPr>
              <w:spacing w:after="0"/>
              <w:rPr>
                <w:sz w:val="20"/>
                <w:szCs w:val="20"/>
                <w:color w:val="auto"/>
              </w:rPr>
            </w:pPr>
            <w:r>
              <w:rPr>
                <w:rFonts w:ascii="Arial" w:cs="Arial" w:eastAsia="Arial" w:hAnsi="Arial"/>
                <w:sz w:val="18"/>
                <w:szCs w:val="18"/>
                <w:color w:val="auto"/>
              </w:rPr>
              <w:t>Form of Unit Agreement.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5.1</w:t>
            </w:r>
          </w:p>
        </w:tc>
        <w:tc>
          <w:tcPr>
            <w:tcW w:w="638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Opinion of Wilson Sonsini Goodrich &amp; Rosati, Professional Corporation.</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23.1</w:t>
            </w:r>
          </w:p>
        </w:tc>
        <w:tc>
          <w:tcPr>
            <w:tcW w:w="638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Consent of KPMG LLP, Independent Registered Public Accounting Firm.</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0" w:type="dxa"/>
            <w:vAlign w:val="bottom"/>
            <w:gridSpan w:val="8"/>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23.2</w:t>
            </w:r>
          </w:p>
        </w:tc>
        <w:tc>
          <w:tcPr>
            <w:tcW w:w="61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Consent of Wilson Sonsini Goodrich &amp; Rosati, Professional Corporation (included in</w:t>
              </w:r>
            </w:hyperlink>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Exhibit 5.1).</w:t>
              </w:r>
            </w:hyperlink>
          </w:p>
        </w:tc>
        <w:tc>
          <w:tcPr>
            <w:tcW w:w="546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24.1</w:t>
            </w:r>
          </w:p>
        </w:tc>
        <w:tc>
          <w:tcPr>
            <w:tcW w:w="6380" w:type="dxa"/>
            <w:vAlign w:val="bottom"/>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Powers of Attorney (incorporated by reference to the signature page hereto).</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80" w:right="3260" w:hanging="5364"/>
        <w:spacing w:after="0" w:line="449"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 II-5</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Burlingame, State of California, on August 13, 2021.</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2486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200" w:type="dxa"/>
            <w:vAlign w:val="bottom"/>
          </w:tcPr>
          <w:p>
            <w:pPr>
              <w:ind w:left="1300"/>
              <w:spacing w:after="0"/>
              <w:rPr>
                <w:sz w:val="20"/>
                <w:szCs w:val="20"/>
                <w:color w:val="auto"/>
              </w:rPr>
            </w:pPr>
            <w:r>
              <w:rPr>
                <w:rFonts w:ascii="Arial" w:cs="Arial" w:eastAsia="Arial" w:hAnsi="Arial"/>
                <w:sz w:val="14"/>
                <w:szCs w:val="14"/>
                <w:b w:val="1"/>
                <w:bCs w:val="1"/>
                <w:color w:val="auto"/>
              </w:rPr>
              <w:t>Signature</w:t>
            </w:r>
          </w:p>
        </w:tc>
        <w:tc>
          <w:tcPr>
            <w:tcW w:w="5140" w:type="dxa"/>
            <w:vAlign w:val="bottom"/>
          </w:tcPr>
          <w:p>
            <w:pPr>
              <w:ind w:left="2780"/>
              <w:spacing w:after="0"/>
              <w:rPr>
                <w:sz w:val="20"/>
                <w:szCs w:val="20"/>
                <w:color w:val="auto"/>
              </w:rPr>
            </w:pPr>
            <w:r>
              <w:rPr>
                <w:rFonts w:ascii="Arial" w:cs="Arial" w:eastAsia="Arial" w:hAnsi="Arial"/>
                <w:sz w:val="14"/>
                <w:szCs w:val="14"/>
                <w:b w:val="1"/>
                <w:bCs w:val="1"/>
                <w:color w:val="auto"/>
              </w:rPr>
              <w:t>Title</w:t>
            </w:r>
          </w:p>
        </w:tc>
        <w:tc>
          <w:tcPr>
            <w:tcW w:w="2340" w:type="dxa"/>
            <w:vAlign w:val="bottom"/>
          </w:tcPr>
          <w:p>
            <w:pPr>
              <w:jc w:val="center"/>
              <w:ind w:left="1053"/>
              <w:spacing w:after="0"/>
              <w:rPr>
                <w:sz w:val="20"/>
                <w:szCs w:val="20"/>
                <w:color w:val="auto"/>
              </w:rPr>
            </w:pPr>
            <w:r>
              <w:rPr>
                <w:rFonts w:ascii="Arial" w:cs="Arial" w:eastAsia="Arial" w:hAnsi="Arial"/>
                <w:sz w:val="14"/>
                <w:szCs w:val="14"/>
                <w:b w:val="1"/>
                <w:bCs w:val="1"/>
                <w:color w:val="auto"/>
                <w:w w:val="92"/>
              </w:rPr>
              <w:t>Date</w:t>
            </w:r>
          </w:p>
        </w:tc>
      </w:tr>
      <w:tr>
        <w:trPr>
          <w:trHeight w:val="47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Jaume Pons</w:t>
            </w:r>
          </w:p>
        </w:tc>
        <w:tc>
          <w:tcPr>
            <w:tcW w:w="514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340" w:type="dxa"/>
            <w:vAlign w:val="bottom"/>
          </w:tcPr>
          <w:p>
            <w:pPr>
              <w:jc w:val="center"/>
              <w:ind w:left="1053"/>
              <w:spacing w:after="0"/>
              <w:rPr>
                <w:sz w:val="20"/>
                <w:szCs w:val="20"/>
                <w:color w:val="auto"/>
              </w:rPr>
            </w:pPr>
            <w:r>
              <w:rPr>
                <w:rFonts w:ascii="Arial" w:cs="Arial" w:eastAsia="Arial" w:hAnsi="Arial"/>
                <w:sz w:val="18"/>
                <w:szCs w:val="18"/>
                <w:color w:val="auto"/>
                <w:w w:val="91"/>
              </w:rPr>
              <w:t>August 13,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Jaume Pons, Ph.D.</w:t>
            </w:r>
          </w:p>
        </w:tc>
        <w:tc>
          <w:tcPr>
            <w:tcW w:w="51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340" w:type="dxa"/>
            <w:vAlign w:val="bottom"/>
          </w:tcPr>
          <w:p>
            <w:pPr>
              <w:spacing w:after="0"/>
              <w:rPr>
                <w:sz w:val="19"/>
                <w:szCs w:val="19"/>
                <w:color w:val="auto"/>
              </w:rPr>
            </w:pPr>
          </w:p>
        </w:tc>
      </w:tr>
      <w:tr>
        <w:trPr>
          <w:trHeight w:val="485"/>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Garcia</w:t>
            </w:r>
          </w:p>
        </w:tc>
        <w:tc>
          <w:tcPr>
            <w:tcW w:w="51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340" w:type="dxa"/>
            <w:vAlign w:val="bottom"/>
          </w:tcPr>
          <w:p>
            <w:pPr>
              <w:jc w:val="center"/>
              <w:ind w:left="1053"/>
              <w:spacing w:after="0"/>
              <w:rPr>
                <w:sz w:val="20"/>
                <w:szCs w:val="20"/>
                <w:color w:val="auto"/>
              </w:rPr>
            </w:pPr>
            <w:r>
              <w:rPr>
                <w:rFonts w:ascii="Arial" w:cs="Arial" w:eastAsia="Arial" w:hAnsi="Arial"/>
                <w:sz w:val="18"/>
                <w:szCs w:val="18"/>
                <w:color w:val="auto"/>
                <w:w w:val="91"/>
              </w:rPr>
              <w:t>August 13,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Peter Garcia</w:t>
            </w:r>
          </w:p>
        </w:tc>
        <w:tc>
          <w:tcPr>
            <w:tcW w:w="51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2340" w:type="dxa"/>
            <w:vAlign w:val="bottom"/>
          </w:tcPr>
          <w:p>
            <w:pPr>
              <w:spacing w:after="0"/>
              <w:rPr>
                <w:sz w:val="19"/>
                <w:szCs w:val="19"/>
                <w:color w:val="auto"/>
              </w:rPr>
            </w:pPr>
          </w:p>
        </w:tc>
      </w:tr>
      <w:tr>
        <w:trPr>
          <w:trHeight w:val="485"/>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Pinto</w:t>
            </w:r>
          </w:p>
        </w:tc>
        <w:tc>
          <w:tcPr>
            <w:tcW w:w="5140" w:type="dxa"/>
            <w:vAlign w:val="bottom"/>
          </w:tcPr>
          <w:p>
            <w:pPr>
              <w:ind w:left="120"/>
              <w:spacing w:after="0"/>
              <w:rPr>
                <w:sz w:val="20"/>
                <w:szCs w:val="20"/>
                <w:color w:val="auto"/>
              </w:rPr>
            </w:pPr>
            <w:r>
              <w:rPr>
                <w:rFonts w:ascii="Arial" w:cs="Arial" w:eastAsia="Arial" w:hAnsi="Arial"/>
                <w:sz w:val="18"/>
                <w:szCs w:val="18"/>
                <w:color w:val="auto"/>
              </w:rPr>
              <w:t>Vice President, Finance and Chief Accounting Officer</w:t>
            </w:r>
          </w:p>
        </w:tc>
        <w:tc>
          <w:tcPr>
            <w:tcW w:w="2340" w:type="dxa"/>
            <w:vAlign w:val="bottom"/>
          </w:tcPr>
          <w:p>
            <w:pPr>
              <w:jc w:val="center"/>
              <w:ind w:left="1053"/>
              <w:spacing w:after="0"/>
              <w:rPr>
                <w:sz w:val="20"/>
                <w:szCs w:val="20"/>
                <w:color w:val="auto"/>
              </w:rPr>
            </w:pPr>
            <w:r>
              <w:rPr>
                <w:rFonts w:ascii="Arial" w:cs="Arial" w:eastAsia="Arial" w:hAnsi="Arial"/>
                <w:sz w:val="18"/>
                <w:szCs w:val="18"/>
                <w:color w:val="auto"/>
                <w:w w:val="91"/>
              </w:rPr>
              <w:t>August 13,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Shelly Pinto</w:t>
            </w:r>
          </w:p>
        </w:tc>
        <w:tc>
          <w:tcPr>
            <w:tcW w:w="5140" w:type="dxa"/>
            <w:vAlign w:val="bottom"/>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2340" w:type="dxa"/>
            <w:vAlign w:val="bottom"/>
          </w:tcPr>
          <w:p>
            <w:pPr>
              <w:spacing w:after="0"/>
              <w:rPr>
                <w:sz w:val="19"/>
                <w:szCs w:val="19"/>
                <w:color w:val="auto"/>
              </w:rPr>
            </w:pPr>
          </w:p>
        </w:tc>
      </w:tr>
      <w:tr>
        <w:trPr>
          <w:trHeight w:val="43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Corey Goodman</w:t>
            </w:r>
          </w:p>
        </w:tc>
        <w:tc>
          <w:tcPr>
            <w:tcW w:w="5140" w:type="dxa"/>
            <w:vAlign w:val="bottom"/>
          </w:tcPr>
          <w:p>
            <w:pPr>
              <w:ind w:left="120"/>
              <w:spacing w:after="0"/>
              <w:rPr>
                <w:sz w:val="20"/>
                <w:szCs w:val="20"/>
                <w:color w:val="auto"/>
              </w:rPr>
            </w:pPr>
            <w:r>
              <w:rPr>
                <w:rFonts w:ascii="Arial" w:cs="Arial" w:eastAsia="Arial" w:hAnsi="Arial"/>
                <w:sz w:val="18"/>
                <w:szCs w:val="18"/>
                <w:color w:val="auto"/>
              </w:rPr>
              <w:t>Executive Chairman of the Board of Directors</w:t>
            </w:r>
          </w:p>
        </w:tc>
        <w:tc>
          <w:tcPr>
            <w:tcW w:w="2340" w:type="dxa"/>
            <w:vAlign w:val="bottom"/>
          </w:tcPr>
          <w:p>
            <w:pPr>
              <w:jc w:val="center"/>
              <w:ind w:left="1053"/>
              <w:spacing w:after="0"/>
              <w:rPr>
                <w:sz w:val="20"/>
                <w:szCs w:val="20"/>
                <w:color w:val="auto"/>
              </w:rPr>
            </w:pPr>
            <w:r>
              <w:rPr>
                <w:rFonts w:ascii="Arial" w:cs="Arial" w:eastAsia="Arial" w:hAnsi="Arial"/>
                <w:sz w:val="18"/>
                <w:szCs w:val="18"/>
                <w:color w:val="auto"/>
                <w:w w:val="91"/>
              </w:rPr>
              <w:t>August 13,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Corey Goodman, Ph.D.</w:t>
            </w:r>
          </w:p>
        </w:tc>
        <w:tc>
          <w:tcPr>
            <w:tcW w:w="5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72"/>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Rekha Hemrajani</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ind w:left="1053"/>
              <w:spacing w:after="0"/>
              <w:rPr>
                <w:sz w:val="20"/>
                <w:szCs w:val="20"/>
                <w:color w:val="auto"/>
              </w:rPr>
            </w:pPr>
            <w:r>
              <w:rPr>
                <w:rFonts w:ascii="Arial" w:cs="Arial" w:eastAsia="Arial" w:hAnsi="Arial"/>
                <w:sz w:val="18"/>
                <w:szCs w:val="18"/>
                <w:color w:val="auto"/>
                <w:w w:val="91"/>
              </w:rPr>
              <w:t>August 13,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Rekha Hemrajani</w:t>
            </w:r>
          </w:p>
        </w:tc>
        <w:tc>
          <w:tcPr>
            <w:tcW w:w="5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72"/>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Lettmann</w:t>
            </w:r>
          </w:p>
        </w:tc>
        <w:tc>
          <w:tcPr>
            <w:tcW w:w="5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ind w:left="1053"/>
              <w:spacing w:after="0"/>
              <w:rPr>
                <w:sz w:val="20"/>
                <w:szCs w:val="20"/>
                <w:color w:val="auto"/>
              </w:rPr>
            </w:pPr>
            <w:r>
              <w:rPr>
                <w:rFonts w:ascii="Arial" w:cs="Arial" w:eastAsia="Arial" w:hAnsi="Arial"/>
                <w:sz w:val="18"/>
                <w:szCs w:val="18"/>
                <w:color w:val="auto"/>
                <w:w w:val="91"/>
              </w:rPr>
              <w:t>August 13,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Jason Lettmann</w:t>
            </w:r>
          </w:p>
        </w:tc>
        <w:tc>
          <w:tcPr>
            <w:tcW w:w="5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64"/>
        </w:trPr>
        <w:tc>
          <w:tcPr>
            <w:tcW w:w="3200" w:type="dxa"/>
            <w:vAlign w:val="bottom"/>
          </w:tcPr>
          <w:p>
            <w:pPr>
              <w:spacing w:after="0"/>
              <w:rPr>
                <w:sz w:val="24"/>
                <w:szCs w:val="24"/>
                <w:color w:val="auto"/>
              </w:rPr>
            </w:pPr>
          </w:p>
        </w:tc>
        <w:tc>
          <w:tcPr>
            <w:tcW w:w="5140" w:type="dxa"/>
            <w:vAlign w:val="bottom"/>
          </w:tcPr>
          <w:p>
            <w:pPr>
              <w:ind w:left="2160"/>
              <w:spacing w:after="0"/>
              <w:rPr>
                <w:sz w:val="20"/>
                <w:szCs w:val="20"/>
                <w:color w:val="auto"/>
              </w:rPr>
            </w:pPr>
            <w:r>
              <w:rPr>
                <w:rFonts w:ascii="Arial" w:cs="Arial" w:eastAsia="Arial" w:hAnsi="Arial"/>
                <w:sz w:val="18"/>
                <w:szCs w:val="18"/>
                <w:color w:val="auto"/>
              </w:rPr>
              <w:t>II-6</w:t>
            </w:r>
          </w:p>
        </w:tc>
        <w:tc>
          <w:tcPr>
            <w:tcW w:w="23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Signature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Jack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031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Jack Nielsen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Sophia Randolph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031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Sophia Randolph, M.D., Ph.D.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Graham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031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Graham Walmsley, M.D.,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ind w:left="2660"/>
              <w:spacing w:after="0"/>
              <w:rPr>
                <w:sz w:val="20"/>
                <w:szCs w:val="20"/>
                <w:color w:val="auto"/>
              </w:rPr>
            </w:pPr>
            <w:r>
              <w:rPr>
                <w:rFonts w:ascii="Arial" w:cs="Arial" w:eastAsia="Arial" w:hAnsi="Arial"/>
                <w:sz w:val="14"/>
                <w:szCs w:val="14"/>
                <w:b w:val="1"/>
                <w:bCs w:val="1"/>
                <w:color w:val="auto"/>
              </w:rPr>
              <w:t>Title</w:t>
            </w:r>
          </w:p>
        </w:tc>
        <w:tc>
          <w:tcPr>
            <w:tcW w:w="2800" w:type="dxa"/>
            <w:vAlign w:val="bottom"/>
          </w:tcPr>
          <w:p>
            <w:pPr>
              <w:jc w:val="center"/>
              <w:ind w:left="1515"/>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1515"/>
              <w:spacing w:after="0"/>
              <w:rPr>
                <w:sz w:val="20"/>
                <w:szCs w:val="20"/>
                <w:color w:val="auto"/>
              </w:rPr>
            </w:pPr>
            <w:r>
              <w:rPr>
                <w:rFonts w:ascii="Arial" w:cs="Arial" w:eastAsia="Arial" w:hAnsi="Arial"/>
                <w:sz w:val="18"/>
                <w:szCs w:val="18"/>
                <w:color w:val="auto"/>
                <w:w w:val="91"/>
              </w:rPr>
              <w:t>August 13, 2021</w:t>
            </w:r>
          </w:p>
        </w:tc>
      </w:tr>
      <w:tr>
        <w:trPr>
          <w:trHeight w:val="716"/>
        </w:trPr>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1515"/>
              <w:spacing w:after="0"/>
              <w:rPr>
                <w:sz w:val="20"/>
                <w:szCs w:val="20"/>
                <w:color w:val="auto"/>
              </w:rPr>
            </w:pPr>
            <w:r>
              <w:rPr>
                <w:rFonts w:ascii="Arial" w:cs="Arial" w:eastAsia="Arial" w:hAnsi="Arial"/>
                <w:sz w:val="18"/>
                <w:szCs w:val="18"/>
                <w:color w:val="auto"/>
                <w:w w:val="91"/>
              </w:rPr>
              <w:t>August 13, 2021</w:t>
            </w:r>
          </w:p>
        </w:tc>
      </w:tr>
      <w:tr>
        <w:trPr>
          <w:trHeight w:val="715"/>
        </w:trPr>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1515"/>
              <w:spacing w:after="0"/>
              <w:rPr>
                <w:sz w:val="20"/>
                <w:szCs w:val="20"/>
                <w:color w:val="auto"/>
              </w:rPr>
            </w:pPr>
            <w:r>
              <w:rPr>
                <w:rFonts w:ascii="Arial" w:cs="Arial" w:eastAsia="Arial" w:hAnsi="Arial"/>
                <w:sz w:val="18"/>
                <w:szCs w:val="18"/>
                <w:color w:val="auto"/>
                <w:w w:val="91"/>
              </w:rPr>
              <w:t>August 13, 2021</w:t>
            </w:r>
          </w:p>
        </w:tc>
      </w:tr>
      <w:tr>
        <w:trPr>
          <w:trHeight w:val="648"/>
        </w:trPr>
        <w:tc>
          <w:tcPr>
            <w:tcW w:w="4560" w:type="dxa"/>
            <w:vAlign w:val="bottom"/>
          </w:tcPr>
          <w:p>
            <w:pPr>
              <w:ind w:left="2040"/>
              <w:spacing w:after="0"/>
              <w:rPr>
                <w:sz w:val="20"/>
                <w:szCs w:val="20"/>
                <w:color w:val="auto"/>
              </w:rPr>
            </w:pPr>
            <w:r>
              <w:rPr>
                <w:rFonts w:ascii="Arial" w:cs="Arial" w:eastAsia="Arial" w:hAnsi="Arial"/>
                <w:sz w:val="18"/>
                <w:szCs w:val="18"/>
                <w:color w:val="auto"/>
              </w:rPr>
              <w:t>II-7</w:t>
            </w:r>
          </w:p>
        </w:tc>
        <w:tc>
          <w:tcPr>
            <w:tcW w:w="2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-2228215</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0" w:num="2">
            <w:col w:w="2720" w:space="720"/>
            <w:col w:w="7360"/>
          </w:cols>
          <w:pgMar w:left="320" w:top="459" w:right="77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California 94304-1050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California 94010</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ALX Oncology Holdings Inc. – 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opinion is furnished to you in connection with the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that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August 13, 2021 for the purpose of registering under the Securities Act of 1933, as amended (“</w:t>
      </w:r>
      <w:r>
        <w:rPr>
          <w:rFonts w:ascii="Arial" w:cs="Arial" w:eastAsia="Arial" w:hAnsi="Arial"/>
          <w:sz w:val="17"/>
          <w:szCs w:val="17"/>
          <w:b w:val="1"/>
          <w:bCs w:val="1"/>
          <w:color w:val="auto"/>
        </w:rPr>
        <w:t>Securities Act</w:t>
      </w:r>
      <w:r>
        <w:rPr>
          <w:rFonts w:ascii="Arial" w:cs="Arial" w:eastAsia="Arial" w:hAnsi="Arial"/>
          <w:sz w:val="17"/>
          <w:szCs w:val="17"/>
          <w:color w:val="auto"/>
        </w:rPr>
        <w:t>”), (i) shares of the Company’s common stock, $0.001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(ii) shares of the Company’s preferred stock, $0.001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(iii)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pursuant to a warrant agreement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 between the Company and the warrant agent to be named therein (the “</w:t>
      </w:r>
      <w:r>
        <w:rPr>
          <w:rFonts w:ascii="Arial" w:cs="Arial" w:eastAsia="Arial" w:hAnsi="Arial"/>
          <w:sz w:val="17"/>
          <w:szCs w:val="17"/>
          <w:b w:val="1"/>
          <w:bCs w:val="1"/>
          <w:color w:val="auto"/>
        </w:rPr>
        <w:t>Warrant Agent</w:t>
      </w:r>
      <w:r>
        <w:rPr>
          <w:rFonts w:ascii="Arial" w:cs="Arial" w:eastAsia="Arial" w:hAnsi="Arial"/>
          <w:sz w:val="17"/>
          <w:szCs w:val="17"/>
          <w:color w:val="auto"/>
        </w:rPr>
        <w:t>”); (iv) purchase contracts (the “</w:t>
      </w:r>
      <w:r>
        <w:rPr>
          <w:rFonts w:ascii="Arial" w:cs="Arial" w:eastAsia="Arial" w:hAnsi="Arial"/>
          <w:sz w:val="17"/>
          <w:szCs w:val="17"/>
          <w:b w:val="1"/>
          <w:bCs w:val="1"/>
          <w:color w:val="auto"/>
        </w:rPr>
        <w:t>Purchase Contracts</w:t>
      </w:r>
      <w:r>
        <w:rPr>
          <w:rFonts w:ascii="Arial" w:cs="Arial" w:eastAsia="Arial" w:hAnsi="Arial"/>
          <w:sz w:val="17"/>
          <w:szCs w:val="17"/>
          <w:color w:val="auto"/>
        </w:rPr>
        <w:t>”), which may be issued under one or more purchase contract agreements (each such Purchase Contract, a “</w:t>
      </w:r>
      <w:r>
        <w:rPr>
          <w:rFonts w:ascii="Arial" w:cs="Arial" w:eastAsia="Arial" w:hAnsi="Arial"/>
          <w:sz w:val="17"/>
          <w:szCs w:val="17"/>
          <w:b w:val="1"/>
          <w:bCs w:val="1"/>
          <w:color w:val="auto"/>
        </w:rPr>
        <w:t>Purchase Contract Agreement</w:t>
      </w:r>
      <w:r>
        <w:rPr>
          <w:rFonts w:ascii="Arial" w:cs="Arial" w:eastAsia="Arial" w:hAnsi="Arial"/>
          <w:sz w:val="17"/>
          <w:szCs w:val="17"/>
          <w:color w:val="auto"/>
        </w:rPr>
        <w:t>”) to be entered into between the Company and the purchase contract agent to be named therein (the “</w:t>
      </w:r>
      <w:r>
        <w:rPr>
          <w:rFonts w:ascii="Arial" w:cs="Arial" w:eastAsia="Arial" w:hAnsi="Arial"/>
          <w:sz w:val="17"/>
          <w:szCs w:val="17"/>
          <w:b w:val="1"/>
          <w:bCs w:val="1"/>
          <w:color w:val="auto"/>
        </w:rPr>
        <w:t>Purchase Contract Agent</w:t>
      </w:r>
      <w:r>
        <w:rPr>
          <w:rFonts w:ascii="Arial" w:cs="Arial" w:eastAsia="Arial" w:hAnsi="Arial"/>
          <w:sz w:val="17"/>
          <w:szCs w:val="17"/>
          <w:color w:val="auto"/>
        </w:rPr>
        <w:t>”); and (v) units (the “</w:t>
      </w:r>
      <w:r>
        <w:rPr>
          <w:rFonts w:ascii="Arial" w:cs="Arial" w:eastAsia="Arial" w:hAnsi="Arial"/>
          <w:sz w:val="17"/>
          <w:szCs w:val="17"/>
          <w:b w:val="1"/>
          <w:bCs w:val="1"/>
          <w:color w:val="auto"/>
        </w:rPr>
        <w:t>Units</w:t>
      </w:r>
      <w:r>
        <w:rPr>
          <w:rFonts w:ascii="Arial" w:cs="Arial" w:eastAsia="Arial" w:hAnsi="Arial"/>
          <w:sz w:val="17"/>
          <w:szCs w:val="17"/>
          <w:color w:val="auto"/>
        </w:rPr>
        <w:t>”) to be issued under one or more unit agreements to be entered into among the Company, a bank or trust company, as unit agent (the “</w:t>
      </w:r>
      <w:r>
        <w:rPr>
          <w:rFonts w:ascii="Arial" w:cs="Arial" w:eastAsia="Arial" w:hAnsi="Arial"/>
          <w:sz w:val="17"/>
          <w:szCs w:val="17"/>
          <w:b w:val="1"/>
          <w:bCs w:val="1"/>
          <w:color w:val="auto"/>
        </w:rPr>
        <w:t>Unit Agent</w:t>
      </w:r>
      <w:r>
        <w:rPr>
          <w:rFonts w:ascii="Arial" w:cs="Arial" w:eastAsia="Arial" w:hAnsi="Arial"/>
          <w:sz w:val="17"/>
          <w:szCs w:val="17"/>
          <w:color w:val="auto"/>
        </w:rPr>
        <w:t>”), and the holders from time to time of the Units (each such unit agreement, a “</w:t>
      </w:r>
      <w:r>
        <w:rPr>
          <w:rFonts w:ascii="Arial" w:cs="Arial" w:eastAsia="Arial" w:hAnsi="Arial"/>
          <w:sz w:val="17"/>
          <w:szCs w:val="17"/>
          <w:b w:val="1"/>
          <w:bCs w:val="1"/>
          <w:color w:val="auto"/>
        </w:rPr>
        <w:t>Unit Agreement</w:t>
      </w:r>
      <w:r>
        <w:rPr>
          <w:rFonts w:ascii="Arial" w:cs="Arial" w:eastAsia="Arial" w:hAnsi="Arial"/>
          <w:sz w:val="17"/>
          <w:szCs w:val="17"/>
          <w:color w:val="auto"/>
        </w:rPr>
        <w:t>”).</w:t>
      </w:r>
    </w:p>
    <w:p>
      <w:pPr>
        <w:spacing w:after="0" w:line="7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are acting as counsel for the Company in connection with the issuance and sale of the Common Stock, Preferred Stock, Warrants, Purchase Contracts and Units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9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ectPr>
          <w:pgSz w:w="11900" w:h="16838" w:orient="portrait"/>
          <w:cols w:equalWidth="0" w:num="1">
            <w:col w:w="11020"/>
          </w:cols>
          <w:pgMar w:left="440" w:top="121" w:right="4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AUSTIN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BEIJING</w:t>
      </w:r>
    </w:p>
    <w:p>
      <w:pPr>
        <w:ind w:left="100"/>
        <w:spacing w:after="0"/>
        <w:rPr>
          <w:sz w:val="20"/>
          <w:szCs w:val="20"/>
          <w:color w:val="auto"/>
        </w:rPr>
      </w:pPr>
      <w:r>
        <w:rPr>
          <w:rFonts w:ascii="Arial" w:cs="Arial" w:eastAsia="Arial" w:hAnsi="Arial"/>
          <w:sz w:val="14"/>
          <w:szCs w:val="14"/>
          <w:color w:val="auto"/>
        </w:rPr>
        <w:t>SAN DIEGO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hanging="282"/>
        <w:spacing w:after="0" w:line="253" w:lineRule="auto"/>
        <w:rPr>
          <w:sz w:val="20"/>
          <w:szCs w:val="20"/>
          <w:color w:val="auto"/>
        </w:rPr>
      </w:pPr>
      <w:r>
        <w:rPr>
          <w:rFonts w:ascii="Arial" w:cs="Arial" w:eastAsia="Arial" w:hAnsi="Arial"/>
          <w:sz w:val="14"/>
          <w:szCs w:val="14"/>
          <w:color w:val="auto"/>
        </w:rPr>
        <w:t>BOSTON</w:t>
      </w:r>
      <w:r>
        <w:rPr>
          <w:sz w:val="20"/>
          <w:szCs w:val="20"/>
          <w:color w:val="auto"/>
        </w:rPr>
        <w:t xml:space="preserve"> </w:t>
      </w:r>
      <w:r>
        <w:rPr>
          <w:rFonts w:ascii="Arial" w:cs="Arial" w:eastAsia="Arial" w:hAnsi="Arial"/>
          <w:sz w:val="14"/>
          <w:szCs w:val="14"/>
          <w:color w:val="auto"/>
        </w:rPr>
        <w:t>BRUSSELS SAN FRANCISCO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firstLine="482"/>
        <w:spacing w:after="0" w:line="253" w:lineRule="auto"/>
        <w:rPr>
          <w:sz w:val="20"/>
          <w:szCs w:val="20"/>
          <w:color w:val="auto"/>
        </w:rPr>
      </w:pPr>
      <w:r>
        <w:rPr>
          <w:rFonts w:ascii="Arial" w:cs="Arial" w:eastAsia="Arial" w:hAnsi="Arial"/>
          <w:sz w:val="14"/>
          <w:szCs w:val="14"/>
          <w:color w:val="auto"/>
        </w:rPr>
        <w:t>HONG KONG LONDON SEATTLE SHANGHAI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firstLine="564"/>
        <w:spacing w:after="0" w:line="290" w:lineRule="auto"/>
        <w:rPr>
          <w:sz w:val="20"/>
          <w:szCs w:val="20"/>
          <w:color w:val="auto"/>
        </w:rPr>
      </w:pPr>
      <w:r>
        <w:rPr>
          <w:rFonts w:ascii="Arial" w:cs="Arial" w:eastAsia="Arial" w:hAnsi="Arial"/>
          <w:sz w:val="13"/>
          <w:szCs w:val="13"/>
          <w:color w:val="auto"/>
        </w:rPr>
        <w:t>LOS ANGELES WASHINGTON, DC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NEW YORK</w:t>
      </w:r>
    </w:p>
    <w:p>
      <w:pPr>
        <w:spacing w:after="0"/>
        <w:rPr>
          <w:sz w:val="20"/>
          <w:szCs w:val="20"/>
          <w:color w:val="auto"/>
        </w:rPr>
      </w:pPr>
      <w:r>
        <w:rPr>
          <w:rFonts w:ascii="Arial" w:cs="Arial" w:eastAsia="Arial" w:hAnsi="Arial"/>
          <w:sz w:val="14"/>
          <w:szCs w:val="14"/>
          <w:color w:val="auto"/>
        </w:rPr>
        <w:t>WILMINGTON, DE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PALO ALTO</w:t>
      </w:r>
    </w:p>
    <w:p>
      <w:pPr>
        <w:sectPr>
          <w:pgSz w:w="11900" w:h="16838" w:orient="portrait"/>
          <w:cols w:equalWidth="0" w:num="7">
            <w:col w:w="540" w:space="560"/>
            <w:col w:w="880" w:space="560"/>
            <w:col w:w="1580" w:space="140"/>
            <w:col w:w="2520" w:space="20"/>
            <w:col w:w="1520" w:space="280"/>
            <w:col w:w="1200" w:space="440"/>
            <w:col w:w="780"/>
          </w:cols>
          <w:pgMar w:left="440" w:top="121"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0546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05460" cy="257175"/>
                    </a:xfrm>
                    <a:prstGeom prst="rect">
                      <a:avLst/>
                    </a:prstGeom>
                    <a:noFill/>
                  </pic:spPr>
                </pic:pic>
              </a:graphicData>
            </a:graphic>
          </wp:anchor>
        </w:drawing>
        <w:t>August 13,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117" w:lineRule="exact"/>
        <w:rPr>
          <w:sz w:val="20"/>
          <w:szCs w:val="20"/>
          <w:color w:val="auto"/>
        </w:rPr>
      </w:pPr>
    </w:p>
    <w:p>
      <w:pPr>
        <w:ind w:left="440" w:right="180" w:hanging="4"/>
        <w:spacing w:after="0" w:line="272"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7"/>
          <w:szCs w:val="17"/>
          <w:b w:val="1"/>
          <w:bCs w:val="1"/>
          <w:color w:val="auto"/>
        </w:rPr>
        <w:t>Offered Security</w:t>
      </w:r>
      <w:r>
        <w:rPr>
          <w:rFonts w:ascii="Arial" w:cs="Arial" w:eastAsia="Arial" w:hAnsi="Arial"/>
          <w:sz w:val="17"/>
          <w:szCs w:val="17"/>
          <w:color w:val="auto"/>
        </w:rPr>
        <w:t>”), in accordance with terms of such Offered Security or the instrument governing such Offered Security providing for such conversion or exercise as approved by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for the consideration approved by the Board (which consideration is not less than the par value of the Common Stock), such shares of Common Stock will be validly issued, fully-paid and non-assessable.</w:t>
      </w:r>
    </w:p>
    <w:p>
      <w:pPr>
        <w:spacing w:after="0" w:line="69" w:lineRule="exact"/>
        <w:rPr>
          <w:rFonts w:ascii="Arial" w:cs="Arial" w:eastAsia="Arial" w:hAnsi="Arial"/>
          <w:sz w:val="17"/>
          <w:szCs w:val="17"/>
          <w:color w:val="auto"/>
        </w:rPr>
      </w:pPr>
    </w:p>
    <w:p>
      <w:pPr>
        <w:ind w:left="440" w:right="60" w:hanging="4"/>
        <w:spacing w:after="0" w:line="296"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53" w:lineRule="exact"/>
        <w:rPr>
          <w:rFonts w:ascii="Arial" w:cs="Arial" w:eastAsia="Arial" w:hAnsi="Arial"/>
          <w:sz w:val="16"/>
          <w:szCs w:val="16"/>
          <w:color w:val="auto"/>
        </w:rPr>
      </w:pPr>
    </w:p>
    <w:p>
      <w:pPr>
        <w:ind w:left="440" w:hanging="4"/>
        <w:spacing w:after="0" w:line="273"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69" w:lineRule="exact"/>
        <w:rPr>
          <w:rFonts w:ascii="Arial" w:cs="Arial" w:eastAsia="Arial" w:hAnsi="Arial"/>
          <w:sz w:val="17"/>
          <w:szCs w:val="17"/>
          <w:color w:val="auto"/>
        </w:rPr>
      </w:pPr>
    </w:p>
    <w:p>
      <w:pPr>
        <w:ind w:left="440" w:right="80" w:hanging="4"/>
        <w:spacing w:after="0" w:line="254"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000"/>
          </w:cols>
          <w:pgMar w:left="440" w:top="787" w:right="459" w:bottom="1440" w:gutter="0" w:footer="0" w:header="0"/>
        </w:sectPr>
      </w:pPr>
    </w:p>
    <w:bookmarkStart w:id="27" w:name="page28"/>
    <w:bookmarkEnd w:id="2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0546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05460" cy="257175"/>
                    </a:xfrm>
                    <a:prstGeom prst="rect">
                      <a:avLst/>
                    </a:prstGeom>
                    <a:noFill/>
                  </pic:spPr>
                </pic:pic>
              </a:graphicData>
            </a:graphic>
          </wp:anchor>
        </w:drawing>
        <w:t>August 13,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4" w:right="20" w:hanging="4"/>
        <w:spacing w:after="0" w:line="255"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92" w:lineRule="exact"/>
        <w:rPr>
          <w:sz w:val="20"/>
          <w:szCs w:val="20"/>
          <w:color w:val="auto"/>
        </w:rPr>
      </w:pPr>
    </w:p>
    <w:p>
      <w:pPr>
        <w:jc w:val="both"/>
        <w:ind w:left="4" w:right="180" w:firstLine="440"/>
        <w:spacing w:after="0" w:line="287"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w:t>
      </w:r>
    </w:p>
    <w:p>
      <w:pPr>
        <w:spacing w:after="0" w:line="2" w:lineRule="exact"/>
        <w:rPr>
          <w:sz w:val="20"/>
          <w:szCs w:val="20"/>
          <w:color w:val="auto"/>
        </w:rPr>
      </w:pPr>
    </w:p>
    <w:p>
      <w:pPr>
        <w:ind w:left="4" w:right="60" w:hanging="4"/>
        <w:spacing w:after="0" w:line="288" w:lineRule="auto"/>
        <w:tabs>
          <w:tab w:leader="none" w:pos="31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Registration Statement shall have become effective and such effectiveness shall not have been terminated or rescinded; (iv) the Purchase Contract Agreement, the Purchase Agreements, the Unit Agreement, the Units, the Warrant Agreement, and the Warrants, are each valid, binding and enforceable agreements of each party thereto (other than as expressly covered above in respect of the Company); and (v) there shall not have occurred any change in law affecting the validity or enforceability of such security. We have also assumed that none of the terms of any security to be established subsequent to the date hereof, the issuance and delivery of such security 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6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We hereby consent to the filing of this opinion as an exhibit to the Registration Statement referred to above, for incorporation by reference into the Registration Statement, and to the use of our name wherever it appears in the Registration Statement,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WILSON SONSINI GOODRICH &amp; ROSATI</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04"/>
          </w:cols>
          <w:pgMar w:left="436" w:top="679" w:right="4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consent to the use of our report dated March 18, 2021, with respect to the consolidated financial statements of ALX Oncology Holdings Inc., incorporated herein by reference and to the reference to our firm under the heading “Experts” in the prospectus.</w:t>
      </w: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KMPG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KMPG LLP</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upperLetter"/>
      <w:start w:val="1"/>
    </w:lvl>
  </w:abstractNum>
  <w:abstractNum w:abstractNumId="10">
    <w:nsid w:val="1BEFD79F"/>
    <w:multiLevelType w:val="hybridMultilevel"/>
    <w:lvl w:ilvl="0">
      <w:lvlJc w:val="left"/>
      <w:lvlText w:val="(%1)"/>
      <w:numFmt w:val="upperLetter"/>
      <w:start w:val="3"/>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decimal"/>
      <w:start w:val="6"/>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jpeg"/><Relationship Id="rId64" Type="http://schemas.openxmlformats.org/officeDocument/2006/relationships/image" Target="media/image44.png"/><Relationship Id="rId65" Type="http://schemas.openxmlformats.org/officeDocument/2006/relationships/image" Target="media/image45.jpeg"/><Relationship Id="rId66" Type="http://schemas.openxmlformats.org/officeDocument/2006/relationships/image" Target="media/image46.png"/><Relationship Id="rId67" Type="http://schemas.openxmlformats.org/officeDocument/2006/relationships/image" Target="media/image47.png"/><Relationship Id="rId38" Type="http://schemas.openxmlformats.org/officeDocument/2006/relationships/hyperlink" Target="http://www.sec.gov/ix?doc=/Archives/edgar/data/1810182/000156459021014169/alxo-10k_20201231.htm" TargetMode="External"/><Relationship Id="rId39" Type="http://schemas.openxmlformats.org/officeDocument/2006/relationships/hyperlink" Target="http://www.sec.gov/Archives/edgar/data/1810182/000156459021028411/alxo-10q_20210331.htm" TargetMode="External"/><Relationship Id="rId40" Type="http://schemas.openxmlformats.org/officeDocument/2006/relationships/hyperlink" Target="http://www.sec.gov/ix?doc=/Archives/edgar/data/1810182/000156459021044024/alxo-10q_20210630.htm" TargetMode="External"/><Relationship Id="rId41" Type="http://schemas.openxmlformats.org/officeDocument/2006/relationships/hyperlink" Target="http://www.sec.gov/Archives/edgar/data/1810182/000119312521140336/d170160ddef14a.htm" TargetMode="External"/><Relationship Id="rId42" Type="http://schemas.openxmlformats.org/officeDocument/2006/relationships/hyperlink" Target="http://www.sec.gov/Archives/edgar/data/1810182/000119312521080594/d286718d8k.htm" TargetMode="External"/><Relationship Id="rId43" Type="http://schemas.openxmlformats.org/officeDocument/2006/relationships/hyperlink" Target="http://www.sec.gov/Archives/edgar/data/1810182/000156459021015490/alxo-8k_20210322.htm" TargetMode="External"/><Relationship Id="rId44" Type="http://schemas.openxmlformats.org/officeDocument/2006/relationships/hyperlink" Target="http://www.sec.gov/Archives/edgar/data/1810182/000156459021023431/alxo-8k_20210503.htm" TargetMode="External"/><Relationship Id="rId45" Type="http://schemas.openxmlformats.org/officeDocument/2006/relationships/hyperlink" Target="http://www.sec.gov/Archives/edgar/data/1810182/000156459021033029/alxo-8k_20210610.htm" TargetMode="External"/><Relationship Id="rId46" Type="http://schemas.openxmlformats.org/officeDocument/2006/relationships/hyperlink" Target="http://www.sec.gov/Archives/edgar/data/0001810182/000119312520191878/d936945d8a12b.htm" TargetMode="External"/><Relationship Id="rId52" Type="http://schemas.openxmlformats.org/officeDocument/2006/relationships/hyperlink" Target="http://www.sec.gov/Archives/edgar/data/1810182/000119312520196288/d47591dex31.htm" TargetMode="External"/><Relationship Id="rId53" Type="http://schemas.openxmlformats.org/officeDocument/2006/relationships/hyperlink" Target="http://www.sec.gov/Archives/edgar/data/1810182/000119312520196288/d47591dex32.htm" TargetMode="External"/><Relationship Id="rId54" Type="http://schemas.openxmlformats.org/officeDocument/2006/relationships/hyperlink" Target="http://www.sec.gov/Archives/edgar/data/1810182/000119312520181021/d913838dex41.htm" TargetMode="External"/><Relationship Id="rId55" Type="http://schemas.openxmlformats.org/officeDocument/2006/relationships/hyperlink" Target="http://www.sec.gov/Archives/edgar/data/1810182/000119312520181021/d91383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2021-08-13T15:48:01Z</dcterms:created>
  <dcterms:modified xsi:type="dcterms:W3CDTF">2021-08-13T15:48:01Z</dcterms:modified>
</cp:coreProperties>
</file>