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660" w:right="1620" w:hanging="3652"/>
        <w:spacing w:after="0" w:line="320" w:lineRule="auto"/>
        <w:tabs>
          <w:tab w:leader="none" w:pos="47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-332105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-97155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68" w:lineRule="exact"/>
        <w:rPr>
          <w:sz w:val="24"/>
          <w:szCs w:val="24"/>
          <w:color w:val="auto"/>
        </w:rPr>
      </w:pPr>
    </w:p>
    <w:p>
      <w:pPr>
        <w:ind w:left="41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001-39386</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p>
      <w:pPr>
        <w:jc w:val="center"/>
        <w:ind w:right="2120"/>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line="212" w:lineRule="auto"/>
        <w:rPr>
          <w:sz w:val="20"/>
          <w:szCs w:val="20"/>
          <w:color w:val="auto"/>
        </w:rPr>
      </w:pPr>
      <w:r>
        <w:rPr>
          <w:rFonts w:ascii="Arial" w:cs="Arial" w:eastAsia="Arial" w:hAnsi="Arial"/>
          <w:sz w:val="13"/>
          <w:szCs w:val="13"/>
          <w:b w:val="1"/>
          <w:bCs w:val="1"/>
          <w:color w:val="auto"/>
        </w:rPr>
        <w:t>incorporation or organization)</w:t>
      </w:r>
    </w:p>
    <w:p>
      <w:pPr>
        <w:jc w:val="center"/>
        <w:ind w:right="2140"/>
        <w:spacing w:after="0" w:line="222" w:lineRule="auto"/>
        <w:rPr>
          <w:sz w:val="20"/>
          <w:szCs w:val="20"/>
          <w:color w:val="auto"/>
        </w:rPr>
      </w:pPr>
      <w:r>
        <w:rPr>
          <w:rFonts w:ascii="Arial" w:cs="Arial" w:eastAsia="Arial" w:hAnsi="Arial"/>
          <w:sz w:val="14"/>
          <w:szCs w:val="14"/>
          <w:b w:val="1"/>
          <w:bCs w:val="1"/>
          <w:color w:val="auto"/>
        </w:rPr>
        <w:t>866 Malcolm Road, Suite 100</w:t>
      </w:r>
    </w:p>
    <w:p>
      <w:pPr>
        <w:jc w:val="center"/>
        <w:ind w:right="2120"/>
        <w:spacing w:after="0" w:line="225" w:lineRule="auto"/>
        <w:rPr>
          <w:sz w:val="20"/>
          <w:szCs w:val="20"/>
          <w:color w:val="auto"/>
        </w:rPr>
      </w:pPr>
      <w:r>
        <w:rPr>
          <w:rFonts w:ascii="Arial" w:cs="Arial" w:eastAsia="Arial" w:hAnsi="Arial"/>
          <w:sz w:val="14"/>
          <w:szCs w:val="14"/>
          <w:b w:val="1"/>
          <w:bCs w:val="1"/>
          <w:color w:val="auto"/>
        </w:rPr>
        <w:t>Burlingame, California</w:t>
      </w:r>
    </w:p>
    <w:p>
      <w:pPr>
        <w:ind w:left="174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2220"/>
        <w:spacing w:after="0"/>
        <w:rPr>
          <w:sz w:val="20"/>
          <w:szCs w:val="20"/>
          <w:color w:val="auto"/>
        </w:rPr>
      </w:pPr>
      <w:r>
        <w:rPr>
          <w:rFonts w:ascii="Arial" w:cs="Arial" w:eastAsia="Arial" w:hAnsi="Arial"/>
          <w:sz w:val="14"/>
          <w:szCs w:val="14"/>
          <w:b w:val="1"/>
          <w:bCs w:val="1"/>
          <w:color w:val="auto"/>
        </w:rPr>
        <w:t>85-0642577</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87" w:lineRule="exact"/>
        <w:rPr>
          <w:sz w:val="24"/>
          <w:szCs w:val="24"/>
          <w:color w:val="auto"/>
        </w:rPr>
      </w:pPr>
    </w:p>
    <w:p>
      <w:pPr>
        <w:jc w:val="center"/>
        <w:ind w:right="2220"/>
        <w:spacing w:after="0"/>
        <w:rPr>
          <w:sz w:val="20"/>
          <w:szCs w:val="20"/>
          <w:color w:val="auto"/>
        </w:rPr>
      </w:pPr>
      <w:r>
        <w:rPr>
          <w:rFonts w:ascii="Arial" w:cs="Arial" w:eastAsia="Arial" w:hAnsi="Arial"/>
          <w:sz w:val="18"/>
          <w:szCs w:val="18"/>
          <w:b w:val="1"/>
          <w:bCs w:val="1"/>
          <w:color w:val="auto"/>
        </w:rPr>
        <w:t>94010</w:t>
      </w:r>
    </w:p>
    <w:p>
      <w:pPr>
        <w:spacing w:after="0" w:line="23" w:lineRule="exact"/>
        <w:rPr>
          <w:sz w:val="24"/>
          <w:szCs w:val="24"/>
          <w:color w:val="auto"/>
        </w:rPr>
      </w:pPr>
    </w:p>
    <w:p>
      <w:pPr>
        <w:ind w:left="200"/>
        <w:spacing w:after="0"/>
        <w:rPr>
          <w:sz w:val="20"/>
          <w:szCs w:val="20"/>
          <w:color w:val="auto"/>
        </w:rPr>
      </w:pPr>
      <w:r>
        <w:rPr>
          <w:rFonts w:ascii="Arial" w:cs="Arial" w:eastAsia="Arial" w:hAnsi="Arial"/>
          <w:sz w:val="13"/>
          <w:szCs w:val="13"/>
          <w:b w:val="1"/>
          <w:bCs w:val="1"/>
          <w:color w:val="auto"/>
        </w:rPr>
        <w:t>(Zip Code)</w:t>
      </w:r>
    </w:p>
    <w:p>
      <w:pPr>
        <w:spacing w:after="0" w:line="52" w:lineRule="exact"/>
        <w:rPr>
          <w:sz w:val="24"/>
          <w:szCs w:val="24"/>
          <w:color w:val="auto"/>
        </w:rPr>
      </w:pPr>
    </w:p>
    <w:p>
      <w:pPr>
        <w:sectPr>
          <w:pgSz w:w="11900" w:h="16838" w:orient="portrait"/>
          <w:cols w:equalWidth="0" w:num="2">
            <w:col w:w="7700" w:space="320"/>
            <w:col w:w="3220"/>
          </w:cols>
          <w:pgMar w:left="320" w:top="503" w:right="33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4"/>
          <w:szCs w:val="14"/>
          <w:b w:val="1"/>
          <w:bCs w:val="1"/>
          <w:color w:val="auto"/>
        </w:rPr>
        <w:t>650-466-7125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180" w:type="dxa"/>
            <w:vAlign w:val="bottom"/>
            <w:gridSpan w:val="2"/>
          </w:tcPr>
          <w:p>
            <w:pPr>
              <w:ind w:left="1500"/>
              <w:spacing w:after="0"/>
              <w:rPr>
                <w:sz w:val="20"/>
                <w:szCs w:val="20"/>
                <w:color w:val="auto"/>
              </w:rPr>
            </w:pPr>
            <w:r>
              <w:rPr>
                <w:rFonts w:ascii="Arial" w:cs="Arial" w:eastAsia="Arial" w:hAnsi="Arial"/>
                <w:sz w:val="14"/>
                <w:szCs w:val="14"/>
                <w:b w:val="1"/>
                <w:bCs w:val="1"/>
                <w:color w:val="auto"/>
              </w:rPr>
              <w:t>Title of each class</w:t>
            </w:r>
          </w:p>
        </w:tc>
        <w:tc>
          <w:tcPr>
            <w:tcW w:w="3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40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0"/>
        </w:trPr>
        <w:tc>
          <w:tcPr>
            <w:tcW w:w="40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Common Stock, par value $0.001 per share</w:t>
            </w:r>
          </w:p>
        </w:tc>
        <w:tc>
          <w:tcPr>
            <w:tcW w:w="120" w:type="dxa"/>
            <w:vAlign w:val="bottom"/>
          </w:tcPr>
          <w:p>
            <w:pPr>
              <w:spacing w:after="0"/>
              <w:rPr>
                <w:sz w:val="17"/>
                <w:szCs w:val="17"/>
                <w:color w:val="auto"/>
              </w:rPr>
            </w:pPr>
          </w:p>
        </w:tc>
        <w:tc>
          <w:tcPr>
            <w:tcW w:w="29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ALXO</w:t>
            </w:r>
          </w:p>
        </w:tc>
        <w:tc>
          <w:tcPr>
            <w:tcW w:w="100" w:type="dxa"/>
            <w:vAlign w:val="bottom"/>
          </w:tcPr>
          <w:p>
            <w:pPr>
              <w:spacing w:after="0"/>
              <w:rPr>
                <w:sz w:val="17"/>
                <w:szCs w:val="17"/>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67"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8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8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spacing w:after="0"/>
              <w:rPr>
                <w:sz w:val="22"/>
                <w:szCs w:val="22"/>
                <w:color w:val="auto"/>
              </w:rPr>
            </w:pPr>
          </w:p>
        </w:tc>
        <w:tc>
          <w:tcPr>
            <w:tcW w:w="420" w:type="dxa"/>
            <w:vAlign w:val="bottom"/>
          </w:tcPr>
          <w:p>
            <w:pPr>
              <w:spacing w:after="0"/>
              <w:rPr>
                <w:sz w:val="22"/>
                <w:szCs w:val="22"/>
                <w:color w:val="auto"/>
              </w:rPr>
            </w:pPr>
          </w:p>
        </w:tc>
      </w:tr>
    </w:tbl>
    <w:p>
      <w:pPr>
        <w:spacing w:after="0" w:line="59"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right="202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6, 2020, the registrant had 37,107,522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621665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6"/>
                <w:szCs w:val="16"/>
                <w:color w:val="auto"/>
              </w:rPr>
            </w:pPr>
          </w:p>
        </w:tc>
      </w:tr>
      <w:tr>
        <w:trPr>
          <w:trHeight w:val="229"/>
        </w:trPr>
        <w:tc>
          <w:tcPr>
            <w:tcW w:w="1140" w:type="dxa"/>
            <w:vAlign w:val="bottom"/>
          </w:tcPr>
          <w:p>
            <w:pPr>
              <w:ind w:left="380"/>
              <w:spacing w:after="0"/>
              <w:rPr>
                <w:sz w:val="20"/>
                <w:szCs w:val="20"/>
                <w:color w:val="auto"/>
              </w:rPr>
            </w:pPr>
            <w:r>
              <w:rPr>
                <w:rFonts w:ascii="Arial" w:cs="Arial" w:eastAsia="Arial" w:hAnsi="Arial"/>
                <w:sz w:val="18"/>
                <w:szCs w:val="18"/>
                <w:b w:val="1"/>
                <w:bCs w:val="1"/>
                <w:color w:val="auto"/>
              </w:rPr>
              <w:t>PART I.</w:t>
            </w:r>
          </w:p>
        </w:tc>
        <w:tc>
          <w:tcPr>
            <w:tcW w:w="2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0" w:type="dxa"/>
            <w:vAlign w:val="bottom"/>
            <w:gridSpan w:val="3"/>
          </w:tcPr>
          <w:p>
            <w:pPr>
              <w:jc w:val="center"/>
              <w:ind w:right="29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5"/>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9200" w:type="dxa"/>
            <w:vAlign w:val="bottom"/>
            <w:gridSpan w:val="5"/>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September 30, 2020 and December 31, 2019</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190"/>
        </w:trPr>
        <w:tc>
          <w:tcPr>
            <w:tcW w:w="1140" w:type="dxa"/>
            <w:vAlign w:val="bottom"/>
          </w:tcPr>
          <w:p>
            <w:pPr>
              <w:spacing w:after="0"/>
              <w:rPr>
                <w:sz w:val="16"/>
                <w:szCs w:val="16"/>
                <w:color w:val="auto"/>
              </w:rPr>
            </w:pPr>
          </w:p>
        </w:tc>
        <w:tc>
          <w:tcPr>
            <w:tcW w:w="8160" w:type="dxa"/>
            <w:vAlign w:val="bottom"/>
            <w:tcBorders>
              <w:bottom w:val="single" w:sz="8" w:color="0000EE"/>
            </w:tcBorders>
            <w:gridSpan w:val="3"/>
          </w:tcPr>
          <w:p>
            <w:pPr>
              <w:spacing w:after="0" w:line="190"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 and Comprehensive Loss for the three and nine months ended</w:t>
              </w:r>
            </w:hyperlink>
          </w:p>
        </w:tc>
        <w:tc>
          <w:tcPr>
            <w:tcW w:w="1040" w:type="dxa"/>
            <w:vAlign w:val="bottom"/>
            <w:gridSpan w:val="2"/>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216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September 30, 2020 and 2019</w:t>
              </w:r>
            </w:hyperlink>
          </w:p>
        </w:tc>
        <w:tc>
          <w:tcPr>
            <w:tcW w:w="7040" w:type="dxa"/>
            <w:vAlign w:val="bottom"/>
            <w:gridSpan w:val="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r>
      <w:tr>
        <w:trPr>
          <w:trHeight w:val="209"/>
        </w:trPr>
        <w:tc>
          <w:tcPr>
            <w:tcW w:w="1140" w:type="dxa"/>
            <w:vAlign w:val="bottom"/>
          </w:tcPr>
          <w:p>
            <w:pPr>
              <w:spacing w:after="0"/>
              <w:rPr>
                <w:sz w:val="18"/>
                <w:szCs w:val="18"/>
                <w:color w:val="auto"/>
              </w:rPr>
            </w:pPr>
          </w:p>
        </w:tc>
        <w:tc>
          <w:tcPr>
            <w:tcW w:w="90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Convertible Preferred Stock and Stockholders’ Equity (Deficit) for the three and nine</w:t>
              </w:r>
            </w:hyperlink>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200" w:type="dxa"/>
            <w:vAlign w:val="bottom"/>
            <w:gridSpan w:val="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months ended September 30, 2020 and 2019</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1140" w:type="dxa"/>
            <w:vAlign w:val="bottom"/>
          </w:tcPr>
          <w:p>
            <w:pPr>
              <w:spacing w:after="0"/>
              <w:rPr>
                <w:sz w:val="21"/>
                <w:szCs w:val="21"/>
                <w:color w:val="auto"/>
              </w:rPr>
            </w:pPr>
          </w:p>
        </w:tc>
        <w:tc>
          <w:tcPr>
            <w:tcW w:w="9200" w:type="dxa"/>
            <w:vAlign w:val="bottom"/>
            <w:gridSpan w:val="5"/>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for the nine months ended September 30, 2020 and 2019</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r>
      <w:tr>
        <w:trPr>
          <w:trHeight w:val="229"/>
        </w:trPr>
        <w:tc>
          <w:tcPr>
            <w:tcW w:w="1140" w:type="dxa"/>
            <w:vAlign w:val="bottom"/>
          </w:tcPr>
          <w:p>
            <w:pPr>
              <w:spacing w:after="0"/>
              <w:rPr>
                <w:sz w:val="19"/>
                <w:szCs w:val="19"/>
                <w:color w:val="auto"/>
              </w:rPr>
            </w:pPr>
          </w:p>
        </w:tc>
        <w:tc>
          <w:tcPr>
            <w:tcW w:w="9200" w:type="dxa"/>
            <w:vAlign w:val="bottom"/>
            <w:gridSpan w:val="5"/>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229"/>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5"/>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9200" w:type="dxa"/>
            <w:vAlign w:val="bottom"/>
            <w:gridSpan w:val="5"/>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Quantitative and Qualitative Disclosures About Market Risk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200" w:type="dxa"/>
            <w:vAlign w:val="bottom"/>
            <w:gridSpan w:val="5"/>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Controls and Procedures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r>
      <w:tr>
        <w:trPr>
          <w:trHeight w:val="458"/>
        </w:trPr>
        <w:tc>
          <w:tcPr>
            <w:tcW w:w="1140" w:type="dxa"/>
            <w:vAlign w:val="bottom"/>
          </w:tcPr>
          <w:p>
            <w:pPr>
              <w:ind w:left="340"/>
              <w:spacing w:after="0"/>
              <w:rPr>
                <w:sz w:val="20"/>
                <w:szCs w:val="20"/>
                <w:color w:val="auto"/>
              </w:rPr>
            </w:pPr>
            <w:r>
              <w:rPr>
                <w:rFonts w:ascii="Arial" w:cs="Arial" w:eastAsia="Arial" w:hAnsi="Arial"/>
                <w:sz w:val="18"/>
                <w:szCs w:val="18"/>
                <w:b w:val="1"/>
                <w:bCs w:val="1"/>
                <w:color w:val="auto"/>
              </w:rPr>
              <w:t>PART II.</w:t>
            </w:r>
          </w:p>
        </w:tc>
        <w:tc>
          <w:tcPr>
            <w:tcW w:w="2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0" w:type="dxa"/>
            <w:vAlign w:val="bottom"/>
            <w:gridSpan w:val="3"/>
          </w:tcPr>
          <w:p>
            <w:pPr>
              <w:jc w:val="center"/>
              <w:ind w:right="2980"/>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OTHER INFORMATION</w:t>
              </w:r>
            </w:hyperlink>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5"/>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200" w:type="dxa"/>
            <w:vAlign w:val="bottom"/>
            <w:gridSpan w:val="5"/>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r>
      <w:tr>
        <w:trPr>
          <w:trHeight w:val="229"/>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5"/>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r>
      <w:tr>
        <w:trPr>
          <w:trHeight w:val="229"/>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9200" w:type="dxa"/>
            <w:vAlign w:val="bottom"/>
            <w:gridSpan w:val="5"/>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Defaults Upon Senior Securities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200" w:type="dxa"/>
            <w:vAlign w:val="bottom"/>
            <w:gridSpan w:val="5"/>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Mine Safety Disclosures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r>
      <w:tr>
        <w:trPr>
          <w:trHeight w:val="229"/>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9200" w:type="dxa"/>
            <w:vAlign w:val="bottom"/>
            <w:gridSpan w:val="5"/>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9200" w:type="dxa"/>
            <w:vAlign w:val="bottom"/>
            <w:gridSpan w:val="5"/>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Exhibits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r>
      <w:tr>
        <w:trPr>
          <w:trHeight w:val="244"/>
        </w:trPr>
        <w:tc>
          <w:tcPr>
            <w:tcW w:w="1140" w:type="dxa"/>
            <w:vAlign w:val="bottom"/>
          </w:tcPr>
          <w:p>
            <w:pPr>
              <w:spacing w:after="0"/>
              <w:rPr>
                <w:sz w:val="21"/>
                <w:szCs w:val="21"/>
                <w:color w:val="auto"/>
              </w:rPr>
            </w:pPr>
          </w:p>
        </w:tc>
        <w:tc>
          <w:tcPr>
            <w:tcW w:w="9200" w:type="dxa"/>
            <w:vAlign w:val="bottom"/>
            <w:gridSpan w:val="5"/>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Signatures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1"/>
                <w:szCs w:val="21"/>
                <w:color w:val="auto"/>
              </w:rPr>
            </w:pPr>
          </w:p>
        </w:tc>
      </w:tr>
      <w:tr>
        <w:trPr>
          <w:trHeight w:val="790"/>
        </w:trPr>
        <w:tc>
          <w:tcPr>
            <w:tcW w:w="11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This Quarterly Report on Form 10-Q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91"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 our financial performance; the sufficiency of our existing cash to fund our future operating expenses and capital expenditure requirements; the accuracy of our estimates regarding expenses, future revenue, capital requirements, and needs for additional financing; our plans relating to commercializing our product candidates, if approved, including the geographic areas of focus and our ability to grow a sales team; the implementation of our strategic plans for our business and product candidates; 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 our reliance on third parties to conduct preclinical research activities, and for the manufacture of our product candidates; the beneficial characteristics, safety, efficacy and therapeutic effects of our product candidates; the progress and focus of our current and future clinical trials, and the reporting of data from those trials; our ability to advance product candidates into and successfully complete clinical trials; the ability of our clinical trials to demonstrate the safety and efficacy of our product candidates, and other positive results; the success of competing therapies that are or may become available; developments relating to our competitors and our industry, including competing product candidates and therapies; our plans relating to the further development and manufacturing of our product candidates, including additional indications that we may pursue; existing regulations and regulatory developments in the United States and other jurisdictions; our potential and ability to successfully manufacture and supply our product candidates for clinical trials and for commercial use, if approved; our continued reliance on third parties to conduct additional clinical trials of our product candidates, and for the manufacture of our product candidates; our plans and ability to obtain or protect intellectual property rights, including extensions of existing patent terms where available; the scope of protection we are able to establish and maintain for intellectual property rights, including our technology platform and product candidates; our ability to retain the continued service of our key personnel and to identify, hire, and then retain additional qualified personnel; our expectations regarding the impact of the COVID-19 pandemic on our business; our expectations regarding the period during which we will qualify as an emerging growth company under the JOBS Act; and our anticipated use of our existing cash and cash equivalents and the proceeds from our initial public offering.</w:t>
      </w:r>
    </w:p>
    <w:p>
      <w:pPr>
        <w:spacing w:after="0" w:line="180"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Quarterly Report, whether as a result of any new information, future events or otherwise.</w:t>
      </w:r>
    </w:p>
    <w:p>
      <w:pPr>
        <w:spacing w:after="0" w:line="18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779780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460" w:type="dxa"/>
            <w:vAlign w:val="bottom"/>
          </w:tcPr>
          <w:p>
            <w:pPr>
              <w:jc w:val="center"/>
              <w:ind w:left="3690"/>
              <w:spacing w:after="0"/>
              <w:rPr>
                <w:sz w:val="20"/>
                <w:szCs w:val="20"/>
                <w:color w:val="auto"/>
              </w:rPr>
            </w:pPr>
            <w:r>
              <w:rPr>
                <w:rFonts w:ascii="Arial" w:cs="Arial" w:eastAsia="Arial" w:hAnsi="Arial"/>
                <w:sz w:val="18"/>
                <w:szCs w:val="18"/>
                <w:b w:val="1"/>
                <w:bCs w:val="1"/>
                <w:color w:val="auto"/>
              </w:rPr>
              <w:t>PART I—FINANCIAL INFORMATION</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7460" w:type="dxa"/>
            <w:vAlign w:val="bottom"/>
          </w:tcPr>
          <w:p>
            <w:pPr>
              <w:jc w:val="center"/>
              <w:ind w:left="3690"/>
              <w:spacing w:after="0"/>
              <w:rPr>
                <w:sz w:val="20"/>
                <w:szCs w:val="20"/>
                <w:color w:val="auto"/>
              </w:rPr>
            </w:pPr>
            <w:r>
              <w:rPr>
                <w:rFonts w:ascii="Arial" w:cs="Arial" w:eastAsia="Arial" w:hAnsi="Arial"/>
                <w:sz w:val="18"/>
                <w:szCs w:val="18"/>
                <w:b w:val="1"/>
                <w:bCs w:val="1"/>
                <w:color w:val="auto"/>
                <w:w w:val="90"/>
              </w:rPr>
              <w:t>Item 1 – Financial Statements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7"/>
        </w:trPr>
        <w:tc>
          <w:tcPr>
            <w:tcW w:w="7460" w:type="dxa"/>
            <w:vAlign w:val="bottom"/>
          </w:tcPr>
          <w:p>
            <w:pPr>
              <w:jc w:val="center"/>
              <w:ind w:left="3690"/>
              <w:spacing w:after="0"/>
              <w:rPr>
                <w:sz w:val="20"/>
                <w:szCs w:val="20"/>
                <w:color w:val="auto"/>
              </w:rPr>
            </w:pPr>
            <w:r>
              <w:rPr>
                <w:rFonts w:ascii="Arial" w:cs="Arial" w:eastAsia="Arial" w:hAnsi="Arial"/>
                <w:sz w:val="18"/>
                <w:szCs w:val="18"/>
                <w:b w:val="1"/>
                <w:bCs w:val="1"/>
                <w:color w:val="auto"/>
                <w:w w:val="92"/>
              </w:rPr>
              <w:t>ALX Oncology Holdings Inc.</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7460" w:type="dxa"/>
            <w:vAlign w:val="bottom"/>
          </w:tcPr>
          <w:p>
            <w:pPr>
              <w:jc w:val="center"/>
              <w:ind w:left="37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460" w:type="dxa"/>
            <w:vAlign w:val="bottom"/>
          </w:tcPr>
          <w:p>
            <w:pPr>
              <w:jc w:val="center"/>
              <w:ind w:left="3690"/>
              <w:spacing w:after="0"/>
              <w:rPr>
                <w:sz w:val="20"/>
                <w:szCs w:val="20"/>
                <w:color w:val="auto"/>
              </w:rPr>
            </w:pPr>
            <w:r>
              <w:rPr>
                <w:rFonts w:ascii="Arial" w:cs="Arial" w:eastAsia="Arial" w:hAnsi="Arial"/>
                <w:sz w:val="18"/>
                <w:szCs w:val="18"/>
                <w:color w:val="auto"/>
                <w:w w:val="92"/>
              </w:rPr>
              <w:t>(unaudited)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460" w:type="dxa"/>
            <w:vAlign w:val="bottom"/>
          </w:tcPr>
          <w:p>
            <w:pPr>
              <w:jc w:val="center"/>
              <w:ind w:left="3690"/>
              <w:spacing w:after="0"/>
              <w:rPr>
                <w:sz w:val="20"/>
                <w:szCs w:val="20"/>
                <w:color w:val="auto"/>
              </w:rPr>
            </w:pPr>
            <w:r>
              <w:rPr>
                <w:rFonts w:ascii="Arial" w:cs="Arial" w:eastAsia="Arial" w:hAnsi="Arial"/>
                <w:sz w:val="18"/>
                <w:szCs w:val="18"/>
                <w:color w:val="auto"/>
                <w:w w:val="87"/>
              </w:rPr>
              <w:t>(in thousands, except share and per share data)</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4"/>
        </w:trPr>
        <w:tc>
          <w:tcPr>
            <w:tcW w:w="7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September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46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r>
      <w:tr>
        <w:trPr>
          <w:trHeight w:val="223"/>
        </w:trPr>
        <w:tc>
          <w:tcPr>
            <w:tcW w:w="7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4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259,484</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9,017</w:t>
            </w:r>
          </w:p>
        </w:tc>
        <w:tc>
          <w:tcPr>
            <w:tcW w:w="120" w:type="dxa"/>
            <w:vAlign w:val="bottom"/>
            <w:shd w:val="clear" w:color="auto" w:fill="CFF0FC"/>
          </w:tcPr>
          <w:p>
            <w:pPr>
              <w:spacing w:after="0"/>
              <w:rPr>
                <w:sz w:val="19"/>
                <w:szCs w:val="19"/>
                <w:color w:val="auto"/>
              </w:rPr>
            </w:pPr>
          </w:p>
        </w:tc>
      </w:tr>
      <w:tr>
        <w:trPr>
          <w:trHeight w:val="230"/>
        </w:trPr>
        <w:tc>
          <w:tcPr>
            <w:tcW w:w="7460" w:type="dxa"/>
            <w:vAlign w:val="bottom"/>
          </w:tcPr>
          <w:p>
            <w:pPr>
              <w:ind w:left="260"/>
              <w:spacing w:after="0"/>
              <w:rPr>
                <w:sz w:val="20"/>
                <w:szCs w:val="20"/>
                <w:color w:val="auto"/>
              </w:rPr>
            </w:pPr>
            <w:r>
              <w:rPr>
                <w:rFonts w:ascii="Arial" w:cs="Arial" w:eastAsia="Arial" w:hAnsi="Arial"/>
                <w:sz w:val="18"/>
                <w:szCs w:val="18"/>
                <w:color w:val="auto"/>
              </w:rPr>
              <w:t>Receivables due from related-party</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9"/>
                <w:szCs w:val="19"/>
                <w:color w:val="auto"/>
              </w:rPr>
            </w:pPr>
          </w:p>
        </w:tc>
      </w:tr>
      <w:tr>
        <w:trPr>
          <w:trHeight w:val="229"/>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FF0FC"/>
          </w:tcPr>
          <w:p>
            <w:pPr>
              <w:spacing w:after="0"/>
              <w:rPr>
                <w:sz w:val="19"/>
                <w:szCs w:val="19"/>
                <w:color w:val="auto"/>
              </w:rPr>
            </w:pPr>
          </w:p>
        </w:tc>
      </w:tr>
      <w:tr>
        <w:trPr>
          <w:trHeight w:val="223"/>
        </w:trPr>
        <w:tc>
          <w:tcPr>
            <w:tcW w:w="74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262,404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9,809</w:t>
            </w:r>
          </w:p>
        </w:tc>
        <w:tc>
          <w:tcPr>
            <w:tcW w:w="120" w:type="dxa"/>
            <w:vAlign w:val="bottom"/>
          </w:tcPr>
          <w:p>
            <w:pPr>
              <w:spacing w:after="0"/>
              <w:rPr>
                <w:sz w:val="19"/>
                <w:szCs w:val="19"/>
                <w:color w:val="auto"/>
              </w:rPr>
            </w:pPr>
          </w:p>
        </w:tc>
      </w:tr>
      <w:tr>
        <w:trPr>
          <w:trHeight w:val="229"/>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FF0FC"/>
          </w:tcPr>
          <w:p>
            <w:pPr>
              <w:spacing w:after="0"/>
              <w:rPr>
                <w:sz w:val="19"/>
                <w:szCs w:val="19"/>
                <w:color w:val="auto"/>
              </w:rPr>
            </w:pPr>
          </w:p>
        </w:tc>
      </w:tr>
      <w:tr>
        <w:trPr>
          <w:trHeight w:val="229"/>
        </w:trPr>
        <w:tc>
          <w:tcPr>
            <w:tcW w:w="746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r>
      <w:tr>
        <w:trPr>
          <w:trHeight w:val="223"/>
        </w:trPr>
        <w:tc>
          <w:tcPr>
            <w:tcW w:w="74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262,449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7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4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3,748</w:t>
            </w:r>
          </w:p>
        </w:tc>
        <w:tc>
          <w:tcPr>
            <w:tcW w:w="120" w:type="dxa"/>
            <w:vAlign w:val="bottom"/>
            <w:shd w:val="clear" w:color="auto" w:fill="CFF0FC"/>
          </w:tcPr>
          <w:p>
            <w:pPr>
              <w:spacing w:after="0"/>
              <w:rPr>
                <w:sz w:val="19"/>
                <w:szCs w:val="19"/>
                <w:color w:val="auto"/>
              </w:rPr>
            </w:pPr>
          </w:p>
        </w:tc>
      </w:tr>
      <w:tr>
        <w:trPr>
          <w:trHeight w:val="229"/>
        </w:trPr>
        <w:tc>
          <w:tcPr>
            <w:tcW w:w="746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19"/>
                <w:szCs w:val="19"/>
                <w:color w:val="auto"/>
              </w:rPr>
            </w:pPr>
          </w:p>
        </w:tc>
      </w:tr>
      <w:tr>
        <w:trPr>
          <w:trHeight w:val="230"/>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Term loan - current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4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4,984</w:t>
            </w:r>
          </w:p>
        </w:tc>
        <w:tc>
          <w:tcPr>
            <w:tcW w:w="120" w:type="dxa"/>
            <w:vAlign w:val="bottom"/>
          </w:tcPr>
          <w:p>
            <w:pPr>
              <w:spacing w:after="0"/>
              <w:rPr>
                <w:sz w:val="19"/>
                <w:szCs w:val="19"/>
                <w:color w:val="auto"/>
              </w:rPr>
            </w:pPr>
          </w:p>
        </w:tc>
      </w:tr>
      <w:tr>
        <w:trPr>
          <w:trHeight w:val="230"/>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Term loan - non-current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5,421</w:t>
            </w:r>
          </w:p>
        </w:tc>
        <w:tc>
          <w:tcPr>
            <w:tcW w:w="120" w:type="dxa"/>
            <w:vAlign w:val="bottom"/>
            <w:shd w:val="clear" w:color="auto" w:fill="CFF0FC"/>
          </w:tcPr>
          <w:p>
            <w:pPr>
              <w:spacing w:after="0"/>
              <w:rPr>
                <w:sz w:val="19"/>
                <w:szCs w:val="19"/>
                <w:color w:val="auto"/>
              </w:rPr>
            </w:pPr>
          </w:p>
        </w:tc>
      </w:tr>
      <w:tr>
        <w:trPr>
          <w:trHeight w:val="229"/>
        </w:trPr>
        <w:tc>
          <w:tcPr>
            <w:tcW w:w="7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FF0FC"/>
            </w:tcBorders>
          </w:tcPr>
          <w:p>
            <w:pPr>
              <w:spacing w:after="0"/>
              <w:rPr>
                <w:sz w:val="19"/>
                <w:szCs w:val="19"/>
                <w:color w:val="auto"/>
              </w:rPr>
            </w:pPr>
          </w:p>
        </w:tc>
      </w:tr>
      <w:tr>
        <w:trPr>
          <w:trHeight w:val="223"/>
        </w:trPr>
        <w:tc>
          <w:tcPr>
            <w:tcW w:w="7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10,952</w:t>
            </w:r>
          </w:p>
        </w:tc>
        <w:tc>
          <w:tcPr>
            <w:tcW w:w="120" w:type="dxa"/>
            <w:vAlign w:val="bottom"/>
            <w:shd w:val="clear" w:color="auto" w:fill="CFF0FC"/>
          </w:tcPr>
          <w:p>
            <w:pPr>
              <w:spacing w:after="0"/>
              <w:rPr>
                <w:sz w:val="19"/>
                <w:szCs w:val="19"/>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Series A convertible preferred stock, $0.001 par value; zero shares authorized, issued</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outstanding as of September 30, 2020; 9,421,633 shares authorized as of</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2019; 9,297,081 shares issued and outstanding as of December 31,</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2019; aggregate liquidation preference of $73,571 as of December 31, 2019</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60,933</w:t>
            </w:r>
          </w:p>
        </w:tc>
        <w:tc>
          <w:tcPr>
            <w:tcW w:w="120" w:type="dxa"/>
            <w:vAlign w:val="bottom"/>
            <w:shd w:val="clear" w:color="auto" w:fill="CFF0FC"/>
          </w:tcPr>
          <w:p>
            <w:pPr>
              <w:spacing w:after="0"/>
              <w:rPr>
                <w:sz w:val="20"/>
                <w:szCs w:val="20"/>
                <w:color w:val="auto"/>
              </w:rPr>
            </w:pPr>
          </w:p>
        </w:tc>
      </w:tr>
      <w:tr>
        <w:trPr>
          <w:trHeight w:val="215"/>
        </w:trPr>
        <w:tc>
          <w:tcPr>
            <w:tcW w:w="7460" w:type="dxa"/>
            <w:vAlign w:val="bottom"/>
          </w:tcPr>
          <w:p>
            <w:pPr>
              <w:spacing w:after="0"/>
              <w:rPr>
                <w:sz w:val="20"/>
                <w:szCs w:val="20"/>
                <w:color w:val="auto"/>
              </w:rPr>
            </w:pPr>
            <w:r>
              <w:rPr>
                <w:rFonts w:ascii="Arial" w:cs="Arial" w:eastAsia="Arial" w:hAnsi="Arial"/>
                <w:sz w:val="18"/>
                <w:szCs w:val="18"/>
                <w:color w:val="auto"/>
              </w:rPr>
              <w:t>Series B convertible preferred stock, $0.001 par value; zero shares authorized, issued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60" w:type="dxa"/>
            <w:vAlign w:val="bottom"/>
          </w:tcPr>
          <w:p>
            <w:pPr>
              <w:ind w:left="140"/>
              <w:spacing w:after="0"/>
              <w:rPr>
                <w:sz w:val="20"/>
                <w:szCs w:val="20"/>
                <w:color w:val="auto"/>
              </w:rPr>
            </w:pPr>
            <w:r>
              <w:rPr>
                <w:rFonts w:ascii="Arial" w:cs="Arial" w:eastAsia="Arial" w:hAnsi="Arial"/>
                <w:sz w:val="18"/>
                <w:szCs w:val="18"/>
                <w:color w:val="auto"/>
              </w:rPr>
              <w:t>and outstanding as of September 30, 2020; 2,145,370 shares authorized as of</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60" w:type="dxa"/>
            <w:vAlign w:val="bottom"/>
          </w:tcPr>
          <w:p>
            <w:pPr>
              <w:ind w:left="140"/>
              <w:spacing w:after="0"/>
              <w:rPr>
                <w:sz w:val="20"/>
                <w:szCs w:val="20"/>
                <w:color w:val="auto"/>
              </w:rPr>
            </w:pPr>
            <w:r>
              <w:rPr>
                <w:rFonts w:ascii="Arial" w:cs="Arial" w:eastAsia="Arial" w:hAnsi="Arial"/>
                <w:sz w:val="18"/>
                <w:szCs w:val="18"/>
                <w:color w:val="auto"/>
              </w:rPr>
              <w:t>December 31, 2019; 1,016,727 shares issued and outstanding as of December 31,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460" w:type="dxa"/>
            <w:vAlign w:val="bottom"/>
          </w:tcPr>
          <w:p>
            <w:pPr>
              <w:ind w:left="140"/>
              <w:spacing w:after="0"/>
              <w:rPr>
                <w:sz w:val="20"/>
                <w:szCs w:val="20"/>
                <w:color w:val="auto"/>
              </w:rPr>
            </w:pPr>
            <w:r>
              <w:rPr>
                <w:rFonts w:ascii="Arial" w:cs="Arial" w:eastAsia="Arial" w:hAnsi="Arial"/>
                <w:sz w:val="18"/>
                <w:szCs w:val="18"/>
                <w:color w:val="auto"/>
              </w:rPr>
              <w:t>2019; aggregate liquidation preference of $10,014 as of December 31, 2019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9,430</w:t>
            </w:r>
          </w:p>
        </w:tc>
        <w:tc>
          <w:tcPr>
            <w:tcW w:w="120" w:type="dxa"/>
            <w:vAlign w:val="bottom"/>
          </w:tcPr>
          <w:p>
            <w:pPr>
              <w:spacing w:after="0"/>
              <w:rPr>
                <w:sz w:val="20"/>
                <w:szCs w:val="20"/>
                <w:color w:val="auto"/>
              </w:rPr>
            </w:pPr>
          </w:p>
        </w:tc>
      </w:tr>
      <w:tr>
        <w:trPr>
          <w:trHeight w:val="230"/>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460" w:type="dxa"/>
            <w:vAlign w:val="bottom"/>
          </w:tcPr>
          <w:p>
            <w:pPr>
              <w:spacing w:after="0"/>
              <w:rPr>
                <w:sz w:val="20"/>
                <w:szCs w:val="20"/>
                <w:color w:val="auto"/>
              </w:rPr>
            </w:pPr>
            <w:r>
              <w:rPr>
                <w:rFonts w:ascii="Arial" w:cs="Arial" w:eastAsia="Arial" w:hAnsi="Arial"/>
                <w:sz w:val="18"/>
                <w:szCs w:val="18"/>
                <w:color w:val="auto"/>
              </w:rPr>
              <w:t>Preferred stock, $0.001 par value; 100,000,000 shares authorized, no shares issued or</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46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$0.001 par value; 1,000,000,000 and 1,519,618,271 shares authorized</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 of September 30, 2020 and December 31, 2019, respectively; 37,107,522 and</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3,166,946 shares issued and outstanding as of September 30, 2020 and December 31,</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2019, respectively</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0"/>
                <w:szCs w:val="20"/>
                <w:color w:val="auto"/>
              </w:rPr>
            </w:pPr>
          </w:p>
        </w:tc>
      </w:tr>
      <w:tr>
        <w:trPr>
          <w:trHeight w:val="230"/>
        </w:trPr>
        <w:tc>
          <w:tcPr>
            <w:tcW w:w="74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351,727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2,140</w:t>
            </w:r>
          </w:p>
        </w:tc>
        <w:tc>
          <w:tcPr>
            <w:tcW w:w="120" w:type="dxa"/>
            <w:vAlign w:val="bottom"/>
          </w:tcPr>
          <w:p>
            <w:pPr>
              <w:spacing w:after="0"/>
              <w:rPr>
                <w:sz w:val="19"/>
                <w:szCs w:val="19"/>
                <w:color w:val="auto"/>
              </w:rPr>
            </w:pPr>
          </w:p>
        </w:tc>
      </w:tr>
      <w:tr>
        <w:trPr>
          <w:trHeight w:val="230"/>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(99,748)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(72,782)</w:t>
            </w:r>
          </w:p>
        </w:tc>
      </w:tr>
      <w:tr>
        <w:trPr>
          <w:trHeight w:val="223"/>
        </w:trPr>
        <w:tc>
          <w:tcPr>
            <w:tcW w:w="7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252,016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(70,639)</w:t>
            </w:r>
          </w:p>
        </w:tc>
        <w:tc>
          <w:tcPr>
            <w:tcW w:w="120" w:type="dxa"/>
            <w:vAlign w:val="bottom"/>
            <w:tcBorders>
              <w:bottom w:val="single" w:sz="8" w:color="CFF0FC"/>
            </w:tcBorders>
          </w:tcPr>
          <w:p>
            <w:pPr>
              <w:spacing w:after="0"/>
              <w:rPr>
                <w:sz w:val="19"/>
                <w:szCs w:val="19"/>
                <w:color w:val="auto"/>
              </w:rPr>
            </w:pPr>
          </w:p>
        </w:tc>
      </w:tr>
      <w:tr>
        <w:trPr>
          <w:trHeight w:val="223"/>
        </w:trPr>
        <w:tc>
          <w:tcPr>
            <w:tcW w:w="74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262,449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9"/>
                <w:szCs w:val="19"/>
                <w:color w:val="auto"/>
              </w:rPr>
            </w:pPr>
          </w:p>
        </w:tc>
        <w:tc>
          <w:tcPr>
            <w:tcW w:w="24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44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Related-party 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4,481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9,126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services for related-party revenue</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9,809</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4,290</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27,020</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(9,809)</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(3,034)</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(25,838)</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(409)</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(10,146)</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(26,907)</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(10,181)</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(26,966)</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Cumulative dividends allocated to preferred stockholders</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(578)</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(1,071)</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(5,202)</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(10,759)</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(4,115)</w:t>
            </w: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(32,168)</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(14,436)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 stockholders, basic and</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(0.36)</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(2.67)</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of common stock used to compute net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40"/>
              <w:spacing w:after="0"/>
              <w:rPr>
                <w:sz w:val="20"/>
                <w:szCs w:val="20"/>
                <w:color w:val="auto"/>
              </w:rPr>
            </w:pPr>
            <w:r>
              <w:rPr>
                <w:rFonts w:ascii="Arial" w:cs="Arial" w:eastAsia="Arial" w:hAnsi="Arial"/>
                <w:sz w:val="18"/>
                <w:szCs w:val="18"/>
                <w:color w:val="auto"/>
              </w:rPr>
              <w:t>loss per share attributable to common stockholders, basic and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29,664,122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3,100,544</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12,052,876</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3,061,082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 (unaudited).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Condensed Consolidated Statements of Convertible Preferred Stock and Stockholders’ Equity (Deficit)</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amounts)</w:t>
      </w:r>
    </w:p>
    <w:p>
      <w:pPr>
        <w:sectPr>
          <w:pgSz w:w="11900" w:h="16838" w:orient="portrait"/>
          <w:cols w:equalWidth="0" w:num="1">
            <w:col w:w="11200"/>
          </w:cols>
          <w:pgMar w:left="320" w:top="121" w:right="379" w:bottom="1440" w:gutter="0" w:footer="0" w:header="0"/>
        </w:sect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2100" w:type="dxa"/>
            <w:vAlign w:val="bottom"/>
            <w:tcBorders>
              <w:bottom w:val="single" w:sz="8" w:color="auto"/>
            </w:tcBorders>
            <w:gridSpan w:val="5"/>
          </w:tcPr>
          <w:p>
            <w:pPr>
              <w:jc w:val="right"/>
              <w:ind w:right="91"/>
              <w:spacing w:after="0"/>
              <w:rPr>
                <w:sz w:val="20"/>
                <w:szCs w:val="20"/>
                <w:color w:val="auto"/>
              </w:rPr>
            </w:pPr>
            <w:r>
              <w:rPr>
                <w:rFonts w:ascii="Arial" w:cs="Arial" w:eastAsia="Arial" w:hAnsi="Arial"/>
                <w:sz w:val="14"/>
                <w:szCs w:val="14"/>
                <w:b w:val="1"/>
                <w:bCs w:val="1"/>
                <w:color w:val="auto"/>
              </w:rPr>
              <w:t>Convertible Preferred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2019</w:t>
            </w: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2"/>
        </w:trPr>
        <w:tc>
          <w:tcPr>
            <w:tcW w:w="3080" w:type="dxa"/>
            <w:vAlign w:val="bottom"/>
            <w:vMerge w:val="continue"/>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10,313,808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Vesting of early exercised stock</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options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Issuance of convertible preferred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stock, net of issuance costs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11,055,966</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b w:val="1"/>
                <w:bCs w:val="1"/>
                <w:color w:val="auto"/>
              </w:rPr>
              <w:t>Balance as of March 31, 2020</w:t>
            </w:r>
          </w:p>
        </w:tc>
        <w:tc>
          <w:tcPr>
            <w:tcW w:w="1000" w:type="dxa"/>
            <w:vAlign w:val="bottom"/>
          </w:tcPr>
          <w:p>
            <w:pPr>
              <w:jc w:val="right"/>
              <w:spacing w:after="0"/>
              <w:rPr>
                <w:sz w:val="20"/>
                <w:szCs w:val="20"/>
                <w:color w:val="auto"/>
              </w:rPr>
            </w:pPr>
            <w:r>
              <w:rPr>
                <w:rFonts w:ascii="Arial" w:cs="Arial" w:eastAsia="Arial" w:hAnsi="Arial"/>
                <w:sz w:val="18"/>
                <w:szCs w:val="18"/>
                <w:color w:val="auto"/>
              </w:rPr>
              <w:t>21,369,774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175,043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Vesting of early exercised stock</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Arial" w:cs="Arial" w:eastAsia="Arial" w:hAnsi="Arial"/>
                <w:sz w:val="18"/>
                <w:szCs w:val="18"/>
                <w:color w:val="auto"/>
              </w:rPr>
              <w:t>options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b w:val="1"/>
                <w:bCs w:val="1"/>
                <w:color w:val="auto"/>
              </w:rPr>
              <w:t>Balance as of June 30, 2020</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21,369,774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Vesting of early exercised stock</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Arial" w:cs="Arial" w:eastAsia="Arial" w:hAnsi="Arial"/>
                <w:sz w:val="18"/>
                <w:szCs w:val="18"/>
                <w:color w:val="auto"/>
              </w:rPr>
              <w:t>options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Reclassification of warrants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Arial" w:cs="Arial" w:eastAsia="Arial" w:hAnsi="Arial"/>
                <w:sz w:val="18"/>
                <w:szCs w:val="18"/>
                <w:color w:val="auto"/>
              </w:rPr>
              <w:t>from liability to equity</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Conversion of convertible</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140"/>
              <w:spacing w:after="0"/>
              <w:rPr>
                <w:sz w:val="20"/>
                <w:szCs w:val="20"/>
                <w:color w:val="auto"/>
              </w:rPr>
            </w:pPr>
            <w:r>
              <w:rPr>
                <w:rFonts w:ascii="Arial" w:cs="Arial" w:eastAsia="Arial" w:hAnsi="Arial"/>
                <w:sz w:val="18"/>
                <w:szCs w:val="18"/>
                <w:color w:val="auto"/>
              </w:rPr>
              <w:t>preferred stock into</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(21,369,774)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(175,043)</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Cumulative dividends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Issuance of common stock in</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140"/>
              <w:spacing w:after="0"/>
              <w:rPr>
                <w:sz w:val="20"/>
                <w:szCs w:val="20"/>
                <w:color w:val="auto"/>
              </w:rPr>
            </w:pPr>
            <w:r>
              <w:rPr>
                <w:rFonts w:ascii="Arial" w:cs="Arial" w:eastAsia="Arial" w:hAnsi="Arial"/>
                <w:sz w:val="18"/>
                <w:szCs w:val="18"/>
                <w:color w:val="auto"/>
              </w:rPr>
              <w:t>connection with initial public</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140"/>
              <w:spacing w:after="0"/>
              <w:rPr>
                <w:sz w:val="20"/>
                <w:szCs w:val="20"/>
                <w:color w:val="auto"/>
              </w:rPr>
            </w:pPr>
            <w:r>
              <w:rPr>
                <w:rFonts w:ascii="Arial" w:cs="Arial" w:eastAsia="Arial" w:hAnsi="Arial"/>
                <w:sz w:val="18"/>
                <w:szCs w:val="18"/>
                <w:color w:val="auto"/>
              </w:rPr>
              <w:t>offering, net of underwriter</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discounts and issuance costs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under equity incentive plans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upon net exercise of warrants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3080" w:type="dxa"/>
            <w:vAlign w:val="bottom"/>
          </w:tcPr>
          <w:p>
            <w:pPr>
              <w:spacing w:after="0" w:line="205" w:lineRule="exact"/>
              <w:rPr>
                <w:sz w:val="20"/>
                <w:szCs w:val="20"/>
                <w:color w:val="auto"/>
              </w:rPr>
            </w:pPr>
            <w:r>
              <w:rPr>
                <w:rFonts w:ascii="Arial" w:cs="Arial" w:eastAsia="Arial" w:hAnsi="Arial"/>
                <w:sz w:val="18"/>
                <w:szCs w:val="18"/>
                <w:b w:val="1"/>
                <w:bCs w:val="1"/>
                <w:color w:val="auto"/>
              </w:rPr>
              <w:t>Balance as of September 30,</w:t>
            </w: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ind w:left="140"/>
              <w:spacing w:after="0"/>
              <w:rPr>
                <w:sz w:val="20"/>
                <w:szCs w:val="20"/>
                <w:color w:val="auto"/>
              </w:rPr>
            </w:pPr>
            <w:r>
              <w:rPr>
                <w:rFonts w:ascii="Arial" w:cs="Arial" w:eastAsia="Arial" w:hAnsi="Arial"/>
                <w:sz w:val="18"/>
                <w:szCs w:val="18"/>
                <w:b w:val="1"/>
                <w:bCs w:val="1"/>
                <w:color w:val="auto"/>
              </w:rPr>
              <w:t>2020</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6350</wp:posOffset>
            </wp:positionV>
            <wp:extent cx="7132320" cy="5074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0749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3"/>
        </w:trPr>
        <w:tc>
          <w:tcPr>
            <w:tcW w:w="2260" w:type="dxa"/>
            <w:vAlign w:val="bottom"/>
            <w:tcBorders>
              <w:top w:val="single" w:sz="8" w:color="auto"/>
            </w:tcBorders>
            <w:gridSpan w:val="5"/>
            <w:vMerge w:val="restart"/>
          </w:tcPr>
          <w:p>
            <w:pPr>
              <w:ind w:left="5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260"/>
              <w:spacing w:after="0" w:line="133" w:lineRule="exact"/>
              <w:rPr>
                <w:sz w:val="20"/>
                <w:szCs w:val="20"/>
                <w:color w:val="auto"/>
              </w:rPr>
            </w:pPr>
            <w:r>
              <w:rPr>
                <w:rFonts w:ascii="Arial" w:cs="Arial" w:eastAsia="Arial" w:hAnsi="Arial"/>
                <w:sz w:val="14"/>
                <w:szCs w:val="14"/>
                <w:b w:val="1"/>
                <w:bCs w:val="1"/>
                <w:color w:val="auto"/>
                <w:w w:val="93"/>
              </w:rPr>
              <w:t>Additional</w:t>
            </w:r>
          </w:p>
        </w:tc>
        <w:tc>
          <w:tcPr>
            <w:tcW w:w="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32"/>
              <w:spacing w:after="0" w:line="133"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940" w:type="dxa"/>
            <w:vAlign w:val="bottom"/>
            <w:tcBorders>
              <w:top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14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224"/>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3,166,946</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(72,782)</w:t>
            </w:r>
          </w:p>
        </w:tc>
        <w:tc>
          <w:tcPr>
            <w:tcW w:w="2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(5,454)</w:t>
            </w:r>
          </w:p>
        </w:tc>
        <w:tc>
          <w:tcPr>
            <w:tcW w:w="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(5,454)</w:t>
            </w:r>
          </w:p>
        </w:tc>
        <w:tc>
          <w:tcPr>
            <w:tcW w:w="0" w:type="dxa"/>
            <w:vAlign w:val="bottom"/>
          </w:tcPr>
          <w:p>
            <w:pPr>
              <w:spacing w:after="0"/>
              <w:rPr>
                <w:sz w:val="1"/>
                <w:szCs w:val="1"/>
                <w:color w:val="auto"/>
              </w:rPr>
            </w:pPr>
          </w:p>
        </w:tc>
      </w:tr>
      <w:tr>
        <w:trPr>
          <w:trHeight w:val="446"/>
        </w:trPr>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3,166,946</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(78,236)</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(11,331)</w:t>
            </w:r>
          </w:p>
        </w:tc>
        <w:tc>
          <w:tcPr>
            <w:tcW w:w="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(11,331)</w:t>
            </w:r>
          </w:p>
        </w:tc>
        <w:tc>
          <w:tcPr>
            <w:tcW w:w="0" w:type="dxa"/>
            <w:vAlign w:val="bottom"/>
          </w:tcPr>
          <w:p>
            <w:pPr>
              <w:spacing w:after="0"/>
              <w:rPr>
                <w:sz w:val="1"/>
                <w:szCs w:val="1"/>
                <w:color w:val="auto"/>
              </w:rPr>
            </w:pPr>
          </w:p>
        </w:tc>
      </w:tr>
      <w:tr>
        <w:trPr>
          <w:trHeight w:val="224"/>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3,166,946</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(89,567)</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(10,181)</w:t>
            </w:r>
          </w:p>
        </w:tc>
        <w:tc>
          <w:tcPr>
            <w:tcW w:w="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(10,181)</w:t>
            </w:r>
          </w:p>
        </w:tc>
        <w:tc>
          <w:tcPr>
            <w:tcW w:w="0" w:type="dxa"/>
            <w:vAlign w:val="bottom"/>
          </w:tcPr>
          <w:p>
            <w:pPr>
              <w:spacing w:after="0"/>
              <w:rPr>
                <w:sz w:val="1"/>
                <w:szCs w:val="1"/>
                <w:color w:val="auto"/>
              </w:rPr>
            </w:pPr>
          </w:p>
        </w:tc>
      </w:tr>
      <w:tr>
        <w:trPr>
          <w:trHeight w:val="445"/>
        </w:trPr>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940" w:type="dxa"/>
            <w:vAlign w:val="bottom"/>
          </w:tcPr>
          <w:p>
            <w:pPr>
              <w:jc w:val="right"/>
              <w:spacing w:after="0"/>
              <w:rPr>
                <w:sz w:val="20"/>
                <w:szCs w:val="20"/>
                <w:color w:val="auto"/>
              </w:rPr>
            </w:pPr>
            <w:r>
              <w:rPr>
                <w:rFonts w:ascii="Arial" w:cs="Arial" w:eastAsia="Arial" w:hAnsi="Arial"/>
                <w:sz w:val="18"/>
                <w:szCs w:val="18"/>
                <w:color w:val="auto"/>
                <w:w w:val="99"/>
              </w:rPr>
              <w:t>21,369,774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175,022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175,043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jc w:val="right"/>
              <w:spacing w:after="0"/>
              <w:rPr>
                <w:sz w:val="20"/>
                <w:szCs w:val="20"/>
                <w:color w:val="auto"/>
              </w:rPr>
            </w:pPr>
            <w:r>
              <w:rPr>
                <w:rFonts w:ascii="Arial" w:cs="Arial" w:eastAsia="Arial" w:hAnsi="Arial"/>
                <w:sz w:val="18"/>
                <w:szCs w:val="18"/>
                <w:color w:val="auto"/>
              </w:rPr>
              <w:t>2,564,759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78"/>
        </w:trPr>
        <w:tc>
          <w:tcPr>
            <w:tcW w:w="940" w:type="dxa"/>
            <w:vAlign w:val="bottom"/>
          </w:tcPr>
          <w:p>
            <w:pPr>
              <w:jc w:val="right"/>
              <w:spacing w:after="0"/>
              <w:rPr>
                <w:sz w:val="20"/>
                <w:szCs w:val="20"/>
                <w:color w:val="auto"/>
              </w:rPr>
            </w:pPr>
            <w:r>
              <w:rPr>
                <w:rFonts w:ascii="Arial" w:cs="Arial" w:eastAsia="Arial" w:hAnsi="Arial"/>
                <w:sz w:val="18"/>
                <w:szCs w:val="18"/>
                <w:color w:val="auto"/>
              </w:rPr>
              <w:t>9,775,000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169,531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169,541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940" w:type="dxa"/>
            <w:vAlign w:val="bottom"/>
          </w:tcPr>
          <w:p>
            <w:pPr>
              <w:jc w:val="right"/>
              <w:spacing w:after="0"/>
              <w:rPr>
                <w:sz w:val="20"/>
                <w:szCs w:val="20"/>
                <w:color w:val="auto"/>
              </w:rPr>
            </w:pPr>
            <w:r>
              <w:rPr>
                <w:rFonts w:ascii="Arial" w:cs="Arial" w:eastAsia="Arial" w:hAnsi="Arial"/>
                <w:sz w:val="18"/>
                <w:szCs w:val="18"/>
                <w:color w:val="auto"/>
              </w:rPr>
              <w:t>182,111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48,932</w:t>
            </w: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jc w:val="right"/>
              <w:spacing w:after="0"/>
              <w:rPr>
                <w:sz w:val="20"/>
                <w:szCs w:val="20"/>
                <w:color w:val="auto"/>
              </w:rPr>
            </w:pPr>
            <w:r>
              <w:rPr>
                <w:rFonts w:ascii="Arial" w:cs="Arial" w:eastAsia="Arial" w:hAnsi="Arial"/>
                <w:sz w:val="18"/>
                <w:szCs w:val="18"/>
                <w:color w:val="auto"/>
                <w:w w:val="99"/>
              </w:rPr>
              <w:t>37,107,522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351,727</w:t>
            </w:r>
          </w:p>
        </w:tc>
        <w:tc>
          <w:tcPr>
            <w:tcW w:w="160" w:type="dxa"/>
            <w:vAlign w:val="bottom"/>
          </w:tcPr>
          <w:p>
            <w:pPr>
              <w:spacing w:after="0"/>
              <w:rPr>
                <w:sz w:val="24"/>
                <w:szCs w:val="24"/>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(99,748)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40" w:type="dxa"/>
            <w:vAlign w:val="bottom"/>
          </w:tcPr>
          <w:p>
            <w:pPr>
              <w:jc w:val="right"/>
              <w:ind w:right="712"/>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68580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2">
            <w:col w:w="5240" w:space="280"/>
            <w:col w:w="5680"/>
          </w:cols>
          <w:pgMar w:left="320" w:top="121" w:right="379" w:bottom="1440" w:gutter="0" w:footer="0" w:header="0"/>
          <w:type w:val="continuous"/>
        </w:sectPr>
      </w:pPr>
    </w:p>
    <w:bookmarkStart w:id="6" w:name="page7"/>
    <w:bookmarkEnd w:id="6"/>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2020" w:type="dxa"/>
            <w:vAlign w:val="bottom"/>
            <w:tcBorders>
              <w:bottom w:val="single" w:sz="8" w:color="auto"/>
            </w:tcBorders>
            <w:gridSpan w:val="5"/>
          </w:tcPr>
          <w:p>
            <w:pPr>
              <w:jc w:val="right"/>
              <w:ind w:right="71"/>
              <w:spacing w:after="0"/>
              <w:rPr>
                <w:sz w:val="20"/>
                <w:szCs w:val="20"/>
                <w:color w:val="auto"/>
              </w:rPr>
            </w:pPr>
            <w:r>
              <w:rPr>
                <w:rFonts w:ascii="Arial" w:cs="Arial" w:eastAsia="Arial" w:hAnsi="Arial"/>
                <w:sz w:val="14"/>
                <w:szCs w:val="14"/>
                <w:b w:val="1"/>
                <w:bCs w:val="1"/>
                <w:color w:val="auto"/>
                <w:w w:val="99"/>
              </w:rPr>
              <w:t>Convertible Preferred Stock</w:t>
            </w:r>
          </w:p>
        </w:tc>
        <w:tc>
          <w:tcPr>
            <w:tcW w:w="0" w:type="dxa"/>
            <w:vAlign w:val="bottom"/>
          </w:tcPr>
          <w:p>
            <w:pPr>
              <w:spacing w:after="0"/>
              <w:rPr>
                <w:sz w:val="1"/>
                <w:szCs w:val="1"/>
                <w:color w:val="auto"/>
              </w:rPr>
            </w:pPr>
          </w:p>
        </w:tc>
      </w:tr>
      <w:tr>
        <w:trPr>
          <w:trHeight w:val="155"/>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2018</w:t>
            </w:r>
          </w:p>
        </w:tc>
        <w:tc>
          <w:tcPr>
            <w:tcW w:w="116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91"/>
              <w:spacing w:after="0" w:line="155"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2"/>
        </w:trPr>
        <w:tc>
          <w:tcPr>
            <w:tcW w:w="3160" w:type="dxa"/>
            <w:vAlign w:val="bottom"/>
            <w:vMerge w:val="continue"/>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9,297,081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60,933</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Vesting of early exercised stock</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options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160" w:type="dxa"/>
            <w:vAlign w:val="bottom"/>
          </w:tcPr>
          <w:p>
            <w:pPr>
              <w:spacing w:after="0"/>
              <w:rPr>
                <w:sz w:val="20"/>
                <w:szCs w:val="20"/>
                <w:color w:val="auto"/>
              </w:rPr>
            </w:pPr>
            <w:r>
              <w:rPr>
                <w:rFonts w:ascii="Arial" w:cs="Arial" w:eastAsia="Arial" w:hAnsi="Arial"/>
                <w:sz w:val="18"/>
                <w:szCs w:val="18"/>
                <w:b w:val="1"/>
                <w:bCs w:val="1"/>
                <w:color w:val="auto"/>
              </w:rPr>
              <w:t>Balance as of March 31, 2019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9,297,081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60,933</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Vesting of early exercised stock</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options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Issuance of convertible</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40"/>
              <w:spacing w:after="0"/>
              <w:rPr>
                <w:sz w:val="20"/>
                <w:szCs w:val="20"/>
                <w:color w:val="auto"/>
              </w:rPr>
            </w:pPr>
            <w:r>
              <w:rPr>
                <w:rFonts w:ascii="Arial" w:cs="Arial" w:eastAsia="Arial" w:hAnsi="Arial"/>
                <w:sz w:val="18"/>
                <w:szCs w:val="18"/>
                <w:color w:val="auto"/>
              </w:rPr>
              <w:t>preferred stock, net of</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issuance costs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1,016,727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9,430</w:t>
            </w:r>
          </w:p>
        </w:tc>
        <w:tc>
          <w:tcPr>
            <w:tcW w:w="0" w:type="dxa"/>
            <w:vAlign w:val="bottom"/>
          </w:tcPr>
          <w:p>
            <w:pPr>
              <w:spacing w:after="0"/>
              <w:rPr>
                <w:sz w:val="1"/>
                <w:szCs w:val="1"/>
                <w:color w:val="auto"/>
              </w:rPr>
            </w:pPr>
          </w:p>
        </w:tc>
      </w:tr>
      <w:tr>
        <w:trPr>
          <w:trHeight w:val="222"/>
        </w:trPr>
        <w:tc>
          <w:tcPr>
            <w:tcW w:w="3160" w:type="dxa"/>
            <w:vAlign w:val="bottom"/>
          </w:tcPr>
          <w:p>
            <w:pPr>
              <w:spacing w:after="0"/>
              <w:rPr>
                <w:sz w:val="20"/>
                <w:szCs w:val="20"/>
                <w:color w:val="auto"/>
              </w:rPr>
            </w:pPr>
            <w:r>
              <w:rPr>
                <w:rFonts w:ascii="Arial" w:cs="Arial" w:eastAsia="Arial" w:hAnsi="Arial"/>
                <w:sz w:val="18"/>
                <w:szCs w:val="18"/>
                <w:b w:val="1"/>
                <w:bCs w:val="1"/>
                <w:color w:val="auto"/>
              </w:rPr>
              <w:t>Balance as of June 30, 2019</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10,313,808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70,363</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Vesting of early exercised stock</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140"/>
              <w:spacing w:after="0"/>
              <w:rPr>
                <w:sz w:val="20"/>
                <w:szCs w:val="20"/>
                <w:color w:val="auto"/>
              </w:rPr>
            </w:pPr>
            <w:r>
              <w:rPr>
                <w:rFonts w:ascii="Arial" w:cs="Arial" w:eastAsia="Arial" w:hAnsi="Arial"/>
                <w:sz w:val="18"/>
                <w:szCs w:val="18"/>
                <w:color w:val="auto"/>
              </w:rPr>
              <w:t>options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b w:val="1"/>
                <w:bCs w:val="1"/>
                <w:color w:val="auto"/>
              </w:rPr>
              <w:t>Balance as of September 30, 2019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10,313,808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70,363</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3"/>
            <w:vMerge w:val="restart"/>
          </w:tcPr>
          <w:p>
            <w:pPr>
              <w:jc w:val="right"/>
              <w:ind w:right="236"/>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Additional</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178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Paid-In</w:t>
            </w:r>
          </w:p>
        </w:tc>
        <w:tc>
          <w:tcPr>
            <w:tcW w:w="1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110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Shares</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3"/>
                <w:szCs w:val="13"/>
                <w:color w:val="auto"/>
              </w:rPr>
            </w:pPr>
          </w:p>
        </w:tc>
        <w:tc>
          <w:tcPr>
            <w:tcW w:w="940" w:type="dxa"/>
            <w:vAlign w:val="bottom"/>
            <w:gridSpan w:val="2"/>
          </w:tcPr>
          <w:p>
            <w:pPr>
              <w:jc w:val="right"/>
              <w:ind w:right="381"/>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116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5"/>
              </w:rPr>
              <w:t>Equity (Deficit)</w:t>
            </w:r>
          </w:p>
        </w:tc>
        <w:tc>
          <w:tcPr>
            <w:tcW w:w="0" w:type="dxa"/>
            <w:vAlign w:val="bottom"/>
          </w:tcPr>
          <w:p>
            <w:pPr>
              <w:spacing w:after="0"/>
              <w:rPr>
                <w:sz w:val="1"/>
                <w:szCs w:val="1"/>
                <w:color w:val="auto"/>
              </w:rPr>
            </w:pPr>
          </w:p>
        </w:tc>
      </w:tr>
      <w:tr>
        <w:trPr>
          <w:trHeight w:val="224"/>
        </w:trPr>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3,161,747</w:t>
            </w: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ind w:right="49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(53,539)</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(4,238)</w:t>
            </w: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(4,238)</w:t>
            </w:r>
          </w:p>
        </w:tc>
        <w:tc>
          <w:tcPr>
            <w:tcW w:w="0" w:type="dxa"/>
            <w:vAlign w:val="bottom"/>
          </w:tcPr>
          <w:p>
            <w:pPr>
              <w:spacing w:after="0"/>
              <w:rPr>
                <w:sz w:val="1"/>
                <w:szCs w:val="1"/>
                <w:color w:val="auto"/>
              </w:rPr>
            </w:pPr>
          </w:p>
        </w:tc>
      </w:tr>
      <w:tr>
        <w:trPr>
          <w:trHeight w:val="224"/>
        </w:trPr>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3,161,747</w:t>
            </w: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1,855</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(57,777)</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(4,197)</w:t>
            </w: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662"/>
        </w:trPr>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3,161,747</w:t>
            </w: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1,935</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(61,974)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23"/>
        </w:trPr>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3,161,747</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2,039</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(65,018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-2896870</wp:posOffset>
            </wp:positionV>
            <wp:extent cx="7132320" cy="28975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340"/>
            <w:col w:w="5680"/>
          </w:cols>
          <w:pgMar w:left="320" w:top="307" w:right="379" w:bottom="1440" w:gutter="0" w:footer="0" w:header="0"/>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accompanying notes to these condensed consolidated financial statements (unaudited).</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07" w:right="37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28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Nine Months Ended</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(26,966)</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(11,479)</w:t>
            </w: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3,693</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Amortization of term loan discount and issuance costs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339</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fair value of compound derivative liability and warrants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Gain on assignment of lease</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9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Receivables due from related-party</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(2,137)</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(2,323)</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Other non-current liabilities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(24,674)</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(11,375)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Proceeds from assets held for sale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641</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in) investing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equity offerings, net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172,724</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Payments of offering costs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(3,183)</w:t>
            </w:r>
          </w:p>
        </w:tc>
        <w:tc>
          <w:tcPr>
            <w:tcW w:w="9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common stock under equity incentive plans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related parties for issuance of convertible preferred stock,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68,452</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convertible preferred stock, net</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36,228</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274,520</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250,467</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(2,360)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9,017</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259,484</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Cash paid for taxes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Vesting of early exercised stock options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property and equipment in accounts payable</w:t>
            </w: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Conversion of convertible preferred stock into common stock upon closing</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of initial public offering</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175,043</w:t>
            </w:r>
          </w:p>
        </w:tc>
        <w:tc>
          <w:tcPr>
            <w:tcW w:w="280" w:type="dxa"/>
            <w:vAlign w:val="bottom"/>
          </w:tcPr>
          <w:p>
            <w:pPr>
              <w:spacing w:after="0"/>
              <w:rPr>
                <w:sz w:val="20"/>
                <w:szCs w:val="20"/>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Accumulated dividend on convertible preferred stock</w:t>
            </w: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 (unaudited).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520" w:right="9520" w:hanging="512"/>
        <w:spacing w:after="0" w:line="378" w:lineRule="auto"/>
        <w:tabs>
          <w:tab w:leader="none" w:pos="26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w:t>
      </w:r>
      <w:r>
        <w:rPr>
          <w:rFonts w:ascii="Arial" w:cs="Arial" w:eastAsia="Arial" w:hAnsi="Arial"/>
          <w:sz w:val="18"/>
          <w:szCs w:val="18"/>
          <w:b w:val="1"/>
          <w:bCs w:val="1"/>
          <w:i w:val="1"/>
          <w:iCs w:val="1"/>
          <w:color w:val="auto"/>
        </w:rPr>
        <w:t>Organization</w:t>
      </w:r>
    </w:p>
    <w:p>
      <w:pPr>
        <w:ind w:firstLine="510"/>
        <w:spacing w:after="0" w:line="270" w:lineRule="auto"/>
        <w:rPr>
          <w:sz w:val="20"/>
          <w:szCs w:val="20"/>
          <w:color w:val="auto"/>
        </w:rPr>
      </w:pPr>
      <w:r>
        <w:rPr>
          <w:rFonts w:ascii="Arial" w:cs="Arial" w:eastAsia="Arial" w:hAnsi="Arial"/>
          <w:sz w:val="17"/>
          <w:szCs w:val="17"/>
          <w:color w:val="auto"/>
        </w:rPr>
        <w:t>ALX Oncology Holdings Inc., or the Company, was formed as a Delaware corporation on April 1, 2020, or Inception. The Company was formed for the purpose of completing the Company’s initial public offering of its common stock and related transactions in order to carry on the business of ALX Oncology Limited. After Inception, ALX Oncology Limited became a wholly-owned subsidiary of the Company as a result of the internal reorganization. As part of the internal reorganization, all of the equity, option and warrant holders of ALX Oncology Limited became equity, option and warrant holders of the Company, holding the same number of corresponding shares, options and/or warrants in the Company as they did in ALX Oncology Limited immediately prior to the internal reorganization. The information included herein is presented as that of ALX Oncology Holdings Inc. unless such information refers to a date prior to April 1, 2020, in which case it will reflect that of ALX Oncology Limited, the predecessor company. The Company is a clinical-stage immuno-oncology company focused on helping patients fight cancer by developing therapies that block the CD47 checkpoint pathway and bridge the innate and adaptive immune system.</w:t>
      </w:r>
    </w:p>
    <w:p>
      <w:pPr>
        <w:spacing w:after="0" w:line="181"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The Company owns subsidiaries, consisting of ALX Oncology Limited, incorporated in Ireland; ALX Oncology Inc., incorporated in the United States, and Alexo International Holdings Ltd, incorporated in Malta; Alexo Therapeutics International, incorporated in the Cayman Islands, which is a wholly-owned subsidiary of Alexo International Holdings Ltd. and Sirpant Therapeutics, incorporated in the Cayman Islands, which is a wholly-owned subsidiary of Alexo Therapeutics International, or collectively, the Subsidiaries.</w:t>
      </w:r>
    </w:p>
    <w:p>
      <w:pPr>
        <w:spacing w:after="0" w:line="187"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As of September 30, 2020, the Company has devoted substantially all of its efforts to the formation and financing of the Company, as well as product development, and has not realized product revenues from its planned principal operations. The Company has no manufacturing facilities and all manufacturing related activities are contracted out to third-party service providers.</w:t>
      </w:r>
    </w:p>
    <w:p>
      <w:pPr>
        <w:spacing w:after="0" w:line="184"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In July 2020, the Company consummated its initial public offering and issued 9,775,000 shares of common stock for net proceeds of approximately $169.5 million, after deducting underwriting discounts and commissions of $13.0 million and offering-related expenses of $3.2 million. Upon the closing of the initial public offering, all shares of convertible preferred stock outstanding and accrued cumulative dividends were automatically converted into 23,934,533 shares of common stock.</w:t>
      </w:r>
    </w:p>
    <w:p>
      <w:pPr>
        <w:spacing w:after="0" w:line="18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On July 21, 2020, the Company’s amended and restated certificate of incorporation became effective, authorizing 1,000,000,000 shares of common stock and 100,000,000 shares of undesignated preferred stock.</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As of September 30, 2020, the Company had cash and cash equivalents of $259.5 million, which will be sufficient to fund its planned operations for a period of at least twelve months following the issuance of these condensed consolidated financial statements.</w:t>
      </w:r>
    </w:p>
    <w:p>
      <w:pPr>
        <w:spacing w:after="0" w:line="170"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Management expects to incur additional losses in the future to conduct product candidate research and development and to conduct pre-commercialization activities and recognizes the need to raise additional capital to fully implement its business plan. The Company intends to raise such capital through the sale of additional equity, debt financings 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w:t>
      </w:r>
    </w:p>
    <w:p>
      <w:pPr>
        <w:spacing w:after="0" w:line="336" w:lineRule="exact"/>
        <w:rPr>
          <w:sz w:val="20"/>
          <w:szCs w:val="20"/>
          <w:color w:val="auto"/>
        </w:rPr>
      </w:pPr>
    </w:p>
    <w:p>
      <w:pPr>
        <w:ind w:left="520" w:right="7560" w:hanging="512"/>
        <w:spacing w:after="0" w:line="378" w:lineRule="auto"/>
        <w:tabs>
          <w:tab w:leader="none" w:pos="26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Basis of Preparation</w:t>
      </w:r>
    </w:p>
    <w:p>
      <w:pPr>
        <w:ind w:right="40" w:firstLine="510"/>
        <w:spacing w:after="0" w:line="342" w:lineRule="auto"/>
        <w:rPr>
          <w:sz w:val="20"/>
          <w:szCs w:val="20"/>
          <w:color w:val="auto"/>
        </w:rPr>
      </w:pPr>
      <w:r>
        <w:rPr>
          <w:rFonts w:ascii="Arial" w:cs="Arial" w:eastAsia="Arial" w:hAnsi="Arial"/>
          <w:sz w:val="16"/>
          <w:szCs w:val="16"/>
          <w:color w:val="auto"/>
        </w:rPr>
        <w:t>These condensed consolidated financial statements have been prepared in accordance with accounting principles generally accepted in the United States of America, or U.S. GAAP, and the applicable rules and regulations of the U.S. Securities and Exchange Commission, or SEC, for interim reporting.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Unaudited Condensed Consolidated Financial Statements</w:t>
      </w:r>
    </w:p>
    <w:p>
      <w:pPr>
        <w:spacing w:after="0" w:line="117" w:lineRule="exact"/>
        <w:rPr>
          <w:sz w:val="20"/>
          <w:szCs w:val="20"/>
          <w:color w:val="auto"/>
        </w:rPr>
      </w:pPr>
    </w:p>
    <w:p>
      <w:pPr>
        <w:ind w:right="100" w:firstLine="510"/>
        <w:spacing w:after="0" w:line="287" w:lineRule="auto"/>
        <w:rPr>
          <w:sz w:val="20"/>
          <w:szCs w:val="20"/>
          <w:color w:val="auto"/>
        </w:rPr>
      </w:pPr>
      <w:r>
        <w:rPr>
          <w:rFonts w:ascii="Arial" w:cs="Arial" w:eastAsia="Arial" w:hAnsi="Arial"/>
          <w:sz w:val="16"/>
          <w:szCs w:val="16"/>
          <w:color w:val="auto"/>
        </w:rPr>
        <w:t>The condensed consolidated balance sheet as of September 30, 2020, the condensed consolidated statements of operations and comprehensive loss for the three and nine months ended September 30, 2020 and 2019, the condensed consolidated statements of convertible preferred stock and stockholders' equity (deficit) for the three and nine months ended September 30, 2020 and 2019, and the condensed consolidated statements of cash flows for the nine months ended September 30, 2020 and 2019, are unaudited. These unaudited condensed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September 30, 2020, and its results of operations for the periods presented. The results of operations for the three and nine months ended September 30, 2020, are not necessarily indicative of the results to be expected for any subsequent periods, including the year ended December 31, 2020, and therefore should not be relied upon as an indicator of future results. The condensed consolidated balance sheet as of December 31, 2019 included herein was derived from the audited consolidated financial statements as of that date. The accompanying condensed consolidated financial statements and related notes should be read in conjunction with the audited consolidated financial statements for the year ended December 31, 2019 and the notes thereto, which are included in the Company’s final prospectus for the Company’s initial public offering filed pursuant to Rule 424(b)(4) under the Securities Act of 1933, as amended, with the SEC on July 17, 2020.</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On July 8, 2020, the Company’s board of directors approved an amendment to the Company’s certificate of incorporation to effect a 1-for-6.5806 reverse split of its common stock and convertible preferred stock. The par values of the common and convertible preferred stock were not adjusted as a result of the reverse stock split. All authorized, issued and outstanding common stock, convertible preferred stock, stock options, warrants, and related per share amounts contained in the condensed consolidated financial statements have been retroactively adjusted to reflect this reverse stock split for all periods presented. The reverse stock split was effected on July 9, 2020.</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80" w:firstLine="510"/>
        <w:spacing w:after="0" w:line="291" w:lineRule="auto"/>
        <w:rPr>
          <w:sz w:val="20"/>
          <w:szCs w:val="20"/>
          <w:color w:val="auto"/>
        </w:rPr>
      </w:pPr>
      <w:r>
        <w:rPr>
          <w:rFonts w:ascii="Arial" w:cs="Arial" w:eastAsia="Arial" w:hAnsi="Arial"/>
          <w:sz w:val="16"/>
          <w:szCs w:val="16"/>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On an ongoing basis, management evaluates its estimates, including those related to the estimated useful lives of long-lived assets, clinical trial accruals, fair value of assets and liabilities, Series B convertible preferred stock warrant liability, term loan compound derivative liability, term loan, valuation of the Company’s common stock, income taxes and stock-based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The Company holds its cash and cash equivalents in checking and money market accounts. The Company considers all highly liquid investments with original maturities of three months or less from the date of purchase to be cash equivalents. Cash equivalents consist primarily of amounts invested in money market accounts and are stated at fair value.</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ind w:right="460" w:firstLine="510"/>
        <w:spacing w:after="0" w:line="259"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primarily of cash and cash equivalents. The Company maintains deposits in federally insured financial institutions in excess of federally insured limits, and invests in money market funds. The Company is exposed to credit risk in the event of default by the financial institutions holding its cash and cash equivalents. The Company has not experienced any losses on its deposits of cash and cash equivalents.</w:t>
      </w:r>
    </w:p>
    <w:p>
      <w:pPr>
        <w:spacing w:after="0" w:line="18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ind w:firstLine="510"/>
        <w:spacing w:after="0" w:line="259" w:lineRule="auto"/>
        <w:rPr>
          <w:sz w:val="20"/>
          <w:szCs w:val="20"/>
          <w:color w:val="auto"/>
        </w:rPr>
      </w:pPr>
      <w:r>
        <w:rPr>
          <w:rFonts w:ascii="Arial" w:cs="Arial" w:eastAsia="Arial" w:hAnsi="Arial"/>
          <w:sz w:val="18"/>
          <w:szCs w:val="18"/>
          <w:color w:val="auto"/>
        </w:rPr>
        <w:t>The Company’s product candidates require approvals from the U.S. Food and Drug Administration, or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Property and equipment are stated at cost less accumulated depreciation. Depreciation of property and equipment is provided using the straight-line method over the estimated useful lives of the assets. Upon sale or retirement of assets, the cost and related accumulated depreciation or amortization are removed from the condensed consolidated balance sheet and the resulting gain or loss is reflected in the condensed consolidated statement of operations and comprehensive loss. Maintenance and repairs are charged to the condensed consolidated statement of operations and comprehensive loss as incurred.</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500" w:firstLine="510"/>
        <w:spacing w:after="0" w:line="286"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 (deficit) as a reduction of additional paid-in capital generated as a result of the equity financing.</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Company reviews property and equipment for impairment whenever events or changes in circumstances indicate that the carrying amount of an asset may not be recoverable. Recoverability is measured by comparison of the carrying amount to the future undiscounted net cash flows which the asset or asset group are expected to generate. If such assets are considered to be impaired, the impairment to be recognized is measured as the amount by which the carrying amount of the assets exceeds its fair value. Fair value is determined using various valuation techniques including discounted cash flow models, quoted market values and third-party independent appraisals, as considered necessary. There were no impairment charges recognized in the three and nine months ended September 30, 2020 and 2019.</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20" w:firstLine="510"/>
        <w:spacing w:after="0" w:line="296" w:lineRule="auto"/>
        <w:rPr>
          <w:sz w:val="20"/>
          <w:szCs w:val="20"/>
          <w:color w:val="auto"/>
        </w:rPr>
      </w:pPr>
      <w:r>
        <w:rPr>
          <w:rFonts w:ascii="Arial" w:cs="Arial" w:eastAsia="Arial" w:hAnsi="Arial"/>
          <w:sz w:val="16"/>
          <w:szCs w:val="16"/>
          <w:color w:val="auto"/>
        </w:rPr>
        <w:t>The Company applies fair value accounting for all financial assets and liabilities and nonfinancial assets and liabilities that are required to be recognized or disclosed at fair value in the condensed consolidated financial statements. The Company defines fair value as the price that would be received from selling an asset or paid to transfer a liability in an orderly transaction between market participants at the measurement date.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61"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The Company’s financial instruments consist of cash and cash equivalents, receivables due from related-party, accounts payable, the term loan compound derivative liability and the Series B convertible preferred stock warrant liability. The term loan compound derivative liability and the Series B convertible preferred stock warrant liability are re-measured at the end of every period and carried at fair value (Note 3). The recorded value of the Company’s receivables due from related-party and accounts payable approximates its current fair value due to the relatively short-term nature of these items.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Term Loan</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 xml:space="preserve">The Company accounts for the Loan and Security Agreement, dated as of December 20, 2019, as amended, with Silicon Valley Bank, or SVB, and WestRiver Innovation Lending Fund VIII, LP, or WestRiver, collectively as lenders, and SVB, as administrative agent and collateral agent, as a liability measured at net proceeds less debt discount and is accreted to the face value of the term loan over its expected term using the effective interest method. The Company considers whether there are any embedded features in its debt instruments that require bifurcation and separate accounting as derivative financial instruments pursuant to Accounting Standards Codification, or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Company records convertible preferred stock net of issuance costs on the dates of issuance, which represents the carrying value. In the event of a change of control of the Company, proceeds will be distributed in accordance with the liquidation preferences set forth in its organization documents unless the holders of convertible preferred stock have converted their convertible preferred stock into common stock. Convertible preferred stock are classified outside of stockholders’ equity (deficit) on the accompanying condensed consolidated balance sheets as events triggering the liquidation preferences are not solely within the Company’s control. The Company has elected not to adjust the carrying values of the convertible preferred stock to the liquidation preferences of such shares because of the uncertainty of whether or when such an event would occur. Upon the consummation of the Company’s initial public offering in July 2020, all shares of convertible preferred stock outstanding and accrued cumulative dividends automatically converted into 23,934,533 shares of common stock.</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Series B Convertible Preferred Stock Warrant Liability</w:t>
      </w:r>
    </w:p>
    <w:p>
      <w:pPr>
        <w:spacing w:after="0" w:line="11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The Company has issued freestanding warrants to purchase its Series B convertible preferred stock. Freestanding warrants for the Company’s convertible preferred stock that are classified outside of permanent equity are recorded at fair value, and are subject to re-measurement at the end of every period until the earlier of the exercise of the warrants or the completion of a liquidation event, including the completion of an initial public offering. Upon exercise, the Series B convertible preferred stock warrant liability would be reclassified to additional paid-in capital, with any change in fair value recognized as a component of other expense, net. Following the Company’s initial public offering, the warrants were automatically converted to warrants to purchase shares of common stock (Note 5). The Company revalued the Series B convertible preferred stock warrants as of the completion of the initial public offering and reclassified the outstanding preferred stock warrant liability balance to additional paid-in capital with no further re-measurement required as common stock warrants are considered permanent equity.</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To date, the Company has derived revenue from providing research and development services on a time and materials basis to a related-party.</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recognizes such revenues over time as services are delivered, and invoices the customer as the work is incurred in arrears.</w:t>
      </w:r>
    </w:p>
    <w:p>
      <w:pPr>
        <w:spacing w:after="0" w:line="237" w:lineRule="exact"/>
        <w:rPr>
          <w:sz w:val="20"/>
          <w:szCs w:val="20"/>
          <w:color w:val="auto"/>
        </w:rPr>
      </w:pPr>
    </w:p>
    <w:p>
      <w:pPr>
        <w:jc w:val="both"/>
        <w:ind w:right="400" w:firstLine="510"/>
        <w:spacing w:after="0" w:line="277" w:lineRule="auto"/>
        <w:rPr>
          <w:sz w:val="20"/>
          <w:szCs w:val="20"/>
          <w:color w:val="auto"/>
        </w:rPr>
      </w:pPr>
      <w:r>
        <w:rPr>
          <w:rFonts w:ascii="Arial" w:cs="Arial" w:eastAsia="Arial" w:hAnsi="Arial"/>
          <w:sz w:val="18"/>
          <w:szCs w:val="18"/>
          <w:color w:val="auto"/>
        </w:rPr>
        <w:t>The Company recognizes revenue when its customer obtains control of promised goods or services, in an amount that reflects the consideration which the Company expects to receive in exchange for those goods or services.</w:t>
      </w:r>
    </w:p>
    <w:p>
      <w:pPr>
        <w:spacing w:after="0" w:line="170" w:lineRule="exact"/>
        <w:rPr>
          <w:sz w:val="20"/>
          <w:szCs w:val="20"/>
          <w:color w:val="auto"/>
        </w:rPr>
      </w:pPr>
    </w:p>
    <w:p>
      <w:pPr>
        <w:jc w:val="both"/>
        <w:ind w:right="380" w:firstLine="510"/>
        <w:spacing w:after="0" w:line="259" w:lineRule="auto"/>
        <w:rPr>
          <w:sz w:val="20"/>
          <w:szCs w:val="20"/>
          <w:color w:val="auto"/>
        </w:rPr>
      </w:pPr>
      <w:r>
        <w:rPr>
          <w:rFonts w:ascii="Arial" w:cs="Arial" w:eastAsia="Arial" w:hAnsi="Arial"/>
          <w:sz w:val="18"/>
          <w:szCs w:val="18"/>
          <w:color w:val="auto"/>
        </w:rPr>
        <w:t>To determine revenue recognition for arrangements that the Company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87"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As part of the Company’s consideration as to whether the Company has entered into a contract with a customer, it considers whether it is probable that it will collect the consideration it is entitled to in exchange for the goods and services it transfers to the customer. At contract inception, the Company assesses the goods or services promised within each contract that falls under the scope of Topic 606,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Services for Related-Party Revenue</w:t>
      </w:r>
    </w:p>
    <w:p>
      <w:pPr>
        <w:spacing w:after="0" w:line="117"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The Company incurs costs associated with related-party services including direct labor and associated employee benefits, laboratory supplies, and other expenses. These costs are recorded in cost of services for related-party revenue as a component of total operating expenses in the accompanying condensed consolidated statements of operations and comprehensive loss.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Research and development costs are expensed as incurred and consist primarily of salaries and benefits, stock-based compensation expense, lab supplies and facility costs, as well as fees paid to nonemployees and entities that conduct certain research and development activities on behalf of the Company and expenses incurred in connection with license agreements (Note 8). Nonrefundable advance payments for goods or services to be received in the future for use in research and development activities are capitalized and recorded in prepaid expenses and other current assets, and then expensed as the related goods are delivered or the services are performed.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b w:val="1"/>
          <w:bCs w:val="1"/>
          <w:i w:val="1"/>
          <w:iCs w:val="1"/>
          <w:color w:val="auto"/>
        </w:rPr>
        <w:t>Clinical and Manufacturing Accruals</w:t>
      </w:r>
    </w:p>
    <w:p>
      <w:pPr>
        <w:spacing w:after="0" w:line="117"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The Company records accruals for estimated costs of research, preclinical studies and clinical trials, and manufacturing development, which are a significant component of research and development expenses. A substantial portion of the Company’s ongoing research and development activities are conducted by third-party service providers, including contract research organizations, or CROs, and contract manufacturing organizations, or CMOs. The Company’s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of the services and the agreed-upon fees to be paid for such services.</w:t>
      </w:r>
    </w:p>
    <w:p>
      <w:pPr>
        <w:spacing w:after="0" w:line="166" w:lineRule="exact"/>
        <w:rPr>
          <w:sz w:val="20"/>
          <w:szCs w:val="20"/>
          <w:color w:val="auto"/>
        </w:rPr>
      </w:pPr>
    </w:p>
    <w:p>
      <w:pPr>
        <w:ind w:right="140" w:firstLine="510"/>
        <w:spacing w:after="0" w:line="289" w:lineRule="auto"/>
        <w:rPr>
          <w:sz w:val="20"/>
          <w:szCs w:val="20"/>
          <w:color w:val="auto"/>
        </w:rPr>
      </w:pPr>
      <w:r>
        <w:rPr>
          <w:rFonts w:ascii="Arial" w:cs="Arial" w:eastAsia="Arial" w:hAnsi="Arial"/>
          <w:sz w:val="16"/>
          <w:szCs w:val="16"/>
          <w:color w:val="auto"/>
        </w:rPr>
        <w:t>The Company makes significant judgments and estimates in determining the accrual balance at the end of each reporting period. As actual costs become known, the Company adjusts its accruals. Although the Company does not expect its estimates to be materially different from amounts actually incurred, the Company’s understanding of the status and timing of services performed relative to the actual status and timing of services performed may vary and could result in the Company reporting amounts that are too high or too low in any particular period. To assist in its estimates the Company relies upon the receipt of timely and accurate reporting from its clinical and non-clinical studies and other third-party vendors. Through September 30, 2020, there have been no material differences from the Company’s accrued estimated expenses to the actual clinical trial expenses. However, variations in the assumptions used to estimate accruals, including, but not limited to, the number of patients enrolled, the rate of patient enrollment, and the actual services performed, and related costs may vary from the Company’s estimates, resulting in adjustments to clinical trial expense in future periods. Changes in these estimates that result in material changes to the Company’s accruals could materially affect its financial position and results of operations.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Company accounts for stock-based compensation by measuring and recognizing compensation expense for all stock-based payments made to employees, directors and non-employees based on estimated grant-date fair values. The Company uses the straight-line method to allocate compensation expense to reporting periods over each optionee’s requisite service period, which is generally the vesting period, and estimates the fair value of stock-based awards to employees and directors using the Black-Scholes option-pricing model. The Black-Scholes model requires the input of subjective assumptions, including expected volatility, expected dividend yield, expected term, risk-free rate of return and the estimated fair value of the underlying common stock on the date of grant. The Company accounts for the effect of forfeitures as they occur.</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manages its operations as a single operating segment for the purposes of assessing performance and making operating decisions.</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The functional currency of the Company’s operation and each of its subsidiaries is U.S. dollars. All assets and liabilities denominated in a foreign currency are translated into U.S. dollars at the exchange rate prevailing on the balance sheet date. Expenses are translated at the average exchange rates prevailing during the applicable period. Foreign currency transaction gains and losses are included in the consolidated statement of operations and comprehensive loss and recorded in other expense, net, and were immaterial for the three and nine months ended September 30, 2020 and 2019, respectively.</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Company accounts for income taxes under the asset and liability method, which requires the recognition of deferred tax assets and liabilities for the expected future tax consequences of events that have been included in the condensed consolidated financial statements. Under this method, deferred tax assets and liabilities are determined on the basis of the differences between the condensed consolidated financial statement carrying amounts and tax bases of assets and liabilities using enacted tax rates in effect for the period in which the temporary differences are expected to reverse. The effect of a change in tax rates on deferred tax assets and liabilities is recognized in the condensed consolidated statements of operations and comprehensive loss in the period that includes the enactment date. The Company recognizes deferred tax assets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 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Comprehensive loss is equal to net loss for all periods presented.</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Basic net loss per share is calculated by dividing the net loss attributable to common stockholders by the weighted-average number of shares of common stock outstanding during the period, without consideration for common stock equivalents. Diluted net loss per share is the same as basic net loss per share, since the effects of potentially dilutive securities are antidilutive given the net loss for each period presented.</w:t>
      </w:r>
    </w:p>
    <w:p>
      <w:pPr>
        <w:spacing w:after="0" w:line="165"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The Company applies the two-class method to compute basic and diluted net loss per share when it has issued shares that meet the definition of participating securities. The two-class method determines net loss per share for each class of common stock and participating securities according to dividends declared or accumulated and participation rights in undistributed earnings. The two-class method requires net loss available to common stockholders for the period to be allocated between common and participating securities based upon their respective rights to share in the earnings as if all net loss for the period had been distributed. The Company’s convertible preferred stock participate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 xml:space="preserve">In February 2016, the FASB issued ASU No. 2016-02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June 2020, the FASB issued ASU No. 2020-05, which extends the effective date of ASU No. 2016-02 for non-public business entities, including smaller reporting companies, to fiscal years beginning after December 15, 2021. The new standard is effective for the Company beginning January 1, 2022 (or earlier if the Company ceases to be an emerging growth company). Early adoption is permitted. The Company is currently evaluating the effects of the adoption of this guidance on its condensed consolidated financial statements and related disclosures.</w:t>
      </w:r>
    </w:p>
    <w:p>
      <w:pPr>
        <w:spacing w:after="0" w:line="17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the Company beginning January 1, 2022. Early adoption is permitted. The Company is currently in the process of evaluating the effects of the adoption of this guidance on the Company’s financial statements and does not expect it to have a material impact on its condensed consolidated financial statements.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New Accounting Pronouncements Recently Adopted</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In June 2016, the FASB issued ASU No. 2016-13, Financial Instruments-Credit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The Company early adopted this guidance on January 1, 2020. The adoption of this guidance did not have a material impact on the Company’s condensed consolidated financial statements.</w:t>
      </w:r>
    </w:p>
    <w:p>
      <w:pPr>
        <w:spacing w:after="0" w:line="188"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In September 2018, the FASB issued ASU No. 2018-13, Fair Value Measurement (Topic 820): Disclosure Framework—Changes to the Disclosure Requirements for Fair Value Measurement. The FASB issued final guidance that eliminates, adds and modifies certain disclosure requirements for fair value measurements as part of its disclosure framework project. Under the ASU, entities will no longer be required to disclose the amount of transfers between Level 1 and Level 2 of the fair value hierarchy. Public companies will be required to disclose changes in unrealized gains and losses for the period included in other comprehensive income for recurring Level 3 fair value measurements held at the end of the reporting period and the range and weighted average used to develop significant unobservable inputs for Level 3 fair value measurements. ASU 2018-13 is effective for public business entities for annual reporting periods, and interim periods within those annual periods, beginning after December 15, 2019, with early adoption permitted. The Company adopted this guidance on January 1, 2020. The adoption of ASU 2018-13 did not have a material impact on its condensed consolidated financial statements.</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2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fair value of the Company’s financial assets and liabilities are determined in accordance with the fair value hierarchy established in ASC Topic 820, Fair Value Measurements and Disclosures.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Topic 820 requires an entity to maximize the use of observable inputs when measuring fair value and classifies those inputs into three levels: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1—Observable inputs, such as quoted prices in active markets</w:t>
      </w:r>
    </w:p>
    <w:p>
      <w:pPr>
        <w:spacing w:after="0" w:line="117" w:lineRule="exact"/>
        <w:rPr>
          <w:sz w:val="20"/>
          <w:szCs w:val="20"/>
          <w:color w:val="auto"/>
        </w:rPr>
      </w:pPr>
    </w:p>
    <w:p>
      <w:pPr>
        <w:ind w:left="520" w:right="80"/>
        <w:spacing w:after="0" w:line="263" w:lineRule="auto"/>
        <w:rPr>
          <w:sz w:val="20"/>
          <w:szCs w:val="20"/>
          <w:color w:val="auto"/>
        </w:rPr>
      </w:pPr>
      <w:r>
        <w:rPr>
          <w:rFonts w:ascii="Arial" w:cs="Arial" w:eastAsia="Arial" w:hAnsi="Arial"/>
          <w:sz w:val="18"/>
          <w:szCs w:val="18"/>
          <w:color w:val="auto"/>
        </w:rPr>
        <w:t>Level 2—Inputs, other than the quoted prices in active markets, which are observable either directly or indirectly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3—Unobservable inputs in which there is little or no market data, which require the reporting entity to develop its own assumptions</w:t>
      </w:r>
    </w:p>
    <w:p>
      <w:pPr>
        <w:spacing w:after="0" w:line="237"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The Company’s financial instruments consist of cash and cash equivalents, receivables due from related-party, accounts payable, the term loan compound derivative liability and the Series B convertible preferred stock warrant liability.</w:t>
      </w:r>
    </w:p>
    <w:p>
      <w:pPr>
        <w:spacing w:after="0" w:line="170"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Cash and cash equivalents are reported at their respective fair values on the Company’s condensed consolidated balance sheets. Where quoted prices are available in an active market, securities are classified as Level 1. The Company classifies money market funds as Level 1. When quoted market prices are not available for the specific security, then the Company estimates fair value by using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reported trades and broker/dealer quotes. Where applicable the market approach utilizes prices and information from market transactions for similar or identical assets.</w:t>
      </w:r>
    </w:p>
    <w:p>
      <w:pPr>
        <w:spacing w:after="0" w:line="192"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The Company measures its Series B convertible preferred stock warrant liability and term loan compound derivative liability at fair value on a recurring basis and these are classified as Level 3 liabilities. The fair value of the Series B convertible preferred stock warrant liability was determined using an option-pricing model. The Company revalued the Series B convertible preferred stock warrants as of the completion of the initial public offering and reclassified the outstanding preferred stock warrant liability balance to additional paid-in capital with no further re-measurement required as the common stock warrants are considered permanent equity effective with the completion of the initial public offering. The Company calculated the fair value of the term loan compound derivative liability by computing the difference between the fair value of the term loan with the compound derivative using the “with and without” method under the income approach, and the fair value of the term loan without the compound derivative. The valuation methodology and underlying assumptions are discussed further in Note 5.</w:t>
      </w:r>
    </w:p>
    <w:p>
      <w:pPr>
        <w:spacing w:after="0" w:line="178"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following table sets forth the Company’s financial liabilities that are measured at fair value on a recurring basis by level within the fair value hierarchy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4"/>
          </w:tcPr>
          <w:p>
            <w:pPr>
              <w:ind w:left="360"/>
              <w:spacing w:after="0"/>
              <w:rPr>
                <w:sz w:val="20"/>
                <w:szCs w:val="20"/>
                <w:color w:val="auto"/>
              </w:rPr>
            </w:pPr>
            <w:r>
              <w:rPr>
                <w:rFonts w:ascii="Arial" w:cs="Arial" w:eastAsia="Arial" w:hAnsi="Arial"/>
                <w:sz w:val="14"/>
                <w:szCs w:val="14"/>
                <w:b w:val="1"/>
                <w:bCs w:val="1"/>
                <w:color w:val="auto"/>
                <w:w w:val="94"/>
              </w:rPr>
              <w:t>As of September 30, 2020</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5"/>
        </w:trPr>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r>
      <w:tr>
        <w:trPr>
          <w:trHeight w:val="156"/>
        </w:trPr>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780" w:type="dxa"/>
            <w:vAlign w:val="bottom"/>
            <w:tcBorders>
              <w:top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w w:val="92"/>
              </w:rPr>
              <w:t>Level 3</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68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5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40" w:type="dxa"/>
            <w:vAlign w:val="bottom"/>
            <w:gridSpan w:val="3"/>
          </w:tcPr>
          <w:p>
            <w:pPr>
              <w:spacing w:after="0" w:line="189" w:lineRule="exact"/>
              <w:rPr>
                <w:sz w:val="20"/>
                <w:szCs w:val="20"/>
                <w:color w:val="auto"/>
              </w:rPr>
            </w:pPr>
            <w:r>
              <w:rPr>
                <w:rFonts w:ascii="Arial" w:cs="Arial" w:eastAsia="Arial" w:hAnsi="Arial"/>
                <w:sz w:val="18"/>
                <w:szCs w:val="18"/>
                <w:color w:val="auto"/>
              </w:rPr>
              <w:t>Cash equivalents</w:t>
            </w: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90,114</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90,114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80" w:type="dxa"/>
            <w:vAlign w:val="bottom"/>
            <w:gridSpan w:val="4"/>
          </w:tcPr>
          <w:p>
            <w:pPr>
              <w:spacing w:after="0"/>
              <w:rPr>
                <w:sz w:val="20"/>
                <w:szCs w:val="20"/>
                <w:color w:val="auto"/>
              </w:rPr>
            </w:pPr>
            <w:r>
              <w:rPr>
                <w:rFonts w:ascii="Arial" w:cs="Arial" w:eastAsia="Arial" w:hAnsi="Arial"/>
                <w:sz w:val="18"/>
                <w:szCs w:val="18"/>
                <w:b w:val="1"/>
                <w:bCs w:val="1"/>
                <w:color w:val="auto"/>
              </w:rPr>
              <w:t>Financial liabilities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color w:val="auto"/>
                <w:w w:val="94"/>
              </w:rPr>
              <w:t>Non-current liabilities</w:t>
            </w:r>
          </w:p>
        </w:tc>
        <w:tc>
          <w:tcPr>
            <w:tcW w:w="184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Compound derivative liability</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12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33"/>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4"/>
          </w:tcPr>
          <w:p>
            <w:pPr>
              <w:ind w:left="380"/>
              <w:spacing w:after="0"/>
              <w:rPr>
                <w:sz w:val="20"/>
                <w:szCs w:val="20"/>
                <w:color w:val="auto"/>
              </w:rPr>
            </w:pPr>
            <w:r>
              <w:rPr>
                <w:rFonts w:ascii="Arial" w:cs="Arial" w:eastAsia="Arial" w:hAnsi="Arial"/>
                <w:sz w:val="14"/>
                <w:szCs w:val="14"/>
                <w:b w:val="1"/>
                <w:bCs w:val="1"/>
                <w:color w:val="auto"/>
                <w:w w:val="95"/>
              </w:rPr>
              <w:t>As of December 31, 2019</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
        </w:trPr>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r>
      <w:tr>
        <w:trPr>
          <w:trHeight w:val="155"/>
        </w:trPr>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780" w:type="dxa"/>
            <w:vAlign w:val="bottom"/>
            <w:tcBorders>
              <w:top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w w:val="92"/>
              </w:rPr>
              <w:t>Level 3</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68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15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40" w:type="dxa"/>
            <w:vAlign w:val="bottom"/>
            <w:gridSpan w:val="3"/>
          </w:tcPr>
          <w:p>
            <w:pPr>
              <w:spacing w:after="0" w:line="189" w:lineRule="exact"/>
              <w:rPr>
                <w:sz w:val="20"/>
                <w:szCs w:val="20"/>
                <w:color w:val="auto"/>
              </w:rPr>
            </w:pPr>
            <w:r>
              <w:rPr>
                <w:rFonts w:ascii="Arial" w:cs="Arial" w:eastAsia="Arial" w:hAnsi="Arial"/>
                <w:sz w:val="18"/>
                <w:szCs w:val="18"/>
                <w:color w:val="auto"/>
              </w:rPr>
              <w:t>Non-current liabilities</w:t>
            </w: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Compound derivative liability</w:t>
            </w:r>
          </w:p>
        </w:tc>
        <w:tc>
          <w:tcPr>
            <w:tcW w:w="1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Warrant liability</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12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361</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661"/>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15" w:name="page16"/>
    <w:bookmarkEnd w:id="15"/>
    <w:p>
      <w:pPr>
        <w:ind w:left="520"/>
        <w:spacing w:after="0"/>
        <w:rPr>
          <w:sz w:val="20"/>
          <w:szCs w:val="20"/>
          <w:color w:val="auto"/>
        </w:rPr>
      </w:pPr>
      <w:r>
        <w:rPr>
          <w:rFonts w:ascii="Arial" w:cs="Arial" w:eastAsia="Arial" w:hAnsi="Arial"/>
          <w:sz w:val="17"/>
          <w:szCs w:val="17"/>
          <w:color w:val="auto"/>
        </w:rPr>
        <w:t>The following table is a reconciliation of all financial liabilities measured at fair value using Level 3 unobservable inputs (in thousands):</w:t>
      </w:r>
    </w:p>
    <w:p>
      <w:pPr>
        <w:spacing w:after="0" w:line="32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Compound</w:t>
            </w:r>
          </w:p>
        </w:tc>
      </w:tr>
      <w:tr>
        <w:trPr>
          <w:trHeight w:val="162"/>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Warrant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r>
      <w:tr>
        <w:trPr>
          <w:trHeight w:val="171"/>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Liability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Liability</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December 31, 2019</w:t>
            </w: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Change in fair value</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to equity</w:t>
            </w: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(1,019)</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Fair value at September 30, 2020</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did not have any outstanding financial assets or liabilities to be re-measured on a recurring basis as of September 30, 2019.</w:t>
      </w:r>
    </w:p>
    <w:p>
      <w:pPr>
        <w:spacing w:after="0" w:line="29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There were no transfers of assets or liabilities between the fair value measurement levels during the nine months ended September 30, 2020 and the year ended December 31, 2019.</w:t>
      </w:r>
    </w:p>
    <w:p>
      <w:pPr>
        <w:spacing w:after="0" w:line="224" w:lineRule="exact"/>
        <w:rPr>
          <w:sz w:val="20"/>
          <w:szCs w:val="20"/>
          <w:color w:val="auto"/>
        </w:rPr>
      </w:pPr>
    </w:p>
    <w:p>
      <w:pPr>
        <w:ind w:right="780" w:firstLine="510"/>
        <w:spacing w:after="0" w:line="277" w:lineRule="auto"/>
        <w:rPr>
          <w:sz w:val="20"/>
          <w:szCs w:val="20"/>
          <w:color w:val="auto"/>
        </w:rPr>
      </w:pPr>
      <w:r>
        <w:rPr>
          <w:rFonts w:ascii="Arial" w:cs="Arial" w:eastAsia="Arial" w:hAnsi="Arial"/>
          <w:sz w:val="18"/>
          <w:szCs w:val="18"/>
          <w:color w:val="auto"/>
        </w:rPr>
        <w:t>The carrying values of the Company’s financial instruments, such as accounts payable and accrued expenses and other current liabilities, approximate fair value due to the short-term nature of these items.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Term Loan</w:t>
      </w:r>
    </w:p>
    <w:p>
      <w:pPr>
        <w:spacing w:after="0" w:line="117" w:lineRule="exact"/>
        <w:rPr>
          <w:sz w:val="20"/>
          <w:szCs w:val="20"/>
          <w:color w:val="auto"/>
        </w:rPr>
      </w:pPr>
    </w:p>
    <w:p>
      <w:pPr>
        <w:jc w:val="both"/>
        <w:ind w:right="160" w:firstLine="510"/>
        <w:spacing w:after="0" w:line="286" w:lineRule="auto"/>
        <w:rPr>
          <w:sz w:val="20"/>
          <w:szCs w:val="20"/>
          <w:color w:val="auto"/>
        </w:rPr>
      </w:pPr>
      <w:r>
        <w:rPr>
          <w:rFonts w:ascii="Arial" w:cs="Arial" w:eastAsia="Arial" w:hAnsi="Arial"/>
          <w:sz w:val="17"/>
          <w:szCs w:val="17"/>
          <w:color w:val="auto"/>
        </w:rPr>
        <w:t>The estimated fair value of the Term Loan was $6.1 million as of September 30, 2020, which approximates the carrying value and is classified as Level 3. The Company utilized a market yield analysis and income approach to estimate a value for the Term Loan. The key valuation assumptions used consist of the discount rate of 12.0% and the probability of the occurrence of a change in control event of 20.0%.</w:t>
      </w:r>
    </w:p>
    <w:p>
      <w:pPr>
        <w:spacing w:after="0" w:line="269" w:lineRule="exact"/>
        <w:rPr>
          <w:sz w:val="20"/>
          <w:szCs w:val="20"/>
          <w:color w:val="auto"/>
        </w:rPr>
      </w:pPr>
    </w:p>
    <w:p>
      <w:pPr>
        <w:ind w:left="520" w:right="8020" w:hanging="512"/>
        <w:spacing w:after="0" w:line="400" w:lineRule="auto"/>
        <w:tabs>
          <w:tab w:leader="none" w:pos="265"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BALANCE SHEET COMPONENTS </w:t>
      </w:r>
      <w:r>
        <w:rPr>
          <w:rFonts w:ascii="Arial" w:cs="Arial" w:eastAsia="Arial" w:hAnsi="Arial"/>
          <w:sz w:val="17"/>
          <w:szCs w:val="17"/>
          <w:b w:val="1"/>
          <w:bCs w:val="1"/>
          <w:i w:val="1"/>
          <w:iCs w:val="1"/>
          <w:color w:val="auto"/>
        </w:rPr>
        <w:t>Property and Equipment, Net</w:t>
      </w:r>
    </w:p>
    <w:p>
      <w:pPr>
        <w:ind w:left="520"/>
        <w:spacing w:after="0"/>
        <w:rPr>
          <w:rFonts w:ascii="Arial" w:cs="Arial" w:eastAsia="Arial" w:hAnsi="Arial"/>
          <w:sz w:val="17"/>
          <w:szCs w:val="17"/>
          <w:b w:val="1"/>
          <w:bCs w:val="1"/>
          <w:color w:val="auto"/>
        </w:rPr>
      </w:pPr>
      <w:r>
        <w:rPr>
          <w:rFonts w:ascii="Arial" w:cs="Arial" w:eastAsia="Arial" w:hAnsi="Arial"/>
          <w:sz w:val="16"/>
          <w:szCs w:val="16"/>
          <w:color w:val="auto"/>
        </w:rPr>
        <w:t>The following table presents the components of property and equipment, net as of September 30, 2020 and December 31, 2019 (in thousands):</w:t>
      </w:r>
    </w:p>
    <w:p>
      <w:pPr>
        <w:spacing w:after="0" w:line="271"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3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980" w:type="dxa"/>
            <w:vAlign w:val="bottom"/>
            <w:tcBorders>
              <w:bottom w:val="single" w:sz="8" w:color="CFF0FC"/>
            </w:tcBorders>
          </w:tcPr>
          <w:p>
            <w:pPr>
              <w:spacing w:after="0"/>
              <w:rPr>
                <w:sz w:val="20"/>
                <w:szCs w:val="20"/>
                <w:color w:val="auto"/>
              </w:rPr>
            </w:pPr>
          </w:p>
        </w:tc>
        <w:tc>
          <w:tcPr>
            <w:tcW w:w="4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FF0FC"/>
            </w:tcBorders>
          </w:tcPr>
          <w:p>
            <w:pPr>
              <w:spacing w:after="0"/>
              <w:rPr>
                <w:sz w:val="20"/>
                <w:szCs w:val="20"/>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Computer hardware and software</w:t>
            </w: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FF0FC"/>
          </w:tcPr>
          <w:p>
            <w:pPr>
              <w:spacing w:after="0"/>
              <w:rPr>
                <w:sz w:val="19"/>
                <w:szCs w:val="19"/>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1,698</w:t>
            </w:r>
          </w:p>
        </w:tc>
        <w:tc>
          <w:tcPr>
            <w:tcW w:w="8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19"/>
                <w:szCs w:val="19"/>
                <w:color w:val="auto"/>
              </w:rPr>
            </w:pPr>
          </w:p>
        </w:tc>
      </w:tr>
      <w:tr>
        <w:trPr>
          <w:trHeight w:val="230"/>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4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80" w:type="dxa"/>
            <w:vAlign w:val="bottom"/>
            <w:tcBorders>
              <w:bottom w:val="single" w:sz="8" w:color="CFF0FC"/>
            </w:tcBorders>
          </w:tcPr>
          <w:p>
            <w:pPr>
              <w:spacing w:after="0"/>
              <w:rPr>
                <w:sz w:val="19"/>
                <w:szCs w:val="19"/>
                <w:color w:val="auto"/>
              </w:rPr>
            </w:pPr>
          </w:p>
        </w:tc>
      </w:tr>
      <w:tr>
        <w:trPr>
          <w:trHeight w:val="223"/>
        </w:trPr>
        <w:tc>
          <w:tcPr>
            <w:tcW w:w="39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w:t>
            </w:r>
          </w:p>
        </w:tc>
        <w:tc>
          <w:tcPr>
            <w:tcW w:w="80" w:type="dxa"/>
            <w:vAlign w:val="bottom"/>
            <w:shd w:val="clear" w:color="auto" w:fill="CFF0FC"/>
          </w:tcPr>
          <w:p>
            <w:pPr>
              <w:spacing w:after="0"/>
              <w:rPr>
                <w:sz w:val="19"/>
                <w:szCs w:val="19"/>
                <w:color w:val="auto"/>
              </w:rPr>
            </w:pPr>
          </w:p>
        </w:tc>
      </w:tr>
      <w:tr>
        <w:trPr>
          <w:trHeight w:val="223"/>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4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80" w:type="dxa"/>
            <w:vAlign w:val="bottom"/>
            <w:tcBorders>
              <w:bottom w:val="single" w:sz="8" w:color="CFF0FC"/>
            </w:tcBorders>
          </w:tcPr>
          <w:p>
            <w:pPr>
              <w:spacing w:after="0"/>
              <w:rPr>
                <w:sz w:val="19"/>
                <w:szCs w:val="19"/>
                <w:color w:val="auto"/>
              </w:rPr>
            </w:pPr>
          </w:p>
        </w:tc>
      </w:tr>
      <w:tr>
        <w:trPr>
          <w:trHeight w:val="223"/>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4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Depreciation and amortization expense for the three months ended September 30, 2020 was nominal. Depreciation and amortization expense was $0.1 million for the three months ended September 30, 2019, and $0.2 million and $0.3 million for the nine months ended September 30, 2020 and 2019, respectively.</w:t>
      </w:r>
    </w:p>
    <w:p>
      <w:pPr>
        <w:spacing w:after="0" w:line="238"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At June 30, 2020, certain lab equipment and other assets for an aggregated net book value of $0.6 million relating to the asset transfer with Tallac Therapeutics, Inc. (formerly known as Tollnine, Inc., or Tollnine), or Tallac Therapeutics, a related party (Note 9), met the criteria as assets held for sale. Those assets were reported at the lower of carrying value or fair value less costs to sell. In July 2020, the Company received $0.6 million cash in exchange for the transfer of such assets.</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66" w:right="43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following table presents the components of accrued expenses and other current liabilities as of September 30, 2020 and December 31, 2019 (in thousands):</w:t>
      </w:r>
    </w:p>
    <w:p>
      <w:pPr>
        <w:spacing w:after="0" w:line="193" w:lineRule="exact"/>
        <w:rPr>
          <w:sz w:val="20"/>
          <w:szCs w:val="20"/>
          <w:color w:val="auto"/>
        </w:rPr>
      </w:pPr>
    </w:p>
    <w:tbl>
      <w:tblPr>
        <w:tblLayout w:type="fixed"/>
        <w:tblInd w:w="1700" w:type="dxa"/>
        <w:tblCellMar>
          <w:top w:w="0" w:type="dxa"/>
          <w:left w:w="0" w:type="dxa"/>
          <w:bottom w:w="0" w:type="dxa"/>
          <w:right w:w="0" w:type="dxa"/>
        </w:tblCellMar>
      </w:tblPr>
      <w:tr>
        <w:trPr>
          <w:trHeight w:val="229"/>
        </w:trPr>
        <w:tc>
          <w:tcPr>
            <w:tcW w:w="4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4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FF0FC"/>
            </w:tcBorders>
          </w:tcPr>
          <w:p>
            <w:pPr>
              <w:spacing w:after="0"/>
              <w:rPr>
                <w:sz w:val="20"/>
                <w:szCs w:val="20"/>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1,124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924</w:t>
            </w:r>
          </w:p>
        </w:tc>
        <w:tc>
          <w:tcPr>
            <w:tcW w:w="80" w:type="dxa"/>
            <w:vAlign w:val="bottom"/>
          </w:tcPr>
          <w:p>
            <w:pPr>
              <w:spacing w:after="0"/>
              <w:rPr>
                <w:sz w:val="19"/>
                <w:szCs w:val="19"/>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Accrued clinical and nonclinical study costs</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Accrued contract manufacturing</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FF0FC"/>
          </w:tcPr>
          <w:p>
            <w:pPr>
              <w:spacing w:after="0"/>
              <w:rPr>
                <w:sz w:val="19"/>
                <w:szCs w:val="19"/>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8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TERM LOAN</w:t>
      </w:r>
    </w:p>
    <w:p>
      <w:pPr>
        <w:spacing w:after="0" w:line="12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Company’s wholly-owned subsidiaries Alexo Therapeutics International and Sirpant Therapeutics, as borrowers, entered into a Loan and Security Agreement, or the Loan Agreement, dated as of December 20, 2019, with SVB and WestRiver, collectively as lenders, and SVB, as administrative agent and collateral agent.</w:t>
      </w:r>
    </w:p>
    <w:p>
      <w:pPr>
        <w:spacing w:after="0" w:line="18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As a result of the internal reorganization, in May 2020 the Company entered into a Joinder and First Amendment to the Loan and Security Agreement, or the Joinder Amendment, and Amended and Restated Warrants to Purchase Stock, or the Amended Warrants. The purpose for entering into the Joinder Amendment was to add the newly established ALX Oncology Holdings Inc. as additional borrower to the Term Loan. Concurrently, the Company modified the Amended Warrants to change the issuer from ALX Oncology Limited to ALX Oncology Holdings Inc. The Company accounted for the First Amendment to the Loan and Security Agreement as a modification.</w:t>
      </w:r>
    </w:p>
    <w:p>
      <w:pPr>
        <w:spacing w:after="0" w:line="18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Loan Agreement provides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the Company’s achievement of an equity financing resulting in net cash proceeds in an amount of at least $30.0 million to the Company. The Company elected not to draw down on the second tranche, which is no longer available.</w:t>
      </w:r>
    </w:p>
    <w:p>
      <w:pPr>
        <w:spacing w:after="0" w:line="188"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loans under the Loan Agreement bear interest at a floating per annum interest rate equal to the greater of 7.0% or 2.0% plus the prime rate as reported in The Wall Street Journal. The Wall Street Journal prime rate was 3.25% as of September 30, 2020. Therefore, the rate applicable to the Company as of September 30, 2020 was 7.0%.</w:t>
      </w:r>
    </w:p>
    <w:p>
      <w:pPr>
        <w:spacing w:after="0" w:line="184" w:lineRule="exact"/>
        <w:rPr>
          <w:sz w:val="20"/>
          <w:szCs w:val="20"/>
          <w:color w:val="auto"/>
        </w:rPr>
      </w:pPr>
    </w:p>
    <w:p>
      <w:pPr>
        <w:ind w:right="140" w:firstLine="510"/>
        <w:spacing w:after="0" w:line="296" w:lineRule="auto"/>
        <w:rPr>
          <w:sz w:val="20"/>
          <w:szCs w:val="20"/>
          <w:color w:val="auto"/>
        </w:rPr>
      </w:pPr>
      <w:r>
        <w:rPr>
          <w:rFonts w:ascii="Arial" w:cs="Arial" w:eastAsia="Arial" w:hAnsi="Arial"/>
          <w:sz w:val="16"/>
          <w:szCs w:val="16"/>
          <w:color w:val="auto"/>
        </w:rPr>
        <w:t>The Company is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the Company elects to prepay the term loans, there is also a prepayment fee of between 1.0% and 3.0% of the principal amount being prepaid depending on the timing and circumstances of prepayment.</w:t>
      </w:r>
    </w:p>
    <w:p>
      <w:pPr>
        <w:spacing w:after="0" w:line="16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conjunction with the Loan Agreement, the Company has issued warrants to purchase 61,292 Series B convertible preferred stock to SVB and WestRiver with an exercise price of $9.4972 per share. Following the Company’s initial public offering, these warrants were automatically converted to warrants to purchase 61,292 shares of common stock at an exercise price of $9.4972 per share. The estimated fair value of the warrants at the date of issuance was approximately $0.4 million. The Company revalued the Series B convertible preferred stock warrants as of the completion of the initial public offering and reclassified the outstanding preferred stock warrant liability balance of $1.0 million to additional paid-in capital with no further re-measurement required as the common stock warrants are considered permanent equity effective July 16, 2020. The fair value of the common stock warrant was determined using a Black-Scholes option-pricing model with the following assumptions: an expected term of 9.8 years, a volatility of 84.2%, a dividend rate of zero and a risk-free rate of 0.6%. The changes in fair value in warrant liability was recognized as a component of other expense, net in the accompanying condensed consolidated statement of operations and comprehensive loss. On August 17, 2020, SVB and WestRiver delivered the Notice of Exercise for net exercise of 61,292 warrants at an exercise price of $9.4972 per share. Accordingly, the Company issued 48,932 shares of the Company’s common stock (Note 6).</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7" w:name="page18"/>
    <w:bookmarkEnd w:id="17"/>
    <w:p>
      <w:pPr>
        <w:ind w:right="120" w:firstLine="510"/>
        <w:spacing w:after="0" w:line="277" w:lineRule="auto"/>
        <w:rPr>
          <w:sz w:val="20"/>
          <w:szCs w:val="20"/>
          <w:color w:val="auto"/>
        </w:rPr>
      </w:pPr>
      <w:r>
        <w:rPr>
          <w:rFonts w:ascii="Arial" w:cs="Arial" w:eastAsia="Arial" w:hAnsi="Arial"/>
          <w:sz w:val="18"/>
          <w:szCs w:val="18"/>
          <w:color w:val="auto"/>
        </w:rPr>
        <w:t>The loans under the Loan Agreement are secured by substantially all of the Company’s assets, except the Company’s intellectual property, which is the subject of a negative pledge.</w:t>
      </w:r>
    </w:p>
    <w:p>
      <w:pPr>
        <w:spacing w:after="0" w:line="170"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The Company recorded a term loan compound derivative liability of approximately $51,000 which will be marked-to-market in future periods. The Company calculated the fair value of the compound derivative by computing the difference between the fair value of the term loan with the compound derivative using the “with and without” method under the income approach, and the fair value of the term loan without the compound derivative. The Company calculated the fair values using a probability-weighted discounted cash flow analysis. The key valuation assumptions used consist of the discount rate and the probability of the occurrence of a change in control event. The term loan compound derivative liability is being re-measured at each financial reporting period with any changes in fair value being recognized as a component of other expense, net in the condensed consolidated statement of operations and comprehensive loss. As of September 30, 2020, the fair value of the compound derivative liability was approximately $43,000 and was recorded in other non-current liabilities on the condensed consolidated balance sheets.</w:t>
      </w:r>
    </w:p>
    <w:p>
      <w:pPr>
        <w:spacing w:after="0" w:line="185" w:lineRule="exact"/>
        <w:rPr>
          <w:sz w:val="20"/>
          <w:szCs w:val="20"/>
          <w:color w:val="auto"/>
        </w:rPr>
      </w:pPr>
    </w:p>
    <w:p>
      <w:pPr>
        <w:ind w:right="160" w:firstLine="510"/>
        <w:spacing w:after="0" w:line="286" w:lineRule="auto"/>
        <w:rPr>
          <w:sz w:val="20"/>
          <w:szCs w:val="20"/>
          <w:color w:val="auto"/>
        </w:rPr>
      </w:pPr>
      <w:r>
        <w:rPr>
          <w:rFonts w:ascii="Arial" w:cs="Arial" w:eastAsia="Arial" w:hAnsi="Arial"/>
          <w:sz w:val="17"/>
          <w:szCs w:val="17"/>
          <w:color w:val="auto"/>
        </w:rPr>
        <w:t>The fair value of Series B convertible preferred stock warrant liability at issuance, fair value of embedded derivatives which were bifurcated and other debt issuance costs have been treated as debt discounts on the Company’s condensed consolidated balance sheet and together with the final payment are being amortized to interest expense throughout the life of the term loan using the effective interest rate method.</w:t>
      </w:r>
    </w:p>
    <w:p>
      <w:pPr>
        <w:spacing w:after="0" w:line="165"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As of September 30, 2020, there were unamortized issuance costs and debt discounts of $0.2 million, which were recorded as a direct deduction from the term loan on the condensed consolidated balance sheet. Interest expense for the term loan was $0.3 million and $0.7 million for the three and nine months ended September 30, 2020, respectively.</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future payments of principal and interest as of September 30, 2020 (in thousands):</w:t>
      </w:r>
    </w:p>
    <w:p>
      <w:pPr>
        <w:spacing w:after="0" w:line="248"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w w:val="95"/>
              </w:rPr>
              <w:t>September 30,</w:t>
            </w:r>
          </w:p>
        </w:tc>
      </w:tr>
      <w:tr>
        <w:trPr>
          <w:trHeight w:val="234"/>
        </w:trPr>
        <w:tc>
          <w:tcPr>
            <w:tcW w:w="66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20"/>
                <w:szCs w:val="20"/>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2020 (remaining three months)</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3,743</w:t>
            </w:r>
          </w:p>
        </w:tc>
        <w:tc>
          <w:tcPr>
            <w:tcW w:w="80" w:type="dxa"/>
            <w:vAlign w:val="bottom"/>
          </w:tcPr>
          <w:p>
            <w:pPr>
              <w:spacing w:after="0"/>
              <w:rPr>
                <w:sz w:val="19"/>
                <w:szCs w:val="19"/>
                <w:color w:val="auto"/>
              </w:rPr>
            </w:pP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3,007</w:t>
            </w:r>
          </w:p>
        </w:tc>
        <w:tc>
          <w:tcPr>
            <w:tcW w:w="80" w:type="dxa"/>
            <w:vAlign w:val="bottom"/>
            <w:shd w:val="clear" w:color="auto" w:fill="CFF0FC"/>
          </w:tcPr>
          <w:p>
            <w:pPr>
              <w:spacing w:after="0"/>
              <w:rPr>
                <w:sz w:val="19"/>
                <w:szCs w:val="19"/>
                <w:color w:val="auto"/>
              </w:rPr>
            </w:pPr>
          </w:p>
        </w:tc>
      </w:tr>
      <w:tr>
        <w:trPr>
          <w:trHeight w:val="223"/>
        </w:trPr>
        <w:tc>
          <w:tcPr>
            <w:tcW w:w="66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6,856</w:t>
            </w:r>
          </w:p>
        </w:tc>
        <w:tc>
          <w:tcPr>
            <w:tcW w:w="80" w:type="dxa"/>
            <w:vAlign w:val="bottom"/>
            <w:tcBorders>
              <w:bottom w:val="single" w:sz="8" w:color="CFF0FC"/>
            </w:tcBorders>
          </w:tcPr>
          <w:p>
            <w:pPr>
              <w:spacing w:after="0"/>
              <w:rPr>
                <w:sz w:val="19"/>
                <w:szCs w:val="19"/>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Less: amount representing interest</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8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Less: amount representing final payment</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Term loan, principal amount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Less: unamortized issuance costs and debt discounts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(2,571)</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Non-current portion of term loan</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8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ind w:left="520" w:right="9040" w:hanging="512"/>
        <w:spacing w:after="0" w:line="378" w:lineRule="auto"/>
        <w:tabs>
          <w:tab w:leader="none" w:pos="26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b w:val="1"/>
          <w:bCs w:val="1"/>
          <w:i w:val="1"/>
          <w:iCs w:val="1"/>
          <w:color w:val="auto"/>
        </w:rPr>
        <w:t>Common Stock</w:t>
      </w:r>
    </w:p>
    <w:p>
      <w:pPr>
        <w:ind w:right="800" w:firstLine="510"/>
        <w:spacing w:after="0" w:line="277" w:lineRule="auto"/>
        <w:rPr>
          <w:sz w:val="20"/>
          <w:szCs w:val="20"/>
          <w:color w:val="auto"/>
        </w:rPr>
      </w:pPr>
      <w:r>
        <w:rPr>
          <w:rFonts w:ascii="Arial" w:cs="Arial" w:eastAsia="Arial" w:hAnsi="Arial"/>
          <w:sz w:val="18"/>
          <w:szCs w:val="18"/>
          <w:color w:val="auto"/>
        </w:rPr>
        <w:t>Common stock reserved for future issuance, on an as if converted basis, as of September 30, 2020 and December 31, 2019, consists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6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1"/>
              </w:rPr>
              <w:t>Convertible preferred stock issued and outstanding</w:t>
            </w:r>
          </w:p>
        </w:tc>
        <w:tc>
          <w:tcPr>
            <w:tcW w:w="13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10,313,808</w:t>
            </w:r>
          </w:p>
        </w:tc>
        <w:tc>
          <w:tcPr>
            <w:tcW w:w="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Stock options issued and outstanding</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4,751,589</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1,183,745</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Stock options authorized for future issuance</w:t>
            </w:r>
          </w:p>
        </w:tc>
        <w:tc>
          <w:tcPr>
            <w:tcW w:w="2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2,941,162</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566,900</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Warrants issued and outstanding</w:t>
            </w:r>
          </w:p>
        </w:tc>
        <w:tc>
          <w:tcPr>
            <w:tcW w:w="13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61,292</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Warrants authorized for future issuance</w:t>
            </w:r>
          </w:p>
        </w:tc>
        <w:tc>
          <w:tcPr>
            <w:tcW w:w="13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30,646</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ind w:left="1700"/>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7,692,751</w:t>
            </w:r>
          </w:p>
        </w:tc>
        <w:tc>
          <w:tcPr>
            <w:tcW w:w="1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12,156,391</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360" w:type="dxa"/>
            <w:vAlign w:val="bottom"/>
            <w:vMerge w:val="restart"/>
          </w:tcPr>
          <w:p>
            <w:pPr>
              <w:jc w:val="right"/>
              <w:ind w:right="990"/>
              <w:spacing w:after="0"/>
              <w:rPr>
                <w:sz w:val="20"/>
                <w:szCs w:val="20"/>
                <w:color w:val="auto"/>
              </w:rPr>
            </w:pPr>
            <w:r>
              <w:rPr>
                <w:rFonts w:ascii="Arial" w:cs="Arial" w:eastAsia="Arial" w:hAnsi="Arial"/>
                <w:sz w:val="18"/>
                <w:szCs w:val="18"/>
                <w:color w:val="auto"/>
              </w:rPr>
              <w:t>15</w:t>
            </w: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31"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On July 21, 2020, the Company completed its initial public offering and issued 9,775,000 shares of common stock for net proceeds of approximately $169.5 million, after deducting underwriting discounts and commissions of $13.0 million and offering-related expenses of $3.2 million. Upon the closing of the initial public offering, all shares of convertible preferred stock outstanding and accrued cumulative dividends were automatically converted into 23,934,533 shares of common stock.</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December 31, 2019, the Company’s convertible preferred stock consisted of the following (in thousands, except share amounts):</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ind w:left="540"/>
              <w:spacing w:after="0"/>
              <w:rPr>
                <w:sz w:val="20"/>
                <w:szCs w:val="20"/>
                <w:color w:val="auto"/>
              </w:rPr>
            </w:pPr>
            <w:r>
              <w:rPr>
                <w:rFonts w:ascii="Arial" w:cs="Arial" w:eastAsia="Arial" w:hAnsi="Arial"/>
                <w:sz w:val="18"/>
                <w:szCs w:val="18"/>
                <w:b w:val="1"/>
                <w:bCs w:val="1"/>
                <w:color w:val="auto"/>
              </w:rPr>
              <w:t>December 31, 2019</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8"/>
        </w:trPr>
        <w:tc>
          <w:tcPr>
            <w:tcW w:w="4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18"/>
                <w:szCs w:val="18"/>
                <w:color w:val="auto"/>
              </w:rPr>
            </w:pPr>
          </w:p>
        </w:tc>
      </w:tr>
      <w:tr>
        <w:trPr>
          <w:trHeight w:val="230"/>
        </w:trPr>
        <w:tc>
          <w:tcPr>
            <w:tcW w:w="478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Authorized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Issued And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Net</w:t>
            </w:r>
          </w:p>
        </w:tc>
        <w:tc>
          <w:tcPr>
            <w:tcW w:w="12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Liquidation</w:t>
            </w:r>
          </w:p>
        </w:tc>
      </w:tr>
      <w:tr>
        <w:trPr>
          <w:trHeight w:val="241"/>
        </w:trPr>
        <w:tc>
          <w:tcPr>
            <w:tcW w:w="478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Proceeds</w:t>
            </w:r>
            <w:r>
              <w:rPr>
                <w:rFonts w:ascii="Arial" w:cs="Arial" w:eastAsia="Arial" w:hAnsi="Arial"/>
                <w:sz w:val="15"/>
                <w:szCs w:val="15"/>
                <w:b w:val="1"/>
                <w:bCs w:val="1"/>
                <w:color w:val="auto"/>
                <w:w w:val="86"/>
              </w:rPr>
              <w:t>(1)</w:t>
            </w:r>
          </w:p>
        </w:tc>
        <w:tc>
          <w:tcPr>
            <w:tcW w:w="12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Preference</w:t>
            </w:r>
          </w:p>
        </w:tc>
      </w:tr>
      <w:tr>
        <w:trPr>
          <w:trHeight w:val="230"/>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Shares designated as:</w:t>
            </w: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Series A convertible preferred stock</w:t>
            </w:r>
          </w:p>
        </w:tc>
        <w:tc>
          <w:tcPr>
            <w:tcW w:w="1120" w:type="dxa"/>
            <w:vAlign w:val="bottom"/>
          </w:tcPr>
          <w:p>
            <w:pPr>
              <w:jc w:val="right"/>
              <w:spacing w:after="0"/>
              <w:rPr>
                <w:sz w:val="20"/>
                <w:szCs w:val="20"/>
                <w:color w:val="auto"/>
              </w:rPr>
            </w:pPr>
            <w:r>
              <w:rPr>
                <w:rFonts w:ascii="Arial" w:cs="Arial" w:eastAsia="Arial" w:hAnsi="Arial"/>
                <w:sz w:val="18"/>
                <w:szCs w:val="18"/>
                <w:color w:val="auto"/>
              </w:rPr>
              <w:t>9,421,633</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9,297,081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60,933</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73,571</w:t>
            </w:r>
          </w:p>
        </w:tc>
        <w:tc>
          <w:tcPr>
            <w:tcW w:w="100" w:type="dxa"/>
            <w:vAlign w:val="bottom"/>
          </w:tcPr>
          <w:p>
            <w:pPr>
              <w:spacing w:after="0"/>
              <w:rPr>
                <w:sz w:val="19"/>
                <w:szCs w:val="19"/>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Series B convertible preferred stock</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2,145,370</w:t>
            </w:r>
          </w:p>
        </w:tc>
        <w:tc>
          <w:tcPr>
            <w:tcW w:w="22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1,016,727</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9,430</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10,014</w:t>
            </w:r>
          </w:p>
        </w:tc>
        <w:tc>
          <w:tcPr>
            <w:tcW w:w="100" w:type="dxa"/>
            <w:vAlign w:val="bottom"/>
            <w:shd w:val="clear" w:color="auto" w:fill="CFF0FC"/>
          </w:tcPr>
          <w:p>
            <w:pPr>
              <w:spacing w:after="0"/>
              <w:rPr>
                <w:sz w:val="19"/>
                <w:szCs w:val="19"/>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11,567,003</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10,313,808</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70,363</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83,585</w:t>
            </w:r>
          </w:p>
        </w:tc>
        <w:tc>
          <w:tcPr>
            <w:tcW w:w="10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Net proceeds are gross proceeds from the offerings net of issuance costs</w:t>
      </w:r>
    </w:p>
    <w:p>
      <w:pPr>
        <w:spacing w:after="0" w:line="374"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Preferred Stock Warrant Liability</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On July 21, 2020, the warrants to purchase 61,292 Series B convertible preferred stock issued to SVB and WestRiver with an exercise price of $9.4972 per share were automatically converted to warrants to purchase 61,292 shares of common stock at an exercise price of $9.4972 per share. The Company revalued the Series B convertible preferred stock warrants as of the completion of the initial public offering and reclassified the outstanding preferred stock warrant liability balance to additional paid-in capital with no further re-measurement required as the common stock warrants are considered permanent equity.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August 17, 2020, SVB and WestRiver delivered the Notice of Exercise to net exercise 61,292 warrants at an exercise price of $9.4972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Company issued 48,932 shares of the Company’s common stock.</w:t>
      </w:r>
    </w:p>
    <w:p>
      <w:pPr>
        <w:spacing w:after="0" w:line="3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Cumulative dividends of 6.0% per annum of the original issue price for each preferred stock series are payable when and as declared by the Company’s Board of Directors, or Board of Directors, upon the occurrence of a liquidation event or upon a contingent mandatory conversion of the preferred stock in connection with a qualified initial public offering as described below. The Series A original issue price is $6.58, and the Series B and Series C original issue price is $9.4972. The original issue price is subject to adjustment in the event of any share dividend, share split, combination, consolidation or other recapitalization. The dividends shall accrue from day to day from the issue date of such preferred stock whether or not declared and shall be cumulative. In addition, the preferred stockholders participate on an as-converted basis in any dividends payable to ordinary shareholders. As of July 20, 2020, there were approximately $18.0 million of accrued cumulative dividends on the Series A, Series B and Series C convertible preferred stock, which became payable upon the consummation of the Company’s initial public offering and automatically converted into 2,564,759 shares of the Company’s common stock.</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2020 Amended and Restated Equity Incentive Plan</w:t>
      </w:r>
    </w:p>
    <w:p>
      <w:pPr>
        <w:spacing w:after="0" w:line="11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On April 1, 2020, the board of directors approved a new equity incentive plan, or the 2020 Equity Incentive Plan, that replaced the 2015 Share Award Scheme.</w:t>
      </w:r>
    </w:p>
    <w:p>
      <w:pPr>
        <w:spacing w:after="0" w:line="170" w:lineRule="exact"/>
        <w:rPr>
          <w:sz w:val="20"/>
          <w:szCs w:val="20"/>
          <w:color w:val="auto"/>
        </w:rPr>
      </w:pPr>
    </w:p>
    <w:p>
      <w:pPr>
        <w:ind w:right="800" w:firstLine="510"/>
        <w:spacing w:after="0" w:line="277" w:lineRule="auto"/>
        <w:rPr>
          <w:sz w:val="20"/>
          <w:szCs w:val="20"/>
          <w:color w:val="auto"/>
        </w:rPr>
      </w:pPr>
      <w:r>
        <w:rPr>
          <w:rFonts w:ascii="Arial" w:cs="Arial" w:eastAsia="Arial" w:hAnsi="Arial"/>
          <w:sz w:val="18"/>
          <w:szCs w:val="18"/>
          <w:color w:val="auto"/>
        </w:rPr>
        <w:t>In July 2020, the Company adopted the Amended and Restated 2020 Equity Incentive Plan, or the 2020 Plan. The 2020 Plan replaced the Company’s 2020 Equity Incentive Plan and a total of 7,874,862 shares were reserved under the 2020 Plan.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74" w:right="37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b w:val="1"/>
          <w:bCs w:val="1"/>
          <w:i w:val="1"/>
          <w:iCs w:val="1"/>
          <w:color w:val="auto"/>
        </w:rPr>
        <w:t>Stock Option Modification</w:t>
      </w:r>
    </w:p>
    <w:p>
      <w:pPr>
        <w:spacing w:after="0" w:line="117"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In connection with the transfer of employees to Tallac Therapeutics, Dr. Hong Wan, the Company’s former Chief Scientific Officer, and eight of the Company’s employees, or Transferred Employees, terminated their employment with the Company effective as of June 30, 2020 and became employees of Tallac Therapeutics effective as of July 1, 2020. The options to purchase shares of the Company’s common stock that were previously granted to the Transferred Employees will continue to vest and be exercisable subject to the Transferred Employees remaining service providers under the original terms of the award. The Company evaluated the change in status from an employee to a consultant in accordance with ASC 718. While the Company concluded that the change in status did not affect the vesting condition or the classification of the initial awards, the significant reduction in the level of services that the grantees were expected to provide under the original awards as compared to the level of services expected under the Tallac Services Agreement will no longer meet the substantive service condition requirements and therefore the compensation cost for the unvested awards was recognized immediately with no future service requirement. The Company recorded $2.3 million in stock-based compensation expenses related to the modification for the three months ended June 30, 2020.</w:t>
      </w:r>
    </w:p>
    <w:p>
      <w:pPr>
        <w:spacing w:after="0" w:line="185"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In September 2020, in connection with the resignation of the Company’s former Chief Business Officer and the entry into a consulting agreement with him, the Company evaluated the change in status from an employee to a consultant in accordance with ASC 718. While the Company concluded that the change in status did not affect the vesting condition or the classification of the initial awards, the significant reduction in the level of services that the grantee was expected to provide under the original awards as compared to the level of services expected under the consulting agreement will no longer meet the substantive service condition requirements and therefore the compensation expense for the unvested awards expected to vest during the consultancy was recognized immediately with no future service requirement. The Company recorded $0.2 million in stock-based compensation expenses related to the modification for the three months ended September 30, 2020.</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Total stock-based compensation expense recognized in the condensed consolidated statements of operations and comprehensive loss was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100" w:type="dxa"/>
            <w:vAlign w:val="bottom"/>
            <w:gridSpan w:val="4"/>
          </w:tcPr>
          <w:p>
            <w:pPr>
              <w:jc w:val="right"/>
              <w:spacing w:after="0"/>
              <w:rPr>
                <w:sz w:val="20"/>
                <w:szCs w:val="20"/>
                <w:color w:val="auto"/>
              </w:rPr>
            </w:pPr>
            <w:r>
              <w:rPr>
                <w:rFonts w:ascii="Arial" w:cs="Arial" w:eastAsia="Arial" w:hAnsi="Arial"/>
                <w:sz w:val="18"/>
                <w:szCs w:val="18"/>
                <w:b w:val="1"/>
                <w:bCs w:val="1"/>
                <w:color w:val="auto"/>
                <w:w w:val="98"/>
              </w:rPr>
              <w:t>Three Months Ended September 30,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gridSpan w:val="5"/>
          </w:tcPr>
          <w:p>
            <w:pPr>
              <w:ind w:left="12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360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FF0FC"/>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11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19"/>
                <w:szCs w:val="19"/>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1,048</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services for related-party revenue</w:t>
            </w:r>
          </w:p>
        </w:tc>
        <w:tc>
          <w:tcPr>
            <w:tcW w:w="6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51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FF0FC"/>
          </w:tcPr>
          <w:p>
            <w:pPr>
              <w:spacing w:after="0"/>
              <w:rPr>
                <w:sz w:val="19"/>
                <w:szCs w:val="19"/>
                <w:color w:val="auto"/>
              </w:rPr>
            </w:pPr>
          </w:p>
        </w:tc>
      </w:tr>
      <w:tr>
        <w:trPr>
          <w:trHeight w:val="223"/>
        </w:trPr>
        <w:tc>
          <w:tcPr>
            <w:tcW w:w="3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26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86</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LICENSE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(Equity) Agreement with The Board of Trustees of the Leland Stanford Junior University</w:t>
      </w:r>
    </w:p>
    <w:p>
      <w:pPr>
        <w:spacing w:after="0" w:line="11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Company’s current product candidates, to develop, manufacture and commercialize products for use in certain licensed fields, the scope of which would include the application of the licensed intellectual property in oncology. The license granted to the Company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the Company in the Stanford Agreement also includes non-exclusive grants to certain Stanford patents.</w:t>
      </w:r>
    </w:p>
    <w:p>
      <w:pPr>
        <w:spacing w:after="0" w:line="178"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In consideration for the rights granted to the Company under the Stanford Agreement, the Company paid Stanford a nonrefundable license royalty and reimbursed Stanford for past patent expenses, together totaling less than $0.1 million, and granted Stanford a specified number of shares of common stock of the Company. In addition, the Company is obligated to pay Stanford ongoing patent expenses and an annual license maintenance fee, which are nominal and will be creditable against any royalties payable to Stanford in the applicable year. The Company is required to make milestone payments up to an aggregate of $5.0 million in respect of a specified number of licensed products that successfully satisfy certain clinical and regulatory milestones. No milestone payments have been made through September 30, 2020. The Company also agreed to pay Stanford tiered royalties on a specified percentage of net sales made by the Company, its affiliates and its sublicensees of licensed products at rates ranging within low single-digit percentages, subject to certain reductions and offsets. The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ind w:right="80" w:firstLine="510"/>
        <w:spacing w:after="0" w:line="255" w:lineRule="auto"/>
        <w:rPr>
          <w:sz w:val="20"/>
          <w:szCs w:val="20"/>
          <w:color w:val="auto"/>
        </w:rPr>
      </w:pPr>
      <w:r>
        <w:rPr>
          <w:rFonts w:ascii="Arial" w:cs="Arial" w:eastAsia="Arial" w:hAnsi="Arial"/>
          <w:sz w:val="18"/>
          <w:szCs w:val="18"/>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fails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License Agreement with Selexis SA</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June 2016, the Company entered into a license agreement with Selexis SA, or Selexis, under which the Company obtained a worldwide, royalty-bearing, sublicensable license under certain patents, know-how and other intellectual property, to use Selexis generated cell lines to manufacture ALX148 and to make, use and sell licensed product containing such compound in all fields of use. The rights granted under this agreement include the rights to grant sublicenses to contractors or other collaboration partners, in each case to develop production processes or manufacture licensed product containing ALX148.</w:t>
      </w:r>
    </w:p>
    <w:p>
      <w:pPr>
        <w:spacing w:after="0" w:line="18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consideration for the rights granted to the Company under the agreement, the Company paid Selexis a nominal one-time fee and will pay Selexis an annual maintenance fee. The Company also agreed to pay Selexis milestone payments up to an aggregate of 1.2 million Swiss Francs in respect of all licensed products developed and/or commercialized under the grant that successfully satisfies certain milestone events. The Company also agreed to pay Selexis a flat royalty of a very low single-digit percentage on net sales made by the Company, its affiliates and sublicensees of products. This royalty obligation, on a product-by-product and country-by-country basis, shall terminate and become fully paid-up upon the passing of ten years after the first commercial sale of the product in such country, or the Company’s exercise of the royalty buyout option exercisable at any time prior to the first commercial sale of a licensed product.</w:t>
      </w:r>
    </w:p>
    <w:p>
      <w:pPr>
        <w:spacing w:after="0" w:line="195"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The Company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 defaulting party is provided with written notice of such breach). The Company’s obligations to pay royalties that are accrued or accruable will survive any termination of the agreement, and in certain circumstances the licenses granted under the agreement will terminate unless they have become fully paid up as described in the previous paragraph.</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Antibody Agreement with Crystal Bioscience Inc. (Now a Subsidiary of Ligand Pharmaceuticals Incorporated)</w:t>
      </w:r>
    </w:p>
    <w:p>
      <w:pPr>
        <w:spacing w:after="0" w:line="117"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In March 2017, the Company entered into an agreement with Crystal Bioscience Inc. (now a subsidiary of Ligand Pharmaceuticals Incorporated), or Crystal, under which the Company obtained an assignment of certain patents, covering certain SIRPα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71"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In consideration for the rights granted to the Company under the agreement, it agreed to pay Crystal milestone payments up to $11.1 million in respect of all licensed products developed under the assigned patents, that successfully satisfy certain clinical and regulatory milestones, each milestone being paid only once for all products. The Company also agreed to pay Crystal tiered royalties on net sales made by the Company, its affiliates and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ten years after the first commercial sale of the product in such country.</w:t>
      </w:r>
    </w:p>
    <w:p>
      <w:pPr>
        <w:spacing w:after="0" w:line="178" w:lineRule="exact"/>
        <w:rPr>
          <w:sz w:val="20"/>
          <w:szCs w:val="20"/>
          <w:color w:val="auto"/>
        </w:rPr>
      </w:pPr>
    </w:p>
    <w:p>
      <w:pPr>
        <w:ind w:right="840" w:firstLine="510"/>
        <w:spacing w:after="0" w:line="277" w:lineRule="auto"/>
        <w:rPr>
          <w:sz w:val="20"/>
          <w:szCs w:val="20"/>
          <w:color w:val="auto"/>
        </w:rPr>
      </w:pPr>
      <w:r>
        <w:rPr>
          <w:rFonts w:ascii="Arial" w:cs="Arial" w:eastAsia="Arial" w:hAnsi="Arial"/>
          <w:sz w:val="18"/>
          <w:szCs w:val="18"/>
          <w:color w:val="auto"/>
        </w:rPr>
        <w:t>The Company agreed to use commercially reasonable efforts to develop and commercialize licensed products, including meeting defined development milestones by certain specified dates.</w:t>
      </w:r>
    </w:p>
    <w:p>
      <w:pPr>
        <w:spacing w:after="0" w:line="170"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The Company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 such breach). The Company’s obligations to pay royalties and milestone payments which accrued pre-termination or accrue post-termination will survive any termination.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(9) 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Related-party revenue</w:t>
      </w:r>
    </w:p>
    <w:p>
      <w:pPr>
        <w:spacing w:after="0" w:line="11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In June 2018, the Company entered into a Research and Development Services Agreement, or Tollnine Agreement, with Tollnine, a related-party of the Company, to provide research and development services to Tollnine. The Company’s Chief Executive Officer was also the Chief Executive Officer of Tollnine until April 2020 and two of the Company’s investors are also investors in Tollnine. As such, Tollnine was deemed to be a related-party. The Tollnine Agreement has an initial term of 3 years, to be automatically renewed for additional one-year terms unless terminated by either party. The services are to be provided at a price based on the costs incurred by the Company plus a mark-up equal to 10% of such costs. The Company recognizes revenue when Tollnine, as the Company’s customer, obtains control of promised goods or services, in an amount that reflects the consideration which the Company expects to receive in exchange for those goods or services. The Company recognized related-party revenues of zero and $1.3 million for the three months ended September 30, 2020 and 2019, respectively, and $1.2 million and $3.6 million for the nine months ended September 30, 2020 and 2019, respectively, under the Tollnine Agreement. Effective as of July 1, 2020, the Company terminated the Tollnine Agreement and entered into the Tallac Services Agreement with Tallac Therapeutics.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due from related-party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September 30, 2020 and December 31, 2019, the Company had outstanding related-party receivables from Tollnine of $0.5 million.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Tallac Service Agreement</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Company entered into a research and development services agreement, or the Tallac Services Agreement, with Tallac Therapeutics effective as of July 1, 2020. The Tallac Services Agreement provides that Tallac Therapeutics will provide certain preclinical research services to the Company for a service fee based on the costs incurred by Tallac Therapeutics plus a mark-up equal to 10.0% of such costs. The Tallac Services Agreement has an initial term of four years and is renewed automatically for additional one year terms thereafter. The Company records the payments for the research and development services as research and development costs within the condensed consolidated statement of operations and comprehensive loss. The Company has recorded $0.4 million as research and development costs for the three months ended September 30,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 ATTRIBUTABLE TO COMMON STOCKHOLDERS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loss per share attributable to common stockholders (in thousands, except share and per share data):</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8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(10,181)</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(3,044)</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(26,966)</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(11,479)</w:t>
            </w:r>
          </w:p>
        </w:tc>
      </w:tr>
      <w:tr>
        <w:trPr>
          <w:trHeight w:val="215"/>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Less: cumulative preferred dividends allocated to</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stockholders</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(578)</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(1,071)</w:t>
            </w: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(5,202)</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(2,957)</w:t>
            </w:r>
          </w:p>
        </w:tc>
      </w:tr>
      <w:tr>
        <w:trPr>
          <w:trHeight w:val="263"/>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(10,759)</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(4,115)</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(32,168)</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(14,436)</w:t>
            </w:r>
          </w:p>
        </w:tc>
        <w:tc>
          <w:tcPr>
            <w:tcW w:w="120" w:type="dxa"/>
            <w:vAlign w:val="bottom"/>
            <w:tcBorders>
              <w:bottom w:val="single" w:sz="8" w:color="CFF0FC"/>
            </w:tcBorders>
          </w:tcPr>
          <w:p>
            <w:pPr>
              <w:spacing w:after="0"/>
              <w:rPr>
                <w:sz w:val="22"/>
                <w:szCs w:val="22"/>
                <w:color w:val="auto"/>
              </w:rPr>
            </w:pPr>
          </w:p>
        </w:tc>
      </w:tr>
      <w:tr>
        <w:trPr>
          <w:trHeight w:val="21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Weighted-average shares of common stock outstanding</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29,664,122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3,100,544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12,052,876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3,061,082</w:t>
            </w:r>
          </w:p>
        </w:tc>
        <w:tc>
          <w:tcPr>
            <w:tcW w:w="120" w:type="dxa"/>
            <w:vAlign w:val="bottom"/>
          </w:tcPr>
          <w:p>
            <w:pPr>
              <w:spacing w:after="0"/>
              <w:rPr>
                <w:sz w:val="19"/>
                <w:szCs w:val="19"/>
                <w:color w:val="auto"/>
              </w:rPr>
            </w:pPr>
          </w:p>
        </w:tc>
      </w:tr>
      <w:tr>
        <w:trPr>
          <w:trHeight w:val="215"/>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(0.36)</w:t>
            </w: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(1.33)</w:t>
            </w:r>
          </w:p>
        </w:tc>
        <w:tc>
          <w:tcPr>
            <w:tcW w:w="2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(2.67)</w:t>
            </w: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(4.72)</w:t>
            </w:r>
          </w:p>
        </w:tc>
      </w:tr>
      <w:tr>
        <w:trPr>
          <w:trHeight w:val="20"/>
        </w:trPr>
        <w:tc>
          <w:tcPr>
            <w:tcW w:w="48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Since the Company was in a loss position for all periods presented, basic net loss per share is the same as diluted net loss per share for all periods presented as the inclusion of all potential common stock outstanding would have been anti-dilutive.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2" w:name="page23"/>
    <w:bookmarkEnd w:id="22"/>
    <w:p>
      <w:pPr>
        <w:ind w:right="380" w:firstLine="510"/>
        <w:spacing w:after="0" w:line="277" w:lineRule="auto"/>
        <w:rPr>
          <w:sz w:val="20"/>
          <w:szCs w:val="20"/>
          <w:color w:val="auto"/>
        </w:rPr>
      </w:pPr>
      <w:r>
        <w:rPr>
          <w:rFonts w:ascii="Arial" w:cs="Arial" w:eastAsia="Arial" w:hAnsi="Arial"/>
          <w:sz w:val="18"/>
          <w:szCs w:val="18"/>
          <w:color w:val="auto"/>
        </w:rPr>
        <w:t>The following outstanding potentially dilutive securities were excluded from the computation of diluted net loss per share for the three and nine months ended September 30, 2020 and 2019, because including them would have been anti-dilutive:</w:t>
      </w:r>
    </w:p>
    <w:p>
      <w:pPr>
        <w:spacing w:after="0" w:line="193"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740" w:type="dxa"/>
            <w:vAlign w:val="bottom"/>
            <w:gridSpan w:val="4"/>
          </w:tcPr>
          <w:p>
            <w:pPr>
              <w:ind w:left="7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120" w:type="dxa"/>
            <w:vAlign w:val="bottom"/>
            <w:tcBorders>
              <w:bottom w:val="single" w:sz="8" w:color="CFF0FC"/>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FF0FC"/>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FF0FC"/>
            </w:tcBorders>
          </w:tcPr>
          <w:p>
            <w:pPr>
              <w:spacing w:after="0"/>
              <w:rPr>
                <w:sz w:val="19"/>
                <w:szCs w:val="19"/>
                <w:color w:val="auto"/>
              </w:rPr>
            </w:pPr>
          </w:p>
        </w:tc>
      </w:tr>
      <w:tr>
        <w:trPr>
          <w:trHeight w:val="223"/>
        </w:trPr>
        <w:tc>
          <w:tcPr>
            <w:tcW w:w="51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Convertible preferred stock</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10,313,808</w:t>
            </w:r>
          </w:p>
        </w:tc>
        <w:tc>
          <w:tcPr>
            <w:tcW w:w="80" w:type="dxa"/>
            <w:vAlign w:val="bottom"/>
            <w:shd w:val="clear" w:color="auto" w:fill="CFF0FC"/>
          </w:tcPr>
          <w:p>
            <w:pPr>
              <w:spacing w:after="0"/>
              <w:rPr>
                <w:sz w:val="19"/>
                <w:szCs w:val="19"/>
                <w:color w:val="auto"/>
              </w:rPr>
            </w:pPr>
          </w:p>
        </w:tc>
      </w:tr>
      <w:tr>
        <w:trPr>
          <w:trHeight w:val="229"/>
        </w:trPr>
        <w:tc>
          <w:tcPr>
            <w:tcW w:w="5120" w:type="dxa"/>
            <w:vAlign w:val="bottom"/>
          </w:tcPr>
          <w:p>
            <w:pPr>
              <w:ind w:left="120"/>
              <w:spacing w:after="0"/>
              <w:rPr>
                <w:sz w:val="20"/>
                <w:szCs w:val="20"/>
                <w:color w:val="auto"/>
              </w:rPr>
            </w:pPr>
            <w:r>
              <w:rPr>
                <w:rFonts w:ascii="Arial" w:cs="Arial" w:eastAsia="Arial" w:hAnsi="Arial"/>
                <w:sz w:val="18"/>
                <w:szCs w:val="18"/>
                <w:color w:val="auto"/>
              </w:rPr>
              <w:t>Common stock subject to repurchase</w:t>
            </w:r>
          </w:p>
        </w:tc>
        <w:tc>
          <w:tcPr>
            <w:tcW w:w="1240" w:type="dxa"/>
            <w:vAlign w:val="bottom"/>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53,070</w:t>
            </w:r>
          </w:p>
        </w:tc>
        <w:tc>
          <w:tcPr>
            <w:tcW w:w="80" w:type="dxa"/>
            <w:vAlign w:val="bottom"/>
          </w:tcPr>
          <w:p>
            <w:pPr>
              <w:spacing w:after="0"/>
              <w:rPr>
                <w:sz w:val="19"/>
                <w:szCs w:val="19"/>
                <w:color w:val="auto"/>
              </w:rPr>
            </w:pPr>
          </w:p>
        </w:tc>
      </w:tr>
      <w:tr>
        <w:trPr>
          <w:trHeight w:val="229"/>
        </w:trPr>
        <w:tc>
          <w:tcPr>
            <w:tcW w:w="51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Options issued and outstanding</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4,751,589</w:t>
            </w:r>
          </w:p>
        </w:tc>
        <w:tc>
          <w:tcPr>
            <w:tcW w:w="18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1,206,690</w:t>
            </w:r>
          </w:p>
        </w:tc>
        <w:tc>
          <w:tcPr>
            <w:tcW w:w="80" w:type="dxa"/>
            <w:vAlign w:val="bottom"/>
            <w:shd w:val="clear" w:color="auto" w:fill="CFF0FC"/>
          </w:tcPr>
          <w:p>
            <w:pPr>
              <w:spacing w:after="0"/>
              <w:rPr>
                <w:sz w:val="19"/>
                <w:szCs w:val="19"/>
                <w:color w:val="auto"/>
              </w:rPr>
            </w:pPr>
          </w:p>
        </w:tc>
      </w:tr>
      <w:tr>
        <w:trPr>
          <w:trHeight w:val="223"/>
        </w:trPr>
        <w:tc>
          <w:tcPr>
            <w:tcW w:w="5120" w:type="dxa"/>
            <w:vAlign w:val="bottom"/>
          </w:tcPr>
          <w:p>
            <w:pPr>
              <w:ind w:left="48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4,751,842</w:t>
            </w:r>
          </w:p>
        </w:tc>
        <w:tc>
          <w:tcPr>
            <w:tcW w:w="18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11,573,568</w:t>
            </w:r>
          </w:p>
        </w:tc>
        <w:tc>
          <w:tcPr>
            <w:tcW w:w="8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ind w:left="520" w:right="7440" w:hanging="512"/>
        <w:spacing w:after="0" w:line="378" w:lineRule="auto"/>
        <w:tabs>
          <w:tab w:leader="none" w:pos="34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Guarantees and Indemnifications</w:t>
      </w:r>
    </w:p>
    <w:p>
      <w:pPr>
        <w:ind w:right="20" w:firstLine="510"/>
        <w:spacing w:after="0" w:line="290"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September 30, 2020.</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For the nine months ended September 30, 2020 the Company had no pending or threatened litigation.</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Contractual Obligations and Other Commitments</w:t>
      </w:r>
    </w:p>
    <w:p>
      <w:pPr>
        <w:spacing w:after="0" w:line="117"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The Company has contractual obligations from its operating lease, manufacturing and service contracts, Term Loan, and other research and development activities. The following table aggregates the Company’s material expected contractual obligations and commitments as of September 30, 2020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1"/>
              </w:rPr>
              <w:t>September 30, 2020</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 xml:space="preserve">2020 </w:t>
            </w:r>
            <w:r>
              <w:rPr>
                <w:rFonts w:ascii="Arial" w:cs="Arial" w:eastAsia="Arial" w:hAnsi="Arial"/>
                <w:sz w:val="15"/>
                <w:szCs w:val="15"/>
                <w:b w:val="1"/>
                <w:bCs w:val="1"/>
                <w:color w:val="auto"/>
              </w:rPr>
              <w:t>(4)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2021 - 2022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2023 - 2024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Thereafter</w:t>
            </w:r>
          </w:p>
        </w:tc>
      </w:tr>
      <w:tr>
        <w:trPr>
          <w:trHeight w:val="223"/>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5"/>
                <w:szCs w:val="15"/>
                <w:color w:val="auto"/>
              </w:rPr>
              <w:t>(1)</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 xml:space="preserve">Manufacturing and service contracts </w:t>
            </w:r>
            <w:r>
              <w:rPr>
                <w:rFonts w:ascii="Arial" w:cs="Arial" w:eastAsia="Arial" w:hAnsi="Arial"/>
                <w:sz w:val="15"/>
                <w:szCs w:val="15"/>
                <w:color w:val="auto"/>
              </w:rPr>
              <w:t>(2)</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7,622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6,238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Term loan </w:t>
            </w:r>
            <w:r>
              <w:rPr>
                <w:rFonts w:ascii="Arial" w:cs="Arial" w:eastAsia="Arial" w:hAnsi="Arial"/>
                <w:sz w:val="15"/>
                <w:szCs w:val="15"/>
                <w:color w:val="auto"/>
              </w:rPr>
              <w:t>(3)</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Payments due for the office space in Burlingame, California under a single operating sub-lease agreement that expires in 2023.</w:t>
      </w:r>
    </w:p>
    <w:p>
      <w:pPr>
        <w:spacing w:after="0" w:line="23" w:lineRule="exact"/>
        <w:rPr>
          <w:rFonts w:ascii="Arial" w:cs="Arial" w:eastAsia="Arial" w:hAnsi="Arial"/>
          <w:sz w:val="18"/>
          <w:szCs w:val="18"/>
          <w:i w:val="1"/>
          <w:iCs w:val="1"/>
          <w:color w:val="auto"/>
        </w:rPr>
      </w:pPr>
    </w:p>
    <w:p>
      <w:pPr>
        <w:ind w:left="1000" w:right="120" w:hanging="493"/>
        <w:spacing w:after="0" w:line="265" w:lineRule="auto"/>
        <w:tabs>
          <w:tab w:leader="none" w:pos="100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In November 2015, the Company entered into a Master Service Agreement, or the MSA, with KBI Biopharma, Inc. relating to formulation development, process development and cGMP manufacturing of ALX148 for use in clinical trials on a project basis. The MSA had an initial term of three years with successive one-year renewal periods, is cancellable upon notice and is non-exclusive. Statements of work under the MSA commit the Company to certain purchase obligations of approximately $7.5 million. In addition, the Company has commitments with a second drug product manufacturer that commits the Company to certain purchase obligations of approximately $0.1 million. These amounts are based on non-cancellable commitments and forecasts that include estimates of future market demand, quantity discounts and manufacturing efficiencies that may impact timing of purchases.</w:t>
      </w:r>
    </w:p>
    <w:p>
      <w:pPr>
        <w:spacing w:after="0" w:line="1" w:lineRule="exact"/>
        <w:rPr>
          <w:rFonts w:ascii="Arial" w:cs="Arial" w:eastAsia="Arial" w:hAnsi="Arial"/>
          <w:sz w:val="17"/>
          <w:szCs w:val="17"/>
          <w:i w:val="1"/>
          <w:iCs w:val="1"/>
          <w:color w:val="auto"/>
        </w:rPr>
      </w:pPr>
    </w:p>
    <w:p>
      <w:pPr>
        <w:ind w:left="1000" w:right="680" w:hanging="493"/>
        <w:spacing w:after="0" w:line="250" w:lineRule="auto"/>
        <w:tabs>
          <w:tab w:leader="none" w:pos="10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On December 20, 2019, the Company borrowed a loan pursuant to the Loan Agreement. See Note 5 to these condensed consolidated financial statements for additional details.</w:t>
      </w:r>
    </w:p>
    <w:p>
      <w:pPr>
        <w:ind w:left="1000" w:hanging="493"/>
        <w:spacing w:after="0"/>
        <w:tabs>
          <w:tab w:leader="none" w:pos="10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Remaining three months.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23" w:name="page24"/>
    <w:bookmarkEnd w:id="23"/>
    <w:p>
      <w:pPr>
        <w:ind w:firstLine="510"/>
        <w:spacing w:after="0" w:line="279" w:lineRule="auto"/>
        <w:rPr>
          <w:sz w:val="20"/>
          <w:szCs w:val="20"/>
          <w:color w:val="auto"/>
        </w:rPr>
      </w:pPr>
      <w:r>
        <w:rPr>
          <w:rFonts w:ascii="Arial" w:cs="Arial" w:eastAsia="Arial" w:hAnsi="Arial"/>
          <w:sz w:val="17"/>
          <w:szCs w:val="17"/>
          <w:color w:val="auto"/>
        </w:rPr>
        <w:t>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 These payments are not included in the table of contractual obligations above.</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Facilities</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In 2017, the Company entered into a lease agreement for office space for a period of five years and four months, commencing February 1, 2018 and ending May 31, 2023.</w:t>
      </w:r>
    </w:p>
    <w:p>
      <w:pPr>
        <w:spacing w:after="0" w:line="170"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In July 2020, the Company (i) assigned to Tallac Therapeutics (Note 9) the Company’s lease with respect to the premises located at 866 Malcolm Road, Burlingame, California, and (ii) received a sub-lease for premises from Tallac Therapeutics.</w:t>
      </w:r>
    </w:p>
    <w:p>
      <w:pPr>
        <w:spacing w:after="0" w:line="170" w:lineRule="exact"/>
        <w:rPr>
          <w:sz w:val="20"/>
          <w:szCs w:val="20"/>
          <w:color w:val="auto"/>
        </w:rPr>
      </w:pPr>
    </w:p>
    <w:p>
      <w:pPr>
        <w:jc w:val="both"/>
        <w:ind w:right="160" w:firstLine="510"/>
        <w:spacing w:after="0" w:line="286" w:lineRule="auto"/>
        <w:rPr>
          <w:sz w:val="20"/>
          <w:szCs w:val="20"/>
          <w:color w:val="auto"/>
        </w:rPr>
      </w:pPr>
      <w:r>
        <w:rPr>
          <w:rFonts w:ascii="Arial" w:cs="Arial" w:eastAsia="Arial" w:hAnsi="Arial"/>
          <w:sz w:val="17"/>
          <w:szCs w:val="17"/>
          <w:color w:val="auto"/>
        </w:rPr>
        <w:t>Minimum rent payments under operating leases are recognized on a straight-line basis over the term of the lease including any periods of free rent. Rent expense was $0.1 million and $0.2 million for the three months ended September 30, 2020 and 2019, respectively, and $0.5 million and $0.6 million for the nine months ended September 30, 2020 and 2019, respectively. Sub-lease expenses are recorded within rent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together with our unaudited condensed consolidated financial statements and related notes included elsewhere in this Quarterly Report on Form 10-Q.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Quarterly Report on Form 10-Q.</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We are a clinical-stage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block the “don’t eat me” signal on cancer cells, and to leverage the immune activation of broadly used anti-cancer agents through combination strategies. We have dosed over 150 subjects with ALX148 across a range of hematologic and solid malignancies in combination with a number of leading anti-cancer agents. We are continuing clinical development of ALX148 in the treatment of solid tumors and have recently begun clinical development for the treatment of myelodysplastic syndromes, or MDS. We intend to further advance ALX148 for the treatment of acute myeloid leukemia, or AML. Based on our clinical results to date in multiple oncology indications showing encouraging anti-tumor activity and tolerability and our clinical development plans, our strategy is to pursue ALX148 as a potentially critical component for future combination treatments in oncology.</w:t>
      </w:r>
    </w:p>
    <w:p>
      <w:pPr>
        <w:spacing w:after="0" w:line="192"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and completed an internal reorganization effective as of the same date whereby ALX Oncology Limited became our wholly-owned subsidiary and all of the stockholders, warrant holders and option holders of ALX Oncology Limited became our stockholders, warrant holders and option holders, holding the same number of corresponding shares, warrants and/or options in us as they did in ALX Oncology Limited immediately prior to the internal reorganization. The information included herein are presented as that of ALX Oncology Holdings Inc., unless such information refers to a date prior to April 1, 2020, in which case it will reflect that of our predecessor company.</w:t>
      </w:r>
    </w:p>
    <w:p>
      <w:pPr>
        <w:spacing w:after="0" w:line="166"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Since our founding, we have devoted substantially all of our resources to identifying and developing ALX148, advancing preclinical programs, scaling up manufacturing, conducting clinical trials and providing general and administrative support for these operations. We have no products approved for marketing and we have never received any revenue from drug product sales. In July 2020, we consummated our initial public offering, raising net proceeds of $169.5 million, after deducting underwriting discounts and commissions of $13.0 million and offering-related expenses of $3.2 million. From inception through September 30, 2020, we have raised an aggregate of $350.4 million to fund our operations, of which $175.1 million were net proceeds from sales of our convertible preferred stock, $5.8 million were net proceeds from borrowings under a term loan, and $169.5 million were net proceeds from our initial public offering.</w:t>
      </w:r>
    </w:p>
    <w:p>
      <w:pPr>
        <w:spacing w:after="0" w:line="195"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We have incurred net losses in each year since inception. Our net losses were $10.2 million and $3.0 million for the three months ended September 30, 2020 and 2019, respectively, and $27.0 million and $11.5 million for the nine months ended September 30, 2020 and 2019, respectively. As of September 30, 2020, and December 31, 2019, we had an accumulated deficit of $99.7 million and $72.8 million, respectively. Substantially all of our operating losses are a result of expenses incurred in connection with our research and development programs, primarily ALX148, and from general and administrative expenses associated with our operations.</w:t>
      </w:r>
    </w:p>
    <w:p>
      <w:pPr>
        <w:spacing w:after="0" w:line="188"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over at least the foreseeable future. We expect our expenses will increase substantially in connection with our ongoing activities, as we:</w:t>
      </w:r>
    </w:p>
    <w:p>
      <w:pPr>
        <w:spacing w:after="0" w:line="62"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ALX148 through multiple clinical trials in multiple indications;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pursue regulatory approval of ALX148 in hematological malignancies and solid tumors;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our discovery and preclinical and clinical development efforts;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ind w:left="1000" w:hanging="493"/>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obtain and maintain patent, trade secret and other intellectual property protection and regulatory exclusivity for our product candidates;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manufacture supplies for our preclinical studies and clinical trials;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add operational, financial and management information systems to support ongoing operations as a public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Revenue</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To date, we have not generated any revenue from product sales, licenses or collaborations and do not expect to generate any revenue from the sale of products in the foreseeable future. We recognized related-party revenue related to research and development services to Tallac Therapeutics, Inc. (formerly known as Tollnine, Inc., or Tollnine), or Tallac Therapeutics, which ceased as of July 1, 2020. If our clinical development efforts for our product candidates are successful and result in regulatory approval, we may generate revenue from future product sales. If we enter into license or collaboration agreements for any of our product candidates or intellectual property, we may generate revenue in the future from payments as a result of such license or collaboration agreements. We cannot predict if, when, or to what extent we will generate revenue from the commercialization and sale of our product candidates including ALX148. We may never succeed in obtaining regulatory approval for any of our product candidates.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Research and development expenses consist primarily of costs incurred for the development of our lead product candidate, ALX148, which include:</w:t>
      </w:r>
    </w:p>
    <w:p>
      <w:pPr>
        <w:spacing w:after="0" w:line="140" w:lineRule="exact"/>
        <w:rPr>
          <w:sz w:val="20"/>
          <w:szCs w:val="20"/>
          <w:color w:val="auto"/>
        </w:rPr>
      </w:pPr>
    </w:p>
    <w:p>
      <w:pPr>
        <w:ind w:left="1000" w:right="22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incurred in connection with the preclinical and clinical development, including expenses incurred under agreements with contract research organizations, or CROs;</w:t>
      </w:r>
    </w:p>
    <w:p>
      <w:pPr>
        <w:spacing w:after="0" w:line="62"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related to production of clinical materials, including fees paid to contract manufacturing organizations, or CMOs;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preclinical studies and clinical trials; and</w:t>
      </w:r>
    </w:p>
    <w:p>
      <w:pPr>
        <w:spacing w:after="0" w:line="117"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facilities and other expenses, which include expenses for rent and maintenance of facilities, depreciation and amortization expense and other supplies.</w:t>
      </w:r>
    </w:p>
    <w:p>
      <w:pPr>
        <w:spacing w:after="0" w:line="170" w:lineRule="exact"/>
        <w:rPr>
          <w:sz w:val="20"/>
          <w:szCs w:val="20"/>
          <w:color w:val="auto"/>
        </w:rPr>
      </w:pPr>
    </w:p>
    <w:p>
      <w:pPr>
        <w:jc w:val="both"/>
        <w:ind w:right="60" w:firstLine="510"/>
        <w:spacing w:after="0" w:line="296" w:lineRule="auto"/>
        <w:rPr>
          <w:sz w:val="20"/>
          <w:szCs w:val="20"/>
          <w:color w:val="auto"/>
        </w:rPr>
      </w:pPr>
      <w:r>
        <w:rPr>
          <w:rFonts w:ascii="Arial" w:cs="Arial" w:eastAsia="Arial" w:hAnsi="Arial"/>
          <w:sz w:val="16"/>
          <w:szCs w:val="16"/>
          <w:color w:val="auto"/>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and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spacing w:after="0" w:line="16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Our research and development expenses consist primarily of costs associated with the development of our lead product candidate ALX148 and include external costs, such as fees paid to consultants, central laboratories, contractors, CMOs and CROs in connection with our preclinical and clinical development activities. We allocate expenses, such as employee salaries, benefits, facilities, travel and other miscellaneous expenses, based on an estimated percentage of time worked on each program.</w:t>
      </w:r>
    </w:p>
    <w:p>
      <w:pPr>
        <w:spacing w:after="0" w:line="187"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Almost all of our research and development expenses to date related to the clinical development of our lead product candidate, ALX148. We expect our research and development expenses to increase substantially for the foreseeable future as we continue to invest in research and development activities related to developing our product candidates, as our product candidates advance into later stages of development and as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In addition, we will incur expenses related to the preclinical research services that we contract from Tallac Therapeutics, as further described in Note 9 to our condensed consolidated financial statements appearing elsewhere in this Quarterly Report on Form 10-Q.</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ind w:right="280" w:firstLine="510"/>
        <w:spacing w:after="0" w:line="277" w:lineRule="auto"/>
        <w:rPr>
          <w:sz w:val="20"/>
          <w:szCs w:val="20"/>
          <w:color w:val="auto"/>
        </w:rPr>
      </w:pPr>
      <w:r>
        <w:rPr>
          <w:rFonts w:ascii="Arial" w:cs="Arial" w:eastAsia="Arial" w:hAnsi="Arial"/>
          <w:sz w:val="18"/>
          <w:szCs w:val="18"/>
          <w:color w:val="auto"/>
        </w:rPr>
        <w:t>The successful development of our current and future product candidates is highly uncertain. This is due to the numerous risks and uncertainties, including the following:</w:t>
      </w:r>
    </w:p>
    <w:p>
      <w:pPr>
        <w:spacing w:after="0" w:line="62"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completion of preclinical studies and clinical trials;</w:t>
      </w:r>
    </w:p>
    <w:p>
      <w:pPr>
        <w:spacing w:after="0" w:line="117"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regulators or institutional review boards authorizing us or our investigators to commence our clinical trials or in our ability to negotiate agreements with clinical trial sites or CROs;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location of clinical sites included in the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raising additional funds necessary to complete clinical development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obtaining and maintaining patent, trade secret and other intellectual property protection and regulatory exclusivity for our product candidates;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contracting with third-party manufacturers for clinical supplies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including, if necessary, litigation;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w:t>
      </w:r>
    </w:p>
    <w:p>
      <w:pPr>
        <w:spacing w:after="0" w:line="225"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spacing w:after="0" w:line="18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Research and development activities are central to our business model. There are numerous factors associated with the successful commercialization of any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80" w:firstLine="510"/>
        <w:spacing w:after="0" w:line="286" w:lineRule="auto"/>
        <w:rPr>
          <w:sz w:val="20"/>
          <w:szCs w:val="20"/>
          <w:color w:val="auto"/>
        </w:rPr>
      </w:pPr>
      <w:r>
        <w:rPr>
          <w:rFonts w:ascii="Arial" w:cs="Arial" w:eastAsia="Arial" w:hAnsi="Arial"/>
          <w:sz w:val="17"/>
          <w:szCs w:val="17"/>
          <w:color w:val="auto"/>
        </w:rPr>
        <w:t>General and administrative expenses consist primarily of personnel-related expenses, facilities expenses, depreciation and amortization expenses and professional services expenses, including legal, human resources, audit, accounting and tax-related services. Personnel and related costs consist of salaries, benefits and stock-based compensation. Facilities costs consist of rent and maintenance of facilities.</w:t>
      </w:r>
    </w:p>
    <w:p>
      <w:pPr>
        <w:spacing w:after="0" w:line="165" w:lineRule="exact"/>
        <w:rPr>
          <w:sz w:val="20"/>
          <w:szCs w:val="20"/>
          <w:color w:val="auto"/>
        </w:rPr>
      </w:pPr>
    </w:p>
    <w:p>
      <w:pPr>
        <w:jc w:val="both"/>
        <w:ind w:right="400" w:firstLine="510"/>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as a result of increased headcount, expanded infrastructure and higher consulting, legal, tax and regulatory-related services associated with maintaining compliance with stock exchange listing and Securities and Exchange Commission, or SEC, requirements, audit and investor relations costs, director and officer insurance premiums and other costs associated with being a public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for Related-Party Revenue</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We incur costs associated with related-party contract research services including direct labor and associated employee benefits, laboratory supplies and other expenses. These costs are recorded in cost of services for related-party transactions as a component of total operating expenses in the accompanying condensed consolidated statements of operations and comprehensive loss.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Our other expense, net, consists of interest income on cash balances, interest expense that primarily includes amortization of deferred debt issuance costs, changes in the fair value of our convertible preferred stock warrant liability and foreign currency re-measurement and transaction gains and losses. Prior to our initial public offering, the underlying shares of our Series B convertible preferred stock warrants were contingently redeemable, and we accounted for these warrants as a liability at fair value and re-measured the fair value at each balance sheet date. As a result of the completion of our initial public offering, the Series B convertible preferred stock warrant liability was reclassified to stockholders’ equity and re-measurement was no longer required.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 and Net Loss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380" w:type="dxa"/>
            <w:vAlign w:val="bottom"/>
            <w:gridSpan w:val="28"/>
          </w:tcPr>
          <w:p>
            <w:pPr>
              <w:jc w:val="center"/>
              <w:ind w:right="340"/>
              <w:spacing w:after="0"/>
              <w:rPr>
                <w:sz w:val="20"/>
                <w:szCs w:val="20"/>
                <w:color w:val="auto"/>
              </w:rPr>
            </w:pPr>
            <w:r>
              <w:rPr>
                <w:rFonts w:ascii="Arial" w:cs="Arial" w:eastAsia="Arial" w:hAnsi="Arial"/>
                <w:sz w:val="18"/>
                <w:szCs w:val="18"/>
                <w:color w:val="auto"/>
                <w:w w:val="90"/>
              </w:rPr>
              <w:t>The following table summarizes our results of operations for the three and nine months ended September 30, 2020 and 2019:</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54"/>
        </w:trPr>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gridSpan w:val="7"/>
          </w:tcPr>
          <w:p>
            <w:pPr>
              <w:jc w:val="right"/>
              <w:ind w:right="181"/>
              <w:spacing w:after="0"/>
              <w:rPr>
                <w:sz w:val="20"/>
                <w:szCs w:val="20"/>
                <w:color w:val="auto"/>
              </w:rPr>
            </w:pPr>
            <w:r>
              <w:rPr>
                <w:rFonts w:ascii="Arial" w:cs="Arial" w:eastAsia="Arial" w:hAnsi="Arial"/>
                <w:sz w:val="18"/>
                <w:szCs w:val="18"/>
                <w:b w:val="1"/>
                <w:bCs w:val="1"/>
                <w:color w:val="auto"/>
                <w:w w:val="94"/>
              </w:rPr>
              <w:t>Three Months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5"/>
          </w:tcPr>
          <w:p>
            <w:pPr>
              <w:jc w:val="right"/>
              <w:ind w:right="241"/>
              <w:spacing w:after="0"/>
              <w:rPr>
                <w:sz w:val="20"/>
                <w:szCs w:val="20"/>
                <w:color w:val="auto"/>
              </w:rPr>
            </w:pPr>
            <w:r>
              <w:rPr>
                <w:rFonts w:ascii="Arial" w:cs="Arial" w:eastAsia="Arial" w:hAnsi="Arial"/>
                <w:sz w:val="18"/>
                <w:szCs w:val="18"/>
                <w:b w:val="1"/>
                <w:bCs w:val="1"/>
                <w:color w:val="auto"/>
                <w:w w:val="91"/>
              </w:rPr>
              <w:t>Nine Months Ended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4"/>
        </w:trPr>
        <w:tc>
          <w:tcPr>
            <w:tcW w:w="2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6"/>
          </w:tcPr>
          <w:p>
            <w:pPr>
              <w:jc w:val="right"/>
              <w:ind w:right="441"/>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ind w:left="360"/>
              <w:spacing w:after="0"/>
              <w:rPr>
                <w:sz w:val="20"/>
                <w:szCs w:val="20"/>
                <w:color w:val="auto"/>
              </w:rPr>
            </w:pPr>
            <w:r>
              <w:rPr>
                <w:rFonts w:ascii="Arial" w:cs="Arial" w:eastAsia="Arial" w:hAnsi="Arial"/>
                <w:sz w:val="18"/>
                <w:szCs w:val="18"/>
                <w:b w:val="1"/>
                <w:bCs w:val="1"/>
                <w:color w:val="auto"/>
                <w:w w:val="96"/>
              </w:rPr>
              <w:t>Change</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5"/>
          </w:tcPr>
          <w:p>
            <w:pPr>
              <w:jc w:val="right"/>
              <w:ind w:right="461"/>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3"/>
          </w:tcPr>
          <w:p>
            <w:pPr>
              <w:ind w:left="420"/>
              <w:spacing w:after="0"/>
              <w:rPr>
                <w:sz w:val="20"/>
                <w:szCs w:val="20"/>
                <w:color w:val="auto"/>
              </w:rPr>
            </w:pPr>
            <w:r>
              <w:rPr>
                <w:rFonts w:ascii="Arial" w:cs="Arial" w:eastAsia="Arial" w:hAnsi="Arial"/>
                <w:sz w:val="18"/>
                <w:szCs w:val="18"/>
                <w:b w:val="1"/>
                <w:bCs w:val="1"/>
                <w:color w:val="auto"/>
                <w:w w:val="93"/>
              </w:rPr>
              <w:t>Change</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2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2020</w:t>
            </w: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2019</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r>
      <w:tr>
        <w:trPr>
          <w:trHeight w:val="223"/>
        </w:trPr>
        <w:tc>
          <w:tcPr>
            <w:tcW w:w="2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Related-party revenue</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(1,256)</w:t>
            </w: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3,583</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(2,401)</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 %</w:t>
            </w:r>
          </w:p>
        </w:tc>
      </w:tr>
      <w:tr>
        <w:trPr>
          <w:trHeight w:val="229"/>
        </w:trPr>
        <w:tc>
          <w:tcPr>
            <w:tcW w:w="27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9"/>
        </w:trPr>
        <w:tc>
          <w:tcPr>
            <w:tcW w:w="2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7,248</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3,543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2,205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6,921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2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services for related</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30"/>
        </w:trPr>
        <w:tc>
          <w:tcPr>
            <w:tcW w:w="2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party revenue</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(1,142)</w:t>
            </w:r>
          </w:p>
        </w:tc>
        <w:tc>
          <w:tcPr>
            <w:tcW w:w="2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3,257</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(2,182)</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 %</w:t>
            </w:r>
          </w:p>
        </w:tc>
      </w:tr>
      <w:tr>
        <w:trPr>
          <w:trHeight w:val="223"/>
        </w:trPr>
        <w:tc>
          <w:tcPr>
            <w:tcW w:w="2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4,290</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5,519</w:t>
            </w:r>
          </w:p>
        </w:tc>
        <w:tc>
          <w:tcPr>
            <w:tcW w:w="2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27,020</w:t>
            </w:r>
          </w:p>
        </w:tc>
        <w:tc>
          <w:tcPr>
            <w:tcW w:w="2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15,033</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11,987</w:t>
            </w:r>
          </w:p>
        </w:tc>
        <w:tc>
          <w:tcPr>
            <w:tcW w:w="2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(3,034</w:t>
            </w:r>
          </w:p>
        </w:tc>
        <w:tc>
          <w:tcPr>
            <w:tcW w:w="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(6,775)</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(25,838</w:t>
            </w:r>
          </w:p>
        </w:tc>
        <w:tc>
          <w:tcPr>
            <w:tcW w:w="200" w:type="dxa"/>
            <w:vAlign w:val="bottom"/>
            <w:shd w:val="clear" w:color="auto" w:fill="CFF0FC"/>
          </w:tcPr>
          <w:p>
            <w:pPr>
              <w:jc w:val="right"/>
              <w:ind w:right="56"/>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(11,450</w:t>
            </w:r>
          </w:p>
        </w:tc>
        <w:tc>
          <w:tcPr>
            <w:tcW w:w="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(14,388</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74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19"/>
                <w:szCs w:val="19"/>
                <w:color w:val="auto"/>
              </w:rPr>
            </w:pPr>
          </w:p>
        </w:tc>
      </w:tr>
      <w:tr>
        <w:trPr>
          <w:trHeight w:val="229"/>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56"/>
              <w:spacing w:after="0"/>
              <w:rPr>
                <w:sz w:val="20"/>
                <w:szCs w:val="20"/>
                <w:color w:val="auto"/>
              </w:rPr>
            </w:pPr>
            <w:r>
              <w:rPr>
                <w:rFonts w:ascii="Arial" w:cs="Arial" w:eastAsia="Arial" w:hAnsi="Arial"/>
                <w:sz w:val="18"/>
                <w:szCs w:val="18"/>
                <w:color w:val="auto"/>
              </w:rPr>
              <w:t>(409)</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320" w:type="dxa"/>
            <w:vAlign w:val="bottom"/>
            <w:shd w:val="clear" w:color="auto" w:fill="CFF0FC"/>
          </w:tcPr>
          <w:p>
            <w:pPr>
              <w:spacing w:after="0"/>
              <w:rPr>
                <w:sz w:val="19"/>
                <w:szCs w:val="19"/>
                <w:color w:val="auto"/>
              </w:rPr>
            </w:pPr>
          </w:p>
        </w:tc>
      </w:tr>
      <w:tr>
        <w:trPr>
          <w:trHeight w:val="223"/>
        </w:trPr>
        <w:tc>
          <w:tcPr>
            <w:tcW w:w="27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(10,146)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(7,110)</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(26,907)</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(11,454)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(15,453)</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56"/>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(25)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7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(10,181)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(7,137)</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(26,966)</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(11,479)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(15,487)</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Cumulative dividends allocated to</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30"/>
        </w:trPr>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stockholders</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(1,071)</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 %</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56"/>
              <w:spacing w:after="0"/>
              <w:rPr>
                <w:sz w:val="20"/>
                <w:szCs w:val="20"/>
                <w:color w:val="auto"/>
              </w:rPr>
            </w:pPr>
            <w:r>
              <w:rPr>
                <w:rFonts w:ascii="Arial" w:cs="Arial" w:eastAsia="Arial" w:hAnsi="Arial"/>
                <w:sz w:val="18"/>
                <w:szCs w:val="18"/>
                <w:color w:val="auto"/>
              </w:rPr>
              <w:t>(5,202)</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(2,957)</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(2,245)</w:t>
            </w: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2740" w:type="dxa"/>
            <w:vAlign w:val="bottom"/>
          </w:tcPr>
          <w:p>
            <w:pPr>
              <w:spacing w:after="0"/>
              <w:rPr>
                <w:sz w:val="20"/>
                <w:szCs w:val="20"/>
                <w:color w:val="auto"/>
              </w:rPr>
            </w:pPr>
            <w:r>
              <w:rPr>
                <w:rFonts w:ascii="Arial" w:cs="Arial" w:eastAsia="Arial" w:hAnsi="Arial"/>
                <w:sz w:val="18"/>
                <w:szCs w:val="18"/>
                <w:color w:val="auto"/>
              </w:rPr>
              <w:t>Net loss attributable to common</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rPr>
              <w:t>stockholders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(10,759)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(4,115)</w:t>
            </w:r>
          </w:p>
        </w:tc>
        <w:tc>
          <w:tcPr>
            <w:tcW w:w="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(6,644)</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6"/>
              <w:spacing w:after="0"/>
              <w:rPr>
                <w:sz w:val="20"/>
                <w:szCs w:val="20"/>
                <w:color w:val="auto"/>
              </w:rPr>
            </w:pPr>
            <w:r>
              <w:rPr>
                <w:rFonts w:ascii="Arial" w:cs="Arial" w:eastAsia="Arial" w:hAnsi="Arial"/>
                <w:sz w:val="18"/>
                <w:szCs w:val="18"/>
                <w:color w:val="auto"/>
              </w:rPr>
              <w:t>(32,168)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(14,436)</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(17,732)</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 not meaningful</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of the Three Months Ended September 30,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Related-Party Revenue</w:t>
      </w:r>
    </w:p>
    <w:p>
      <w:pPr>
        <w:spacing w:after="0" w:line="117"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Related-party revenue for the three months ended September 30, 2020 and 2019, was zero and $1.3 million, respectively, which was generated solely from payments received for reimbursement of research and development expenses pursuant to the Research and Development Services Agreement with Tallac Therapeutics, or Tollnine Agreement, as further described in Note 9 to our condensed consolidated financial statements appearing elsewhere in this Quarterly Report on Form 10-Q. The decrease of $1.3 million was due to the termination of the Tollnine Agreement on July 1, 2020.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our research and development expenses incurred for the three months ended September 30, 2020 and 2019:</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4260" w:type="dxa"/>
            <w:vAlign w:val="bottom"/>
          </w:tcPr>
          <w:p>
            <w:pPr>
              <w:spacing w:after="0"/>
              <w:rPr>
                <w:sz w:val="19"/>
                <w:szCs w:val="19"/>
                <w:color w:val="auto"/>
              </w:rPr>
            </w:pPr>
          </w:p>
        </w:tc>
        <w:tc>
          <w:tcPr>
            <w:tcW w:w="2280" w:type="dxa"/>
            <w:vAlign w:val="bottom"/>
            <w:gridSpan w:val="5"/>
          </w:tcPr>
          <w:p>
            <w:pPr>
              <w:jc w:val="right"/>
              <w:ind w:right="38"/>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4"/>
        </w:trPr>
        <w:tc>
          <w:tcPr>
            <w:tcW w:w="42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98"/>
              <w:spacing w:after="0"/>
              <w:rPr>
                <w:sz w:val="20"/>
                <w:szCs w:val="20"/>
                <w:color w:val="auto"/>
              </w:rPr>
            </w:pPr>
            <w:r>
              <w:rPr>
                <w:rFonts w:ascii="Arial" w:cs="Arial" w:eastAsia="Arial" w:hAnsi="Arial"/>
                <w:sz w:val="18"/>
                <w:szCs w:val="18"/>
                <w:b w:val="1"/>
                <w:bCs w:val="1"/>
                <w:color w:val="auto"/>
                <w:w w:val="87"/>
              </w:rPr>
              <w:t>September 30,</w:t>
            </w:r>
          </w:p>
        </w:tc>
        <w:tc>
          <w:tcPr>
            <w:tcW w:w="4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r>
      <w:tr>
        <w:trPr>
          <w:trHeight w:val="223"/>
        </w:trPr>
        <w:tc>
          <w:tcPr>
            <w:tcW w:w="4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r>
      <w:tr>
        <w:trPr>
          <w:trHeight w:val="223"/>
        </w:trPr>
        <w:tc>
          <w:tcPr>
            <w:tcW w:w="4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Clinical and development costs</w:t>
            </w: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4,612</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3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1,717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Personnel and related costs</w:t>
            </w: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8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(384)</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300" w:type="dxa"/>
            <w:vAlign w:val="bottom"/>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Other research and development costs</w:t>
            </w: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23"/>
        </w:trPr>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80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5,328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3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2,210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N/M - not meaningful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ind w:firstLine="510"/>
        <w:spacing w:after="0" w:line="301" w:lineRule="auto"/>
        <w:rPr>
          <w:sz w:val="20"/>
          <w:szCs w:val="20"/>
          <w:color w:val="auto"/>
        </w:rPr>
      </w:pPr>
      <w:r>
        <w:rPr>
          <w:rFonts w:ascii="Arial" w:cs="Arial" w:eastAsia="Arial" w:hAnsi="Arial"/>
          <w:sz w:val="16"/>
          <w:szCs w:val="16"/>
          <w:color w:val="auto"/>
        </w:rPr>
        <w:t>Research and development expenses for the three months ended September 30, 2020 was $5.3 million, compared to $2.2 million for the three months ended September 30, 2019. The increase of $3.1 million was primarily attributable to an increase of $2.9 million in clinical and development costs due to higher expenses associated with increased pre-clinical, clinical and other research costs in advancement of our current lead product candidate, ALX148, and an increase of $0.6 million in personnel-related costs, partially offset by a decrease of $0.4 million in stock-based compensation expense.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general and administrative expenses incurred for the three months ended September 30, 2020 and 2019:</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4260" w:type="dxa"/>
            <w:vAlign w:val="bottom"/>
          </w:tcPr>
          <w:p>
            <w:pPr>
              <w:spacing w:after="0"/>
              <w:rPr>
                <w:sz w:val="19"/>
                <w:szCs w:val="19"/>
                <w:color w:val="auto"/>
              </w:rPr>
            </w:pPr>
          </w:p>
        </w:tc>
        <w:tc>
          <w:tcPr>
            <w:tcW w:w="2340" w:type="dxa"/>
            <w:vAlign w:val="bottom"/>
            <w:gridSpan w:val="4"/>
          </w:tcPr>
          <w:p>
            <w:pPr>
              <w:jc w:val="right"/>
              <w:ind w:right="98"/>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4"/>
        </w:trPr>
        <w:tc>
          <w:tcPr>
            <w:tcW w:w="42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September 30,</w:t>
            </w:r>
          </w:p>
        </w:tc>
        <w:tc>
          <w:tcPr>
            <w:tcW w:w="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r>
      <w:tr>
        <w:trPr>
          <w:trHeight w:val="223"/>
        </w:trPr>
        <w:tc>
          <w:tcPr>
            <w:tcW w:w="4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r>
      <w:tr>
        <w:trPr>
          <w:trHeight w:val="223"/>
        </w:trPr>
        <w:tc>
          <w:tcPr>
            <w:tcW w:w="4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Personnel and related costs</w:t>
            </w: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ind w:left="20"/>
              <w:spacing w:after="0"/>
              <w:rPr>
                <w:sz w:val="20"/>
                <w:szCs w:val="20"/>
                <w:color w:val="auto"/>
              </w:rPr>
            </w:pPr>
            <w:r>
              <w:rPr>
                <w:rFonts w:ascii="Arial" w:cs="Arial" w:eastAsia="Arial" w:hAnsi="Arial"/>
                <w:sz w:val="18"/>
                <w:szCs w:val="18"/>
                <w:color w:val="auto"/>
                <w:w w:val="84"/>
              </w:rPr>
              <w:t>1,339</w:t>
            </w:r>
          </w:p>
        </w:tc>
        <w:tc>
          <w:tcPr>
            <w:tcW w:w="1120" w:type="dxa"/>
            <w:vAlign w:val="bottom"/>
            <w:gridSpan w:val="2"/>
            <w:shd w:val="clear" w:color="auto" w:fill="CFF0FC"/>
          </w:tcPr>
          <w:p>
            <w:pPr>
              <w:jc w:val="right"/>
              <w:ind w:right="69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84"/>
              </w:rPr>
              <w:t>1,048</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19"/>
                <w:szCs w:val="19"/>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 costs</w:t>
            </w:r>
          </w:p>
        </w:tc>
        <w:tc>
          <w:tcPr>
            <w:tcW w:w="8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4"/>
              </w:rPr>
              <w:t>2,094</w:t>
            </w:r>
          </w:p>
        </w:tc>
        <w:tc>
          <w:tcPr>
            <w:tcW w:w="26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Total general and administrative expenses</w:t>
            </w: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4"/>
              </w:rPr>
              <w:t>4,481</w:t>
            </w:r>
          </w:p>
        </w:tc>
        <w:tc>
          <w:tcPr>
            <w:tcW w:w="260" w:type="dxa"/>
            <w:vAlign w:val="bottom"/>
          </w:tcPr>
          <w:p>
            <w:pPr>
              <w:spacing w:after="0"/>
              <w:rPr>
                <w:sz w:val="19"/>
                <w:szCs w:val="19"/>
                <w:color w:val="auto"/>
              </w:rPr>
            </w:pPr>
          </w:p>
        </w:tc>
        <w:tc>
          <w:tcPr>
            <w:tcW w:w="860" w:type="dxa"/>
            <w:vAlign w:val="bottom"/>
            <w:tcBorders>
              <w:bottom w:val="single" w:sz="8" w:color="auto"/>
            </w:tcBorders>
          </w:tcPr>
          <w:p>
            <w:pPr>
              <w:jc w:val="right"/>
              <w:ind w:right="698"/>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N/M - not meaningful</w:t>
      </w:r>
    </w:p>
    <w:p>
      <w:pPr>
        <w:spacing w:after="0" w:line="279"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General and administrative expenses for the three months ended September 30, 2020 was $4.5 million, compared to $0.9 million during the three months ended September 30, 2019. This increase of $3.5 million was primarily attributable to an increase in stock-based compensation expense of $1.0 million which consists of $0.2 million related to the modification of stock option awards for a former employee as well as additional stock option awards granted in 2020 at higher fair values, and an increase in other general and administrative costs of $1.3 million, which includes higher professional service costs of $0.6 million primarily associated with accounting and legal activities and $0.4 million in directors and officers liability insurance premium. In addition, we incurred increased personnel-related costs of $1.2 million due to higher headcount.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Services for Related-Party Revenue</w:t>
      </w:r>
    </w:p>
    <w:p>
      <w:pPr>
        <w:spacing w:after="0" w:line="117" w:lineRule="exact"/>
        <w:rPr>
          <w:sz w:val="20"/>
          <w:szCs w:val="20"/>
          <w:color w:val="auto"/>
        </w:rPr>
      </w:pPr>
    </w:p>
    <w:p>
      <w:pPr>
        <w:ind w:right="380" w:firstLine="510"/>
        <w:spacing w:after="0" w:line="342" w:lineRule="auto"/>
        <w:rPr>
          <w:sz w:val="20"/>
          <w:szCs w:val="20"/>
          <w:color w:val="auto"/>
        </w:rPr>
      </w:pPr>
      <w:r>
        <w:rPr>
          <w:rFonts w:ascii="Arial" w:cs="Arial" w:eastAsia="Arial" w:hAnsi="Arial"/>
          <w:sz w:val="16"/>
          <w:szCs w:val="16"/>
          <w:color w:val="auto"/>
        </w:rPr>
        <w:t>Cost of services for related-party revenue for the three months ended September 30, 2020 was zero, compared to $1.1 million during the three months ended September 30, 2019. This decrease of $1.1 million was due to the termination of the Tollnine Agreement effective July 1, 2020.</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of the Nine months ended September 30,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Related-Party Revenue</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Related-party revenue for the nine months ended September 30, 2020 and 2019, was $1.2 million and $3.6 million, respectively, which was generated solely from payments received for reimbursement of research and development expenses pursuant to the Tollnine Agreement, as further described in Note 9 to our condensed consolidated financial statements appearing elsewhere in this Quarterly Report on Form 10-Q. The decrease of $2.4 million relates to decreased fee-for-service hours provided to Tallac Therapeutics as a result of winding down the Tollnine Agreement, which was terminated on July 1, 2020.</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166"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our research and development expenses incurred for the nine months ended September 30, 2020 and 2019:</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4"/>
        </w:trPr>
        <w:tc>
          <w:tcPr>
            <w:tcW w:w="4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r>
      <w:tr>
        <w:trPr>
          <w:trHeight w:val="223"/>
        </w:trPr>
        <w:tc>
          <w:tcPr>
            <w:tcW w:w="4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2019</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r>
      <w:tr>
        <w:trPr>
          <w:trHeight w:val="223"/>
        </w:trPr>
        <w:tc>
          <w:tcPr>
            <w:tcW w:w="4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Clinical and development costs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11,913</w:t>
            </w:r>
          </w:p>
        </w:tc>
        <w:tc>
          <w:tcPr>
            <w:tcW w:w="680" w:type="dxa"/>
            <w:vAlign w:val="bottom"/>
            <w:gridSpan w:val="2"/>
            <w:shd w:val="clear" w:color="auto" w:fill="CFF0FC"/>
          </w:tcPr>
          <w:p>
            <w:pPr>
              <w:jc w:val="right"/>
              <w:ind w:right="25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Personnel and related costs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2,741</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300" w:type="dxa"/>
            <w:vAlign w:val="bottom"/>
            <w:shd w:val="clear" w:color="auto" w:fill="CFF0FC"/>
          </w:tcPr>
          <w:p>
            <w:pPr>
              <w:spacing w:after="0"/>
              <w:rPr>
                <w:sz w:val="19"/>
                <w:szCs w:val="19"/>
                <w:color w:val="auto"/>
              </w:rPr>
            </w:pPr>
          </w:p>
        </w:tc>
      </w:tr>
      <w:tr>
        <w:trPr>
          <w:trHeight w:val="230"/>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research and development costs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16,819</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58"/>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9,571</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7,248</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N/M - not meaningful</w:t>
      </w:r>
    </w:p>
    <w:p>
      <w:pPr>
        <w:spacing w:after="0" w:line="279"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Research and development expenses for the nine months ended September 30, 2020 was $16.8 million, compared to $9.6 million for the nine months ended September 30, 2019. The increase of $7.2 million was primarily attributable to an increase of $4.1 million in clinical and development costs primarily due to increased pre-clinical, clinical, and other research costs in advancement of our lead product candidate, ALX148, as well as an increase of $1.9 million in stock-based compensation expense primarily resulting from additional stock option awards granted in 2020 at higher fair values and the modification of stock option awards for former employees who transferred to Tallac Therapeutics, which increased stock-based compensation expense by $1.3 million. In addition, we incurred increased personnel-related costs of $1.1 million due to higher headcount.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our general and administrative expenses incurred for the nine months ended September 30, 2020 and 2019:</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4260" w:type="dxa"/>
            <w:vAlign w:val="bottom"/>
          </w:tcPr>
          <w:p>
            <w:pPr>
              <w:spacing w:after="0"/>
              <w:rPr>
                <w:sz w:val="19"/>
                <w:szCs w:val="19"/>
                <w:color w:val="auto"/>
              </w:rPr>
            </w:pPr>
          </w:p>
        </w:tc>
        <w:tc>
          <w:tcPr>
            <w:tcW w:w="2280" w:type="dxa"/>
            <w:vAlign w:val="bottom"/>
            <w:gridSpan w:val="4"/>
          </w:tcPr>
          <w:p>
            <w:pPr>
              <w:jc w:val="right"/>
              <w:ind w:right="78"/>
              <w:spacing w:after="0"/>
              <w:rPr>
                <w:sz w:val="20"/>
                <w:szCs w:val="20"/>
                <w:color w:val="auto"/>
              </w:rPr>
            </w:pPr>
            <w:r>
              <w:rPr>
                <w:rFonts w:ascii="Arial" w:cs="Arial" w:eastAsia="Arial" w:hAnsi="Arial"/>
                <w:sz w:val="18"/>
                <w:szCs w:val="18"/>
                <w:b w:val="1"/>
                <w:bCs w:val="1"/>
                <w:color w:val="auto"/>
              </w:rPr>
              <w:t>Nine Months Ended</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4"/>
        </w:trPr>
        <w:tc>
          <w:tcPr>
            <w:tcW w:w="42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r>
      <w:tr>
        <w:trPr>
          <w:trHeight w:val="223"/>
        </w:trPr>
        <w:tc>
          <w:tcPr>
            <w:tcW w:w="4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r>
      <w:tr>
        <w:trPr>
          <w:trHeight w:val="223"/>
        </w:trPr>
        <w:tc>
          <w:tcPr>
            <w:tcW w:w="4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Personnel and related costs</w:t>
            </w: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ind w:left="20"/>
              <w:spacing w:after="0"/>
              <w:rPr>
                <w:sz w:val="20"/>
                <w:szCs w:val="20"/>
                <w:color w:val="auto"/>
              </w:rPr>
            </w:pPr>
            <w:r>
              <w:rPr>
                <w:rFonts w:ascii="Arial" w:cs="Arial" w:eastAsia="Arial" w:hAnsi="Arial"/>
                <w:sz w:val="18"/>
                <w:szCs w:val="18"/>
                <w:color w:val="auto"/>
                <w:w w:val="84"/>
              </w:rPr>
              <w:t>2,577</w:t>
            </w:r>
          </w:p>
        </w:tc>
        <w:tc>
          <w:tcPr>
            <w:tcW w:w="1060" w:type="dxa"/>
            <w:vAlign w:val="bottom"/>
            <w:gridSpan w:val="2"/>
            <w:shd w:val="clear" w:color="auto" w:fill="CFF0FC"/>
          </w:tcPr>
          <w:p>
            <w:pPr>
              <w:jc w:val="right"/>
              <w:ind w:right="63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84"/>
              </w:rPr>
              <w:t>1,685</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19"/>
                <w:szCs w:val="19"/>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 costs</w:t>
            </w:r>
          </w:p>
        </w:tc>
        <w:tc>
          <w:tcPr>
            <w:tcW w:w="8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4"/>
              </w:rPr>
              <w:t>4,864</w:t>
            </w:r>
          </w:p>
        </w:tc>
        <w:tc>
          <w:tcPr>
            <w:tcW w:w="2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1,582</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3,282</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Total general and administrative expenses</w:t>
            </w: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4"/>
              </w:rPr>
              <w:t>9,126</w:t>
            </w: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ind w:right="638"/>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2,205</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6,921</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N/M - not meaningful</w:t>
      </w:r>
    </w:p>
    <w:p>
      <w:pPr>
        <w:spacing w:after="0" w:line="266"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General and administrative expenses for the nine months ended September 30, 2020 was $9.1 million, compared to $2.2 million during the nine months ended September 30, 2019. This increase of $6.9 million was primarily attributable to an increase in other general and administrative costs of $3.3 million, which includes higher professional service fees of $2.2 million associated with increased accounting, legal and recruiting activities, as well as $0.5 million of directors and officers liability insurance premium. In addition, we incurred increased stock-based compensation expense of $1.7 million which consists of $0.4 million related to the modification of stock option awards for former employees as well as additional stock option awards granted in 2020 at higher fair values. Additionally, we incurred increased personnel-related costs of $2.0 million due to higher headcount.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Services for Related-Party Revenue</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Cost of services for related-party revenue for the nine months ended September 30, 2020 was $1.1 million, compared to $3.3 million during the nine months ended September 30, 2019. This decrease of $2.2 million was attributable to decreased fee-for-service hours provided to Tallac Therapeutics as a result of winding down the Tollnine Agreement, which was terminated on July 1, 2020.</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marketing approval of any of our product candidates. To date, we have funded our operations with proceeds from the sales of shares of our common stock and convertible preferred stock and borrowings under our term loan. In July 2020, we consummated our initial public offering, raising net proceeds of $169.5 million, after deducting underwriting discounts and commissions of $13.0 million and offering-related expenses of $3.2 million. Through September 30, 2020, we had received net proceeds of $175.1 million from sales of our common stock and convertible preferred stock, net proceeds of $5.8 million borrowings under our term loan, and net proceeds of $169.5 million from our initial public offering. As of September 30, 2020, we had cash and cash equivalents of $259.5 million.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Silicon Valley Bank and WestRiver Group Loan and Security Agreement</w:t>
      </w:r>
    </w:p>
    <w:p>
      <w:pPr>
        <w:spacing w:after="0" w:line="117"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Our wholly-owned subsidiaries ALX Oncology Limited, Alexo Therapeutics International and Sirpant Therapeutics, as borrowers, entered into the Loan and Security Agreement, or the Loan Agreement, dated as of December 20, 2019, with Silicon Valley Bank, or SVB, and WestRiver Innovation Lending Fund VIII, LP, or WestRiver, collectively as lenders, and SVB, as administrative agent and collateral agent. As a result of the internal reorganization, in May 2020 we entered into a Joinder and First Amendment to the Loan and Security Agreement, or the Joinder Amendment, and Amended and Restated Warrants to Purchase Stock, or the Amended Warrants. The purpose for entering into the Joinder Amendment was to add us, as a new incorporated company, as additional borrower to the Loan Agreement. Concurrently, we modified the Amended Warrants to change the issuer from ALX Oncology Limited to us.</w:t>
      </w:r>
    </w:p>
    <w:p>
      <w:pPr>
        <w:spacing w:after="0" w:line="195" w:lineRule="exact"/>
        <w:rPr>
          <w:sz w:val="20"/>
          <w:szCs w:val="20"/>
          <w:color w:val="auto"/>
        </w:rPr>
      </w:pPr>
    </w:p>
    <w:p>
      <w:pPr>
        <w:ind w:right="340" w:firstLine="514"/>
        <w:spacing w:after="0" w:line="301" w:lineRule="auto"/>
        <w:rPr>
          <w:sz w:val="20"/>
          <w:szCs w:val="20"/>
          <w:color w:val="auto"/>
        </w:rPr>
      </w:pPr>
      <w:r>
        <w:rPr>
          <w:rFonts w:ascii="Arial" w:cs="Arial" w:eastAsia="Arial" w:hAnsi="Arial"/>
          <w:sz w:val="16"/>
          <w:szCs w:val="16"/>
          <w:color w:val="auto"/>
        </w:rPr>
        <w:t>The Loan Agreement provided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our achievement of an equity financing resulting in net cash proceeds in an amount of at least $30.0 million to us. We elected not to draw down on the second tranche, which is no longer available.</w:t>
      </w:r>
    </w:p>
    <w:p>
      <w:pPr>
        <w:spacing w:after="0" w:line="157" w:lineRule="exact"/>
        <w:rPr>
          <w:sz w:val="20"/>
          <w:szCs w:val="20"/>
          <w:color w:val="auto"/>
        </w:rPr>
      </w:pPr>
    </w:p>
    <w:p>
      <w:pPr>
        <w:ind w:right="260" w:firstLine="514"/>
        <w:spacing w:after="0" w:line="263" w:lineRule="auto"/>
        <w:rPr>
          <w:sz w:val="20"/>
          <w:szCs w:val="20"/>
          <w:color w:val="auto"/>
        </w:rPr>
      </w:pPr>
      <w:r>
        <w:rPr>
          <w:rFonts w:ascii="Arial" w:cs="Arial" w:eastAsia="Arial" w:hAnsi="Arial"/>
          <w:sz w:val="18"/>
          <w:szCs w:val="18"/>
          <w:color w:val="auto"/>
        </w:rPr>
        <w:t>The loans under the Loan Agreement bear interest at a floating per annum interest rate equal to the greater of 7.0% or 2.0% plus the prime rate as reported in The Wall Street Journal. The Wall Street Journal prime rate was 3.25% as of September 30, 2020. Therefore, the rate applicable to us as of September 30, 2020 was 7.0%.</w:t>
      </w:r>
    </w:p>
    <w:p>
      <w:pPr>
        <w:spacing w:after="0" w:line="184" w:lineRule="exact"/>
        <w:rPr>
          <w:sz w:val="20"/>
          <w:szCs w:val="20"/>
          <w:color w:val="auto"/>
        </w:rPr>
      </w:pPr>
    </w:p>
    <w:p>
      <w:pPr>
        <w:ind w:right="120" w:firstLine="514"/>
        <w:spacing w:after="0" w:line="257" w:lineRule="auto"/>
        <w:rPr>
          <w:sz w:val="20"/>
          <w:szCs w:val="20"/>
          <w:color w:val="auto"/>
        </w:rPr>
      </w:pPr>
      <w:r>
        <w:rPr>
          <w:rFonts w:ascii="Arial" w:cs="Arial" w:eastAsia="Arial" w:hAnsi="Arial"/>
          <w:sz w:val="18"/>
          <w:szCs w:val="18"/>
          <w:color w:val="auto"/>
        </w:rPr>
        <w:t>We are required to make interest-only payments for the first 12 months after the closing of the Loan Agreement,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we elect to prepay the term loans, there is also a prepayment fee of between 1.0% and 3.0% of the principal amount being prepaid depending on the timing and circumstances of prepayment.</w:t>
      </w:r>
    </w:p>
    <w:p>
      <w:pPr>
        <w:spacing w:after="0" w:line="188" w:lineRule="exact"/>
        <w:rPr>
          <w:sz w:val="20"/>
          <w:szCs w:val="20"/>
          <w:color w:val="auto"/>
        </w:rPr>
      </w:pPr>
    </w:p>
    <w:p>
      <w:pPr>
        <w:ind w:right="20" w:firstLine="514"/>
        <w:spacing w:after="0" w:line="288" w:lineRule="auto"/>
        <w:rPr>
          <w:sz w:val="20"/>
          <w:szCs w:val="20"/>
          <w:color w:val="auto"/>
        </w:rPr>
      </w:pPr>
      <w:r>
        <w:rPr>
          <w:rFonts w:ascii="Arial" w:cs="Arial" w:eastAsia="Arial" w:hAnsi="Arial"/>
          <w:sz w:val="16"/>
          <w:szCs w:val="16"/>
          <w:color w:val="auto"/>
        </w:rPr>
        <w:t>In conjunction with the Loan Agreement, we have issued warrants to purchase 61,292 Series B convertible preferred stock to SVB and WestRiver with an exercise price of $9.4972 per share. Following our initial public offering, these warrants were automatically converted to warrants to purchase 61,292 shares of common stock at an exercise price of $9.4972 per share. The estimated fair value of the warrants at the date of issuance was approximately $0.4 million. We revalued the Series B convertible preferred stock warrants as of the completion of the initial public offering and reclassified the outstanding preferred stock warrant liability balance of $1.0 million to additional paid-in capital with no further re-measurement required as the common stock warrants are considered permanent equity effective July 16,2020. The fair value of the common stock warrant was determined using a Black-Scholes option-pricing model with the following assumptions: an expected term of 9.8 years, a volatility of 84.2%, a dividend rate of zero and a risk-free rate of 0.6%. The changes in fair value was recognized as a component of other expense, net in the accompanying condensed consolidated statement of operations and comprehensive loss. On August 17, 2020, SVB and WestRiver delivered the Notice of Exercise for net exercise of 61,292 warrants at an exercise price of $9.4972 per share. Accordingly, we issued 48,932 shares of our common stock.</w:t>
      </w:r>
    </w:p>
    <w:p>
      <w:pPr>
        <w:spacing w:after="0" w:line="168" w:lineRule="exact"/>
        <w:rPr>
          <w:sz w:val="20"/>
          <w:szCs w:val="20"/>
          <w:color w:val="auto"/>
        </w:rPr>
      </w:pPr>
    </w:p>
    <w:p>
      <w:pPr>
        <w:ind w:firstLine="514"/>
        <w:spacing w:after="0" w:line="277" w:lineRule="auto"/>
        <w:rPr>
          <w:sz w:val="20"/>
          <w:szCs w:val="20"/>
          <w:color w:val="auto"/>
        </w:rPr>
      </w:pPr>
      <w:r>
        <w:rPr>
          <w:rFonts w:ascii="Arial" w:cs="Arial" w:eastAsia="Arial" w:hAnsi="Arial"/>
          <w:sz w:val="18"/>
          <w:szCs w:val="18"/>
          <w:color w:val="auto"/>
        </w:rPr>
        <w:t>The loans under the Loan Agreement are secured by substantially all of our assets, except our intellectual property, which is the subject of a negative pledge.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1" w:name="page32"/>
    <w:bookmarkEnd w:id="31"/>
    <w:p>
      <w:pPr>
        <w:ind w:right="120" w:firstLine="514"/>
        <w:spacing w:after="0" w:line="289" w:lineRule="auto"/>
        <w:rPr>
          <w:sz w:val="20"/>
          <w:szCs w:val="20"/>
          <w:color w:val="auto"/>
        </w:rPr>
      </w:pPr>
      <w:r>
        <w:rPr>
          <w:rFonts w:ascii="Arial" w:cs="Arial" w:eastAsia="Arial" w:hAnsi="Arial"/>
          <w:sz w:val="16"/>
          <w:szCs w:val="16"/>
          <w:color w:val="auto"/>
        </w:rPr>
        <w:t>We determined that certain loan features were embedded derivatives requiring bifurcation and separate accounting. Those embedded derivatives were bundled together as a single, compound embedded derivative and then bifurcated and accounted for separately from the host contract. We recorded a term loan compound derivative liability of $51,000, which is marked-to-market at each reporting date. We calculated the fair values of the compound derivative by computing the difference between the fair value of the term loans and the compound derivative using the “with and without” method under the income approach, and the fair value of the term loans without the compound derivative. We calculated the fair values using a probability-weighted discounted cash flow analysis. The key valuation assumptions used consist of the discount rate and the probability of a change in control event. The term loan compound derivative liability is being remeasured at each financial reporting period with any changes in fair value being recognized as a component of other expense, net in the condensed consolidated statements of operations and comprehensive loss. As of September 30, 2020, the fair value of the compound derivative liability was approximately $43,000 and was recorded in other non-current liabilities on the condensed consolidated balance sheets.</w:t>
      </w:r>
    </w:p>
    <w:p>
      <w:pPr>
        <w:spacing w:after="0" w:line="166"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fair value of Series B convertible preferred stock warrant liability at issuance, fair value of embedded derivatives which were bifurcated and other debt issuance costs have been treated as debt discounts on our consolidated balance sheets and together with the final payment are being amortized to interest expense throughout the life of the term loans using the effective interest rate method.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We have incurred losses and negative cash flows from operations since inception and anticipate that we will continue to incur net losses for the foreseeable future. As of September 30, 2020, we had an accumulated deficit of $99.7 million. We expect our expenses to increase substantially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spacing w:after="0" w:line="84"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outcome of regulatory review of our product candidates;</w:t>
      </w:r>
    </w:p>
    <w:p>
      <w:pPr>
        <w:spacing w:after="0" w:line="117" w:lineRule="exact"/>
        <w:rPr>
          <w:rFonts w:ascii="Arial" w:cs="Arial" w:eastAsia="Arial" w:hAnsi="Arial"/>
          <w:sz w:val="18"/>
          <w:szCs w:val="18"/>
          <w:color w:val="auto"/>
        </w:rPr>
      </w:pPr>
    </w:p>
    <w:p>
      <w:pPr>
        <w:ind w:left="1000" w:right="74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agreements with third-party manufacturers for clinical supply for our clinical trials and, if any of our product candidates are approved, commercial manufacturing;</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 and retention of key research and development personnel;</w:t>
      </w:r>
    </w:p>
    <w:p>
      <w:pPr>
        <w:spacing w:after="0" w:line="117"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efforts to enhance operational, financial and information management systems, and hire additional personnel, including personnel to support development of our product candidates;</w:t>
      </w:r>
    </w:p>
    <w:p>
      <w:pPr>
        <w:spacing w:after="0" w:line="62"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obtain marketing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legal patent costs involved in prosecuting patent applications and enforcing patent claims and other intellectual property claims;</w:t>
      </w:r>
    </w:p>
    <w:p>
      <w:pPr>
        <w:spacing w:after="0" w:line="128" w:lineRule="exact"/>
        <w:rPr>
          <w:rFonts w:ascii="Arial" w:cs="Arial" w:eastAsia="Arial" w:hAnsi="Arial"/>
          <w:sz w:val="17"/>
          <w:szCs w:val="17"/>
          <w:color w:val="auto"/>
        </w:rPr>
      </w:pPr>
    </w:p>
    <w:p>
      <w:pPr>
        <w:ind w:left="1000" w:right="68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and royalty payments thereunder;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the COVID-19 pandemic, which may exacerbate the magnitude of the factors discussed above.</w:t>
      </w:r>
    </w:p>
    <w:p>
      <w:pPr>
        <w:spacing w:after="0" w:line="225"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Until such time, if ever, as we can generate substantial product revenue, we expect to finance our operations through a combination of equity offerings, debt financings, collaborations, strategic alliances and marketing, distribution or licensing arrangements. We do not currently have any committed external source of funds. Our ability to raise additional capital may be adversely impacted by potential worsening global economic conditions and the recent disruptions to and volatility in the credit and financial markets in the United States and worldwide resulting from the ongoing COVID-19 pandemic.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 w:name="page33"/>
    <w:bookmarkEnd w:id="32"/>
    <w:p>
      <w:pPr>
        <w:ind w:right="20" w:firstLine="510"/>
        <w:spacing w:after="0" w:line="254" w:lineRule="auto"/>
        <w:rPr>
          <w:sz w:val="20"/>
          <w:szCs w:val="20"/>
          <w:color w:val="auto"/>
        </w:rPr>
      </w:pPr>
      <w:r>
        <w:rPr>
          <w:rFonts w:ascii="Arial" w:cs="Arial" w:eastAsia="Arial" w:hAnsi="Arial"/>
          <w:sz w:val="18"/>
          <w:szCs w:val="18"/>
          <w:color w:val="auto"/>
        </w:rPr>
        <w:t>In July 2020, we completed our initial public offering pursuant to a registration statement on Form S-1.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 We believe our existing cash and cash equivalents will enable us to fund our operating expenses and capital expenditure requirements through 2023. We have based these estimates on assumptions that may prove to be wrong, and we could utilize our available capital resources sooner than we expect. Our Loan Agreement includes covenants limiting or restricting our ability to take specific actions, such as incurring additional debt.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summary of the net cash flow activity for the nine months ended September 30, 2020 and 2019:</w:t>
      </w:r>
    </w:p>
    <w:p>
      <w:pPr>
        <w:spacing w:after="0" w:line="248"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14605</wp:posOffset>
            </wp:positionV>
            <wp:extent cx="1534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34160" cy="8890"/>
                    </a:xfrm>
                    <a:prstGeom prst="rect">
                      <a:avLst/>
                    </a:prstGeom>
                    <a:noFill/>
                  </pic:spPr>
                </pic:pic>
              </a:graphicData>
            </a:graphic>
          </wp:anchor>
        </w:drawing>
      </w:r>
    </w:p>
    <w:p>
      <w:pPr>
        <w:spacing w:after="0" w:line="11" w:lineRule="exact"/>
        <w:rPr>
          <w:sz w:val="20"/>
          <w:szCs w:val="20"/>
          <w:color w:val="auto"/>
        </w:rPr>
      </w:pPr>
    </w:p>
    <w:p>
      <w:pPr>
        <w:ind w:left="7420"/>
        <w:spacing w:after="0"/>
        <w:tabs>
          <w:tab w:leader="none" w:pos="87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17145</wp:posOffset>
            </wp:positionV>
            <wp:extent cx="1534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6"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(in thousands)</w:t>
      </w:r>
    </w:p>
    <w:p>
      <w:pPr>
        <w:spacing w:after="0" w:line="47" w:lineRule="exact"/>
        <w:rPr>
          <w:sz w:val="20"/>
          <w:szCs w:val="20"/>
          <w:color w:val="auto"/>
        </w:rPr>
      </w:pPr>
    </w:p>
    <w:tbl>
      <w:tblPr>
        <w:tblLayout w:type="fixed"/>
        <w:tblInd w:w="1700" w:type="dxa"/>
        <w:tblCellMar>
          <w:top w:w="0" w:type="dxa"/>
          <w:left w:w="0" w:type="dxa"/>
          <w:bottom w:w="0" w:type="dxa"/>
          <w:right w:w="0" w:type="dxa"/>
        </w:tblCellMar>
      </w:tblPr>
      <w:tr>
        <w:trPr>
          <w:trHeight w:val="20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(24,674)</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(11,375)</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(415)</w:t>
            </w: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274,520</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9,430</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250,467</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In the nine months ended September 30, 2020, cash used in operating activities of $24.7 million was attributable to a net loss of $27.0 million and a change of $2.5 million in our net operating assets and liabilities, partially offset by $4.8 million in non-cash charges. The non-cash charges consisted of stock-based compensation of $3.7 million, change in fair value of Series B convertible preferred stock warrant liability and term loan compound derivative of $0.7 million, depreciation and amortization of $0.2 million and amortization of term loan discount and issuance costs of $0.3 million, partially offset by a gain on assignment of lease of $0.1 million. The change in operating assets and liabilities was primarily due to a $2.3 million decrease in accounts payable, $2.1 million increase in prepaid expenses and other current assets, partially offset by a $2.0 million increase in accrued expenses and other current liabilities. This is primarily due to timing of cash payments for clinical-related activities.</w:t>
      </w:r>
    </w:p>
    <w:p>
      <w:pPr>
        <w:spacing w:after="0" w:line="177"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In the nine months ended September 30, 2019, cash used in operating activities of $11.4 million was attributable to a net loss of $11.5 million and a change of $0.4 million in our net operating assets and liabilities, partially offset by $0.5 million in non-cash charges. The non-cash charges consisted of stock-based compensation of $0.2 million and depreciation and amortization of $0.3 million. The change in operating assets and liabilities was primarily due to a $0.4 million increase in receivables from a related-party, $0.3 million decrease in accrued expenses and other current liabilities and a $0.1 million decrease in accounts payable, partially offset by a $0.4 million decrease in prepaid expenses and other current assets.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the nine months ended September 30, 2020, cash provided by investing activities was $0.6 million, primarily due to proceeds from assets held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w:t>
      </w:r>
    </w:p>
    <w:p>
      <w:pPr>
        <w:spacing w:after="0" w:line="211"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In the nine months ended September 30, 2019, cash used in investing activities was $0.4 million and was related to capital expenditures on the purchase of property and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 the nine months ended September 30, 2020, cash provided by financing activities was $274.5 million, primarily from the net proceeds of our initial public offering of $172.7 million, after deducting underwriting commissions and discounts, the sale and issuance of Series C convertible preferred stock with gross proceeds of $105.0 million, net of $0.3 million in issuance costs, and proceeds from the exercise of common stock under equity incentive plans of $0.3 million, partially offset by payment of offering costs of $3.2 million.</w:t>
      </w:r>
    </w:p>
    <w:p>
      <w:pPr>
        <w:spacing w:after="0" w:line="187" w:lineRule="exact"/>
        <w:rPr>
          <w:sz w:val="20"/>
          <w:szCs w:val="20"/>
          <w:color w:val="auto"/>
        </w:rPr>
      </w:pPr>
    </w:p>
    <w:p>
      <w:pPr>
        <w:ind w:right="560" w:firstLine="510"/>
        <w:spacing w:after="0" w:line="308" w:lineRule="auto"/>
        <w:rPr>
          <w:sz w:val="20"/>
          <w:szCs w:val="20"/>
          <w:color w:val="auto"/>
        </w:rPr>
      </w:pPr>
      <w:r>
        <w:rPr>
          <w:rFonts w:ascii="Arial" w:cs="Arial" w:eastAsia="Arial" w:hAnsi="Arial"/>
          <w:sz w:val="17"/>
          <w:szCs w:val="17"/>
          <w:color w:val="auto"/>
        </w:rPr>
        <w:t>In the nine months ended September 30, 2019, cash provided by financing activities was $9.4 million, from the sale and issuance of Series B convertible preferred stock with gross proceeds of $9.6 million, partially offset by payment of issuance costs of $0.2 million.</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340" w:firstLine="510"/>
        <w:spacing w:after="0" w:line="342" w:lineRule="auto"/>
        <w:rPr>
          <w:sz w:val="20"/>
          <w:szCs w:val="20"/>
          <w:color w:val="auto"/>
        </w:rPr>
      </w:pPr>
      <w:r>
        <w:rPr>
          <w:rFonts w:ascii="Arial" w:cs="Arial" w:eastAsia="Arial" w:hAnsi="Arial"/>
          <w:sz w:val="16"/>
          <w:szCs w:val="16"/>
          <w:color w:val="auto"/>
        </w:rPr>
        <w:t>We have contractual obligations from our operating lease, manufacturing and service contracts, Term Loan, and other research and development activities. The following table aggregates our material expected contractual obligations and commitments as of September 30, 2020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1"/>
              </w:rPr>
              <w:t>September 30, 2020</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 xml:space="preserve">2020 </w:t>
            </w:r>
            <w:r>
              <w:rPr>
                <w:rFonts w:ascii="Arial" w:cs="Arial" w:eastAsia="Arial" w:hAnsi="Arial"/>
                <w:sz w:val="15"/>
                <w:szCs w:val="15"/>
                <w:b w:val="1"/>
                <w:bCs w:val="1"/>
                <w:color w:val="auto"/>
              </w:rPr>
              <w:t>(4)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2021 - 2022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2023 - 2024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Thereafter</w:t>
            </w: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5"/>
                <w:szCs w:val="15"/>
                <w:color w:val="auto"/>
              </w:rPr>
              <w:t>(1)</w:t>
            </w: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 xml:space="preserve">Manufacturing and service contracts </w:t>
            </w:r>
            <w:r>
              <w:rPr>
                <w:rFonts w:ascii="Arial" w:cs="Arial" w:eastAsia="Arial" w:hAnsi="Arial"/>
                <w:sz w:val="15"/>
                <w:szCs w:val="15"/>
                <w:color w:val="auto"/>
              </w:rPr>
              <w:t>(2)</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ind w:left="880"/>
              <w:spacing w:after="0"/>
              <w:rPr>
                <w:sz w:val="20"/>
                <w:szCs w:val="20"/>
                <w:color w:val="auto"/>
              </w:rPr>
            </w:pPr>
            <w:r>
              <w:rPr>
                <w:rFonts w:ascii="Arial" w:cs="Arial" w:eastAsia="Arial" w:hAnsi="Arial"/>
                <w:sz w:val="18"/>
                <w:szCs w:val="18"/>
                <w:color w:val="auto"/>
              </w:rPr>
              <w:t>—</w:t>
            </w: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Term loan </w:t>
            </w:r>
            <w:r>
              <w:rPr>
                <w:rFonts w:ascii="Arial" w:cs="Arial" w:eastAsia="Arial" w:hAnsi="Arial"/>
                <w:sz w:val="15"/>
                <w:szCs w:val="15"/>
                <w:color w:val="auto"/>
              </w:rPr>
              <w:t>(3)</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Payments due for the office space in Burlingame, California under a single operating sub-lease agreement that expires in 2023.</w:t>
      </w:r>
    </w:p>
    <w:p>
      <w:pPr>
        <w:spacing w:after="0" w:line="23" w:lineRule="exact"/>
        <w:rPr>
          <w:rFonts w:ascii="Arial" w:cs="Arial" w:eastAsia="Arial" w:hAnsi="Arial"/>
          <w:sz w:val="18"/>
          <w:szCs w:val="18"/>
          <w:i w:val="1"/>
          <w:iCs w:val="1"/>
          <w:color w:val="auto"/>
        </w:rPr>
      </w:pPr>
    </w:p>
    <w:p>
      <w:pPr>
        <w:ind w:left="1000" w:right="20" w:hanging="493"/>
        <w:spacing w:after="0" w:line="250" w:lineRule="auto"/>
        <w:tabs>
          <w:tab w:leader="none" w:pos="100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In November 2015, we entered into a Master Service Agreement, or the MSA, with KBI Biopharma, Inc. relating to formulation development, process development and cGMP manufacturing of ALX148 for use in clinical trials on a project basis. The MSA had an initial term of three years with successive one-year renewal periods, is cancellable upon notice and is non-exclusive. Statements of work under the MSA commit us to certain purchase obligations of approximately $7.5 million. In addition, we have commitments with a second drug product manufacturer that commits us to certain purchase obligations of approximately $0.1 million. These amounts are based on non-cancellable commitments and forecasts that include estimates of future market demand, quantity discounts and manufacturing efficiencies that may impact timing of purchases.</w:t>
      </w:r>
    </w:p>
    <w:p>
      <w:pPr>
        <w:spacing w:after="0" w:line="2" w:lineRule="exact"/>
        <w:rPr>
          <w:rFonts w:ascii="Arial" w:cs="Arial" w:eastAsia="Arial" w:hAnsi="Arial"/>
          <w:sz w:val="18"/>
          <w:szCs w:val="18"/>
          <w:i w:val="1"/>
          <w:iCs w:val="1"/>
          <w:color w:val="auto"/>
        </w:rPr>
      </w:pPr>
    </w:p>
    <w:p>
      <w:pPr>
        <w:ind w:left="1000" w:right="100" w:hanging="493"/>
        <w:spacing w:after="0" w:line="250" w:lineRule="auto"/>
        <w:tabs>
          <w:tab w:leader="none" w:pos="100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On December 20, 2019, we borrowed a loan pursuant to the Loan Agreement. See Note 5 to the condensed consolidated financial statements included elsewhere in this Quarterly Report on Form 10-Q for additional details.</w:t>
      </w:r>
    </w:p>
    <w:p>
      <w:pPr>
        <w:ind w:left="1000" w:hanging="493"/>
        <w:spacing w:after="0"/>
        <w:tabs>
          <w:tab w:leader="none" w:pos="100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Remaining three months.</w:t>
      </w:r>
    </w:p>
    <w:p>
      <w:pPr>
        <w:spacing w:after="0" w:line="211"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We enter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 These payments are not included in the table of contractual obligations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During the period presented, we did not have, nor do we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condensed consolidated financial statements, which have been prepared in accordance with U.S. generally accepted accounting principles, or U.S. GAAP. The preparation of our condensed consolidated financial statements and related disclosures requires us to make estimates and judgments that affect the reported amounts of assets, liabilities, expenses and the disclosure of our contingent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6"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auto"/>
        </w:rPr>
        <w:t>Our critical accounting policies are more fully described in the section titled “Management’s Discussion and Analysis of Financial Condition and Results of Operations—Critical Accounting Policies and Significant Judgments and Estimates” in our final prospectus for our initial public offering filed pursuant to Rule 424(b)(4) under the Securities Act with the SEC on July 17, 2020 and in Note 2 to our condensed consolidated financial statements appearing elsewhere in this Quarterly Report on Form 10-Q. During the nine months ended September 30, 2020, there were no material changes to our critical accounting policies from those discussed in our final prospectus filed on July 17, 2020.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FASB, or other standard setting bodies and adopted by us as of the specified effective date. Unless otherwise discussed, the impact of recently issued standards that are not yet effective are not expected to have a material impact on our financial position or results of operations upon adoption.</w:t>
      </w:r>
    </w:p>
    <w:p>
      <w:pPr>
        <w:spacing w:after="0" w:line="165"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In February 2016, the FASB issued ASU No. 2016-02 (Topic 842), Leases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June 2020, the FASB issued ASU No. 2020-05, which extends the effective date of ASU No. 2016-02 for non-public business entities, including smaller reporting companies, to fiscal years beginning after December 15, 2021. The new standard is effective for us beginning January 1, 2022 (or earlier if the Company ceases to be an emerging growth company). Early adoption is permitted. We are currently evaluating the effects of the adoption of this guidance on our condensed consolidated financial statements and related disclosures.</w:t>
      </w:r>
    </w:p>
    <w:p>
      <w:pPr>
        <w:spacing w:after="0" w:line="17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us beginning January 1, 2022. Early adoption is permitted. We are currently in the process of evaluating the effects of the adoption of this guidance on our condensed consolidated financial statements and do not expect it to have a material impact on our condensed consolidated financial statements.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5" w:name="page36"/>
    <w:bookmarkEnd w:id="35"/>
    <w:p>
      <w:pPr>
        <w:jc w:val="center"/>
        <w:ind w:right="-5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We are exposed to market risks in the ordinary course of our business. These risks primarily include interest rate sensitivities. As of September 30, 2020, we had cash and cash equivalents of $259.5 million. We generally hold our cash and cash equivalents in interest-bearing bank accounts and money market funds. Our primary exposure to market risk is interest rate sensitivity, which is affected by changes in the general level of U.S. interest rates. An immediate 100 basis point change in interest rates would not have a material effect on the fair market value of our cash and cash equivalents.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Institution Risk</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Substantially all of our cash and cash equivalents is held with a single financial institution. Due to its size, this financial institution represents a minimal credit risk. Cash amounts held at financial institutions are insured by the Federal Deposit Insurance Corporation up to $250,000. At September 30, 2020, we had $259.2 million in excess of this insured limit.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condensed consolidated financial statements, and we have not had a formal hedging program with respect to foreign currency. A 10.0% increase or decrease in current exchange rates would not have a material effect on our financial results.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President and Chief Executive Officer, who is our principal executive officer and our Chief Financial Officer, who is the principal financial officer, to allow timely decisions regarding required disclosure.</w:t>
      </w:r>
    </w:p>
    <w:p>
      <w:pPr>
        <w:spacing w:after="0" w:line="157"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As of September 30, 2020,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57" w:lineRule="exact"/>
        <w:rPr>
          <w:sz w:val="20"/>
          <w:szCs w:val="20"/>
          <w:color w:val="auto"/>
        </w:rPr>
      </w:pPr>
    </w:p>
    <w:p>
      <w:pPr>
        <w:jc w:val="both"/>
        <w:ind w:right="480" w:firstLine="510"/>
        <w:spacing w:after="0" w:line="263" w:lineRule="auto"/>
        <w:rPr>
          <w:sz w:val="20"/>
          <w:szCs w:val="20"/>
          <w:color w:val="auto"/>
        </w:rPr>
      </w:pPr>
      <w:r>
        <w:rPr>
          <w:rFonts w:ascii="Arial" w:cs="Arial" w:eastAsia="Arial" w:hAnsi="Arial"/>
          <w:sz w:val="18"/>
          <w:szCs w:val="18"/>
          <w:color w:val="auto"/>
        </w:rPr>
        <w:t>Based upon the evaluation, our Chief Executive Officer and Chief Financial Officer concluded that, as of September 30, 2020, our disclosure controls and procedures were not effective at a reasonable assurance level as a result of the material weakness that existed in our internal control over financial reporting as described below, and which continues to exist as of September 30,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Weakness in Internal Control over Financial Reporting</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connection with the audit of our consolidated financial statements as of and for the years ended December 31, 2019 and 2018, we identified material weaknesses in our internal control over financial reporting resulting from a lack of sufficient qualified personnel. For the year ended December 31, 2019, the material weaknesses related to (i) independent reviews of journal entries not being performed prior to posting, (ii) account reconciliations not being performed and independently reviewed on a timely basis and (iii) lack of independent review of technical accounting matters. During the first, second and third quarters of 2020, we have undertaken specific remediation actions to address the control deficiencies in our financial reporting. We have established more robust processes related to the review of complex accounting transactions, the preparation of account reconciliations and the review of journal entries. These remediation actions included hiring a full time Chief Financial Officer in January 2020, a Vice President, Finance and Chief Accounting Officer in March 2020 and a Controller in August 2020, all of whom have extensive experience in developing and implementing internal controls and executing plans to remediate control deficiencies. We added new control activities, modified existing controls, and enhanced the documentation that evidences that controls are performed.</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0" w:firstLine="510"/>
        <w:spacing w:after="0" w:line="259" w:lineRule="auto"/>
        <w:rPr>
          <w:sz w:val="20"/>
          <w:szCs w:val="20"/>
          <w:color w:val="auto"/>
        </w:rPr>
      </w:pPr>
      <w:r>
        <w:rPr>
          <w:rFonts w:ascii="Arial" w:cs="Arial" w:eastAsia="Arial" w:hAnsi="Arial"/>
          <w:sz w:val="18"/>
          <w:szCs w:val="18"/>
          <w:color w:val="auto"/>
        </w:rPr>
        <w:t>Due to a transition period established by SEC rules applicable to newly public companies, our management is not required to evaluate the effectiveness of our internal control over financial reporting until after the filing of our Annual Report on Form 10-K for the year ended December 31, 2020. As a result, this Quarterly Report on Form 10-Q does not address whether there have been any changes in our internal control over financial reporting.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We are not currently a party to any material legal proceedings. We may, however, in the ordinary course of business face various claims brought by third parties and we may, from time to time, make claims or take legal actions to assert our rights, including intellectual property rights as well as claims relating to employment matters and the safety or efficacy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operations, cash flows and financial position. Additionally, any such claims, whether or not successful, could damage our reputation and business.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562"/>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Quarterly Report on Form 10-Q, including our unaudited condensed consolidated financial statements and the related notes and the section titled “Management’s Discussion and Analysis of Financial Condition and Results of Operations.” The occurrence of any of the events or developments described below could harm our business, financial condition, results of operations growth prospects or stock price. In such an event, the market price of our common stock could decline, and you may lose all or part of your investment. Additional risks and uncertainties not presently known to us or that we currently deem immaterial also may impair our business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Investing in our common stock involves a high degree of risk because our business is subject to numerous risks and uncertainties, as fully described below. The principal factors and uncertainties that make investing in our common stock risky include, among others:</w:t>
      </w:r>
    </w:p>
    <w:p>
      <w:pPr>
        <w:spacing w:after="0" w:line="38"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incurred significant net losses since our inception, and we expect to continue to incur significant net losses for the foreseeable future;</w:t>
      </w:r>
    </w:p>
    <w:p>
      <w:pPr>
        <w:spacing w:after="0" w:line="140" w:lineRule="exact"/>
        <w:rPr>
          <w:rFonts w:ascii="Arial" w:cs="Arial" w:eastAsia="Arial" w:hAnsi="Arial"/>
          <w:sz w:val="16"/>
          <w:szCs w:val="16"/>
          <w:color w:val="auto"/>
        </w:rPr>
      </w:pPr>
    </w:p>
    <w:p>
      <w:pPr>
        <w:jc w:val="both"/>
        <w:ind w:left="1000" w:right="280" w:hanging="493"/>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such capital may not be available to us or may only be available on terms that are unfavorable to us and, in addition, our current loan agreement may restrict our ability to take on additional debt without the consent of our lenders;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 limited operating history and have no products approved for commercial sale;</w:t>
      </w:r>
    </w:p>
    <w:p>
      <w:pPr>
        <w:spacing w:after="0" w:line="117"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lead product candidate, ALX148, which is in clinical development and which has not completed a pivotal trial;</w:t>
      </w:r>
    </w:p>
    <w:p>
      <w:pPr>
        <w:spacing w:after="0" w:line="62"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w:t>
      </w:r>
    </w:p>
    <w:p>
      <w:pPr>
        <w:spacing w:after="0" w:line="62"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product candidates may cause significant adverse events or other undesirable side effects when used alone or in combination with other treatments;</w:t>
      </w:r>
    </w:p>
    <w:p>
      <w:pPr>
        <w:spacing w:after="0" w:line="62"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trials of our product candidates are expensive, time consuming and difficult to design and implement and may fail to demonstrate adequate safety, efficacy and potency of our product candidates or provide the basis for marketing approval;</w:t>
      </w:r>
    </w:p>
    <w:p>
      <w:pPr>
        <w:spacing w:after="0" w:line="62"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regulatory approval processes of the FDA and comparable foreign regulatory authorities are lengthy, time-consuming and inherently unpredictable, which could lead to our inability to generate product revenue;</w:t>
      </w:r>
    </w:p>
    <w:p>
      <w:pPr>
        <w:spacing w:after="0" w:line="62"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are unable to obtain, maintain and enforce patent protection and other intellectual property for our product candidates and related technology, our business could be materially harmed;</w:t>
      </w:r>
    </w:p>
    <w:p>
      <w:pPr>
        <w:spacing w:after="0" w:line="62"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rFonts w:ascii="Arial" w:cs="Arial" w:eastAsia="Arial" w:hAnsi="Arial"/>
          <w:sz w:val="18"/>
          <w:szCs w:val="18"/>
          <w:color w:val="auto"/>
        </w:rPr>
      </w:pPr>
    </w:p>
    <w:p>
      <w:pPr>
        <w:ind w:left="1000" w:right="140" w:hanging="493"/>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preclinical research is conducted solely by a third party service provider, Tallac Therapeutics, Inc. (formerly known as Tollnine, Inc.), or Tallac Therapeutics, and we are dependent on Tallac Therapeutics to perform its contractual research obligations on an effective or timely basis;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1000" w:right="26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novel coronavirus, or COVID-19, pandemic could adversely impact our business including our ongoing and planned clinical trials and preclinical research; and</w:t>
      </w:r>
    </w:p>
    <w:p>
      <w:pPr>
        <w:spacing w:after="0" w:line="62"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remediation measures are not effective, investors may lose confidence in our financial reports.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net losses since our inception, and we expect to continue to incur significant net losses for the foreseeable future.</w:t>
      </w:r>
    </w:p>
    <w:p>
      <w:pPr>
        <w:spacing w:after="0" w:line="140"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We have incurred significant net losses in each reporting period since our inception, have not generated any revenue to date and have financed our operations principally through private placements of our convertible preferred stock. Our net loss was $10.2 million and $3.0 million for the three months ended September 30, 2020 and 2019, respectively, and $27.0 million and $11.5 million for the nine months ended September 30, 2020 and 2019, respectively. As of September 30, 2020, we had an accumulated deficit of $99.7 million. We have devoted substantially all of our resources and efforts to research and development. Our lead product candidate, ALX148,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165"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284"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ALX148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U.S. Food and Drug Administration, or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also expect to incur additional costs associated with operating as a public company and comply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w:t>
      </w:r>
    </w:p>
    <w:p>
      <w:pPr>
        <w:spacing w:after="0" w:line="168" w:lineRule="exact"/>
        <w:rPr>
          <w:sz w:val="20"/>
          <w:szCs w:val="20"/>
          <w:color w:val="auto"/>
        </w:rPr>
      </w:pPr>
    </w:p>
    <w:p>
      <w:pPr>
        <w:jc w:val="both"/>
        <w:ind w:right="120" w:firstLine="510"/>
        <w:spacing w:after="0" w:line="275" w:lineRule="auto"/>
        <w:rPr>
          <w:sz w:val="20"/>
          <w:szCs w:val="20"/>
          <w:color w:val="auto"/>
        </w:rPr>
      </w:pPr>
      <w:r>
        <w:rPr>
          <w:rFonts w:ascii="Arial" w:cs="Arial" w:eastAsia="Arial" w:hAnsi="Arial"/>
          <w:sz w:val="17"/>
          <w:szCs w:val="17"/>
          <w:color w:val="auto"/>
        </w:rPr>
        <w:t>As of September 30, 2020, we had cash and cash equivalents of $259.5 million. Based on our current operating plan, we believe our existing cash and cash equivalents will be sufficient to fund our operations through 2023.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76"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We plan to use the net proceeds from our initial public offering to advance the clinical development of ALX148,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ALX148 and our other programs will require a significant amount of capital. Our current cash and cash equivalents on hand may not be sufficient to fund all of the actions that are necessary to complete the development of ALX148 or our other programs.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ind w:right="20" w:firstLine="510"/>
        <w:spacing w:after="0" w:line="269" w:lineRule="auto"/>
        <w:rPr>
          <w:sz w:val="20"/>
          <w:szCs w:val="20"/>
          <w:color w:val="auto"/>
        </w:rPr>
      </w:pPr>
      <w:r>
        <w:rPr>
          <w:rFonts w:ascii="Arial" w:cs="Arial" w:eastAsia="Arial" w:hAnsi="Arial"/>
          <w:sz w:val="17"/>
          <w:szCs w:val="17"/>
          <w:color w:val="auto"/>
        </w:rPr>
        <w:t>We expect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In addition, our Loan Agreement with SVB and WestRiver, or collectively, the Lenders, restricts our ability to incur additional indebtedness without the consent of the Lenders.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85" w:lineRule="exact"/>
        <w:rPr>
          <w:sz w:val="20"/>
          <w:szCs w:val="20"/>
          <w:color w:val="auto"/>
        </w:rPr>
      </w:pPr>
    </w:p>
    <w:p>
      <w:pPr>
        <w:ind w:right="500" w:firstLine="510"/>
        <w:spacing w:after="0" w:line="263" w:lineRule="auto"/>
        <w:rPr>
          <w:sz w:val="20"/>
          <w:szCs w:val="20"/>
          <w:color w:val="auto"/>
        </w:rPr>
      </w:pPr>
      <w:r>
        <w:rPr>
          <w:rFonts w:ascii="Arial" w:cs="Arial" w:eastAsia="Arial" w:hAnsi="Arial"/>
          <w:sz w:val="18"/>
          <w:szCs w:val="18"/>
          <w:color w:val="auto"/>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2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have no products approved for commercial sale, which may make it difficult for you to evaluate our current business and likelihood of success and viability.</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a Phase 1 clinical trial of ALX148.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w:t>
      </w:r>
    </w:p>
    <w:p>
      <w:pPr>
        <w:spacing w:after="0" w:line="192"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29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62" w:lineRule="exact"/>
        <w:rPr>
          <w:sz w:val="20"/>
          <w:szCs w:val="20"/>
          <w:color w:val="auto"/>
        </w:rPr>
      </w:pPr>
    </w:p>
    <w:p>
      <w:pPr>
        <w:jc w:val="both"/>
        <w:ind w:right="120" w:firstLine="510"/>
        <w:spacing w:after="0" w:line="301" w:lineRule="auto"/>
        <w:rPr>
          <w:sz w:val="20"/>
          <w:szCs w:val="20"/>
          <w:color w:val="auto"/>
        </w:rPr>
      </w:pPr>
      <w:r>
        <w:rPr>
          <w:rFonts w:ascii="Arial" w:cs="Arial" w:eastAsia="Arial" w:hAnsi="Arial"/>
          <w:sz w:val="16"/>
          <w:szCs w:val="16"/>
          <w:color w:val="auto"/>
        </w:rPr>
        <w:t>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w:t>
      </w:r>
    </w:p>
    <w:p>
      <w:pPr>
        <w:spacing w:after="0" w:line="49" w:lineRule="exact"/>
        <w:rPr>
          <w:sz w:val="20"/>
          <w:szCs w:val="20"/>
          <w:color w:val="auto"/>
        </w:rPr>
      </w:pPr>
    </w:p>
    <w:p>
      <w:pPr>
        <w:ind w:left="1000" w:right="56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and timely completion of preclinical and clinical development of our lead product candidate, ALX148, and our other future product candidates;</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and maintaining relationships with CROs and clinical sites for the clinical development of ALX148 and our other future product candidates;</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17" w:lineRule="exact"/>
        <w:rPr>
          <w:rFonts w:ascii="Arial" w:cs="Arial" w:eastAsia="Arial" w:hAnsi="Arial"/>
          <w:sz w:val="18"/>
          <w:szCs w:val="18"/>
          <w:color w:val="auto"/>
        </w:rPr>
      </w:pPr>
    </w:p>
    <w:p>
      <w:pPr>
        <w:ind w:left="1000" w:right="140" w:hanging="493"/>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developing an efficient and scalable manufacturing process for ALX148 and any future product candidates, including establishing and maintaining commercially viable supply and manufacturing relationships with third parties to obtain finished products that are appropriately packaged for sale;</w:t>
      </w:r>
    </w:p>
    <w:p>
      <w:pPr>
        <w:spacing w:after="0" w:line="75" w:lineRule="exact"/>
        <w:rPr>
          <w:rFonts w:ascii="Arial" w:cs="Arial" w:eastAsia="Arial" w:hAnsi="Arial"/>
          <w:sz w:val="18"/>
          <w:szCs w:val="18"/>
          <w:color w:val="auto"/>
        </w:rPr>
      </w:pPr>
    </w:p>
    <w:p>
      <w:pPr>
        <w:ind w:left="1000" w:hanging="493"/>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ind w:left="10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117"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commercial acceptance of ALX148 and any future product candidates as viable treatment options by patients, the medical community and third-party payors;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favorable coverage and adequate reimbursement by third-party payors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identifying, assessing, acquiring and developing new product candidates;</w:t>
      </w:r>
    </w:p>
    <w:p>
      <w:pPr>
        <w:spacing w:after="0" w:line="117"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 including our licensed intellectual property;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117" w:lineRule="exact"/>
        <w:rPr>
          <w:rFonts w:ascii="Arial" w:cs="Arial" w:eastAsia="Arial" w:hAnsi="Arial"/>
          <w:sz w:val="18"/>
          <w:szCs w:val="18"/>
          <w:color w:val="auto"/>
        </w:rPr>
      </w:pPr>
    </w:p>
    <w:p>
      <w:pPr>
        <w:ind w:left="1000" w:right="8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62" w:lineRule="exact"/>
        <w:rPr>
          <w:rFonts w:ascii="Arial" w:cs="Arial" w:eastAsia="Arial" w:hAnsi="Arial"/>
          <w:sz w:val="18"/>
          <w:szCs w:val="18"/>
          <w:color w:val="auto"/>
        </w:rPr>
      </w:pPr>
    </w:p>
    <w:p>
      <w:pPr>
        <w:ind w:left="1000" w:right="8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that may be necessary to develop, manufacture or commercialize our product candidate;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ALX148, which is in clinical development and which has not completed a pivotal trial. If we do not obtain regulatory approval for and successfully commercialize ALX148 in one or more indications, or we experience significant delays in doing so, we may never generate any revenue or become profitable.</w:t>
      </w:r>
    </w:p>
    <w:p>
      <w:pPr>
        <w:spacing w:after="0" w:line="76"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ALX148, in our ongoing clinical trials. As a result, our business currently depends heavily on the successful development, regulatory approval and, if approved, commercialization of ALX148 in one or more of these indications, such as myelodysplastic syndromes, or MDS, acute myeloid leukemia, or AML, head and neck squamous cell carcinoma, or HNSCC, or gastric/gastroesophageal junction, or GEJ, carcinoma. We cannot be certain that ALX148 will receive regulatory approval or will be successfully commercialized even if it receives regulatory approval. The research, testing, manufacturing, safety, efficacy and potency, labeling, approval, sale, marketing and distribution of ALX148 is, and will remain, subject to comprehensive regulation by the FDA and similar foreign regulatory authorities. Our failure to timely complete clinical trials, obtain regulatory approval or, if approved, commercialize ALX148 or any of our future product candidates, would materially harm our business, financial condition and results of operations. We are not permitted to market or promote ALX148, or any other product candidate, before we receive marketing approval from the FDA and comparable foreign regulatory authorities, and we may never receive such marketing approvals. If we do not receive marketing approvals for ALX148, we may not be able to continue our operations.</w:t>
      </w:r>
    </w:p>
    <w:p>
      <w:pPr>
        <w:spacing w:after="0" w:line="28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p>
    <w:p>
      <w:pPr>
        <w:spacing w:after="0" w:line="4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ind w:firstLine="510"/>
        <w:spacing w:after="0" w:line="271" w:lineRule="auto"/>
        <w:rPr>
          <w:sz w:val="20"/>
          <w:szCs w:val="20"/>
          <w:color w:val="auto"/>
        </w:rPr>
      </w:pPr>
      <w:r>
        <w:rPr>
          <w:rFonts w:ascii="Arial" w:cs="Arial" w:eastAsia="Arial" w:hAnsi="Arial"/>
          <w:sz w:val="17"/>
          <w:szCs w:val="17"/>
          <w:color w:val="auto"/>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ALX148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28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Clinical trials of our product candidates are expensive, time consuming and difficult to design and implement and may fail to demonstrate adequate safety, purity and efficacy and potency of our product candidates or provide the basis for marketing approval.</w:t>
      </w:r>
    </w:p>
    <w:p>
      <w:pPr>
        <w:spacing w:after="0" w:line="38"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preclinical development and then extensive clinical trials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w:t>
      </w:r>
    </w:p>
    <w:p>
      <w:pPr>
        <w:spacing w:after="0" w:line="195"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We do not know whether our future clinical trials will begin on time or enroll patients on time or whether our ongoing and/or future clinical trials will be completed on schedule or at all. Clinical trials can be delayed for a variety of reasons, including delays related to:</w:t>
      </w:r>
    </w:p>
    <w:p>
      <w:pPr>
        <w:spacing w:after="0" w:line="62"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approval to commence a clinical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institutional review board approval at each clinical trial site;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adding necessary new clinical trial sites;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failing in having clinical trial sites or patients comply with trial protocols;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suffering clinical trial sites or patients dropping out of trials;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clinical trials.</w:t>
      </w:r>
    </w:p>
    <w:p>
      <w:pPr>
        <w:spacing w:after="0" w:line="225"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62"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11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or inconclusive clinical trial results that may require us to conduct additional clinical trials or abandon certain drug development programs;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being larger than anticipated, enrollment in these clinical trials being slower than anticipated or subjects dropping out of these clinical trials at a higher rate than anticipated;</w:t>
      </w:r>
    </w:p>
    <w:p>
      <w:pPr>
        <w:spacing w:after="0" w:line="62"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clinical trials due to outbreaks or public health crises, such as the COVID-19 pandemic, that impact both trial site operations and patient selection;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third-party contractors failing to comply with regulatory requirements or meet their contractual obligations to us in a timely manner, or at all;</w:t>
      </w:r>
    </w:p>
    <w:p>
      <w:pPr>
        <w:spacing w:after="0" w:line="140" w:lineRule="exact"/>
        <w:rPr>
          <w:rFonts w:ascii="Arial" w:cs="Arial" w:eastAsia="Arial" w:hAnsi="Arial"/>
          <w:sz w:val="16"/>
          <w:szCs w:val="16"/>
          <w:color w:val="auto"/>
        </w:rPr>
      </w:pPr>
    </w:p>
    <w:p>
      <w:pPr>
        <w:ind w:left="1000" w:right="4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suspension or termination of our clinical trials for various reasons, including non-compliance with regulatory requirements, a finding that our product candidates have undesirable side effects or other unexpected characteristics or risks;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are greater than anticipated;</w:t>
      </w:r>
    </w:p>
    <w:p>
      <w:pPr>
        <w:spacing w:after="0" w:line="117" w:lineRule="exact"/>
        <w:rPr>
          <w:rFonts w:ascii="Arial" w:cs="Arial" w:eastAsia="Arial" w:hAnsi="Arial"/>
          <w:sz w:val="18"/>
          <w:szCs w:val="18"/>
          <w:color w:val="auto"/>
        </w:rPr>
      </w:pPr>
    </w:p>
    <w:p>
      <w:pPr>
        <w:ind w:left="1000" w:right="66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2" w:name="page43"/>
    <w:bookmarkEnd w:id="42"/>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regulators revising the requirements for approving our product candidates.</w:t>
      </w:r>
    </w:p>
    <w:p>
      <w:pPr>
        <w:spacing w:after="0" w:line="225"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w:t>
      </w:r>
    </w:p>
    <w:p>
      <w:pPr>
        <w:spacing w:after="0" w:line="184"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We do not know whether any clinical trials we may conduct will demonstrate consistent or adequate safety, purity and efficacy and potency sufficient to obtain marketing approval or our product candidates or to market our drugs after any such approval.</w:t>
      </w:r>
    </w:p>
    <w:p>
      <w:pPr>
        <w:spacing w:after="0" w:line="27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and/or retention of patients in clinical trials, our regulatory submissions or receipt of necessary marketing approvals could be delayed or prevented.</w:t>
      </w:r>
    </w:p>
    <w:p>
      <w:pPr>
        <w:spacing w:after="0" w:line="62"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as required by the FDA or comparable international regulatory authorities. Patient enrollment is a significant factor in the timing of clinical trials. In particular, because certain of our clinical trials of ALX148 are focused on indications with small patient populations, our ability to enroll eligible patients may be limited or may result in slower enrollment than we anticipate.</w:t>
      </w:r>
    </w:p>
    <w:p>
      <w:pPr>
        <w:spacing w:after="0" w:line="171"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Enrollment of patients in our clinical trials may be delayed or limited if our clinical trial sites limit their onsite staff or temporarily close as a result of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Patients who enroll in our clinical trials and then who become infected with the COVID-19 virus may complicate the clinical trial data, procedures and analysis. These factors resulting from the COVID-19 pandemic could delay the anticipated readouts from our clinical trials and our regulatory submissions and increase the costs associated of the clinical trials.</w:t>
      </w:r>
    </w:p>
    <w:p>
      <w:pPr>
        <w:spacing w:after="0" w:line="164"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Patient enrollment may also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may also be affected by other factors, including:</w:t>
      </w:r>
    </w:p>
    <w:p>
      <w:pPr>
        <w:spacing w:after="0" w:line="76"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and efficacy or potency of approved drugs for the disease under investigation;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 by us and the clinical trial sites;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monitor subjects adequately during and after the clinical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proximity of clinical trial sites to prospective subjects;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 of subjects enrolled in clinical trials dropping out before completion; and</w:t>
      </w:r>
    </w:p>
    <w:p>
      <w:pPr>
        <w:spacing w:after="0" w:line="117"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or delay in enrollment of patients due to a variety of reasons, including outbreaks and public health crises, such as the COVID-19 pandemic.</w:t>
      </w:r>
    </w:p>
    <w:p>
      <w:pPr>
        <w:spacing w:after="0" w:line="170"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43" w:name="page44"/>
    <w:bookmarkEnd w:id="43"/>
    <w:p>
      <w:pPr>
        <w:ind w:right="16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spacing w:after="0" w:line="29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76"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If ALX148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we have observed single-digit incident rates of treatment-related grade three and higher cytopenias across each of the trial cohorts in our ALX148 combination clinical trials with pembrolizumab, trastuzumab and rituximab in a heavily pre-treated group of subjects who are typical participants in early stage cancer trials and are often hematologically fragile at baseline. Subjects in our ALX148 combination clinical trials experienced a number of treatment-related adverse events that were low-grade and manageable, including fatigue, rash, aspartate aminotransferase, or AST, increase, platelets decrease, alanine aminotransferase, or ALT, increase, pruritus, pyrexia, decreased appetite, anemia, infusion reaction, neutropenia, nausea, alkaline phosphate increase, arthralgia, white blood cell decrease and myalgia. Treatment-related side effects could also affect patient recruitment or the ability of enrolled subjects to complete the trial or result in potential product liability claims. Any adverse events as a result of ALX148 or any of our future product candidates, including in combination therapy, may prevent us from achieving or maintaining market acceptance of the affected product candidate and may harm our business, financial condition and prospects significantly.</w:t>
      </w:r>
    </w:p>
    <w:p>
      <w:pPr>
        <w:spacing w:after="0" w:line="2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ALX148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w:t>
      </w:r>
    </w:p>
    <w:p>
      <w:pPr>
        <w:spacing w:after="0" w:line="177"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Arch Therapeutics, Bristol Myers Squibb, Gilead Sciences (through its acquisition of Forty Seven), I-Mab, Novimmune, OSE Immunotherapeutics, Seattle Genetics, Surface Oncology and Trillium Therapeutics,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right="260" w:firstLine="510"/>
        <w:spacing w:after="0" w:line="255" w:lineRule="auto"/>
        <w:rPr>
          <w:sz w:val="20"/>
          <w:szCs w:val="20"/>
          <w:color w:val="auto"/>
        </w:rPr>
      </w:pPr>
      <w:r>
        <w:rPr>
          <w:rFonts w:ascii="Arial" w:cs="Arial" w:eastAsia="Arial" w:hAnsi="Arial"/>
          <w:sz w:val="18"/>
          <w:szCs w:val="18"/>
          <w:color w:val="auto"/>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ALX148 and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19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177"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 if our product candidates receive regulatory approval, they will be subject to significant post-marketing regulatory requirements and oversight.</w:t>
      </w:r>
    </w:p>
    <w:p>
      <w:pPr>
        <w:spacing w:after="0" w:line="152"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current good manufacturing practices, or cGMPs, and current good clinical practices, or cGCPs, for any clinical trials that we conduct post-approval. Regulatory approvals may contain significant limitations related to use restrictions for specific target population subsets, </w:t>
      </w:r>
      <w:r>
        <w:rPr>
          <w:rFonts w:ascii="Arial" w:cs="Arial" w:eastAsia="Arial" w:hAnsi="Arial"/>
          <w:sz w:val="17"/>
          <w:szCs w:val="17"/>
          <w:i w:val="1"/>
          <w:iCs w:val="1"/>
          <w:color w:val="auto"/>
        </w:rPr>
        <w:t>e.g.</w:t>
      </w:r>
      <w:r>
        <w:rPr>
          <w:rFonts w:ascii="Arial" w:cs="Arial" w:eastAsia="Arial" w:hAnsi="Arial"/>
          <w:sz w:val="17"/>
          <w:szCs w:val="17"/>
          <w:color w:val="auto"/>
        </w:rPr>
        <w:t>, age groups, warnings, precautions or contraindications, or may include costly and burdensome post-approval study or risk management requirements and regulatory inspection. For example, the FDA may require a Risk Evaluation and Mitigation Strategy, or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w:t>
      </w:r>
    </w:p>
    <w:p>
      <w:pPr>
        <w:spacing w:after="0" w:line="181"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w:t>
      </w:r>
    </w:p>
    <w:p>
      <w:pPr>
        <w:spacing w:after="0" w:line="56"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or the rejection of product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w:t>
      </w:r>
    </w:p>
    <w:p>
      <w:pPr>
        <w:spacing w:after="0" w:line="225"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occurrence of any of these sanctions, enforcement actions or penalties described above may inhibit our ability to commercialize our product candidates, even if approved, and generate revenue.</w:t>
      </w:r>
    </w:p>
    <w:p>
      <w:pPr>
        <w:spacing w:after="0" w:line="27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rely on Tallac Therapeutics, a third-party service provider, to conduct substantially all of our preclinical research activities. If Tallac Therapeutics does not successfully carry out its contractual duties or meet expected deadlines, there may be disruptions or delays to our development pipeline and our business could be substantially harmed.</w:t>
      </w:r>
    </w:p>
    <w:p>
      <w:pPr>
        <w:spacing w:after="0" w:line="76"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auto"/>
        </w:rPr>
        <w:t>We do not have the ability to independently conduct our preclinical research activities as we rely on a third-party service provider to conduct all of our preclinical research activities. Effective as of July 1, 2020, we transferred all of our preclinical research capabilities and nine of our employees, including our former Chief Scientific Officer, Dr. Hong Wan, to Tallac Therapeutics, and entered into a research and development services agreement, or the Tallac Services Agreement, with Tallac Therapeutics. Under the terms of the Tallac Services Agreement, Tallac Therapeutics will provide preclinical research services to us for the cost of these services plus a mark-up equal to 10.0% of such costs.</w:t>
      </w:r>
    </w:p>
    <w:p>
      <w:pPr>
        <w:spacing w:after="0" w:line="176"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If Tallac Therapeutics does not successfully carry out its contractual obligations or meet expected deadlines, if Tallac Therapeutics needs to be replaced or if the quality or accuracy of the preclinical data Tallac Therapeutics obtains is compromised due to its failure to adhere to its or our preclinical protocols, regulatory requirements or for other reasons, our preclinical research efforts and studies may be extended, delayed or terminated, and there may be disruptions or delays to our development pipeline. As a result, our product candidate research and development efforts may be delayed or harmed, and our costs could increase and our future ability to generate revenues could be delayed.</w:t>
      </w:r>
    </w:p>
    <w:p>
      <w:pPr>
        <w:spacing w:after="0" w:line="176" w:lineRule="exact"/>
        <w:rPr>
          <w:sz w:val="20"/>
          <w:szCs w:val="20"/>
          <w:color w:val="auto"/>
        </w:rPr>
      </w:pPr>
    </w:p>
    <w:p>
      <w:pPr>
        <w:jc w:val="both"/>
        <w:ind w:right="40" w:firstLine="510"/>
        <w:spacing w:after="0" w:line="273" w:lineRule="auto"/>
        <w:rPr>
          <w:sz w:val="20"/>
          <w:szCs w:val="20"/>
          <w:color w:val="auto"/>
        </w:rPr>
      </w:pPr>
      <w:r>
        <w:rPr>
          <w:rFonts w:ascii="Arial" w:cs="Arial" w:eastAsia="Arial" w:hAnsi="Arial"/>
          <w:sz w:val="17"/>
          <w:szCs w:val="17"/>
          <w:color w:val="auto"/>
        </w:rPr>
        <w:t>Further, Tallac Therapeutics’ employees are not our employees, and we will not be able to control, other than by contract, the amount of resources, including time, that they devote to our preclinical research efforts and studies. If Tallac Therapeutics fails to devote sufficient resources to the research and development of our preclinical research programs and studies, or if its performance is substandard, it may delay or compromise the prospects for approval and commercialization of any product candidates that we develop. In addition, we must disclose our proprietary information to Tallac Therapeutics, which could increase the risk that this information will be misappropriated or that disputes related to our intellectual property with Tallac Therapeutics may occur, including the risks discussed below related to intellectual property matters.</w:t>
      </w:r>
    </w:p>
    <w:p>
      <w:pPr>
        <w:spacing w:after="0" w:line="17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If our relationship with Tallac Therapeutics terminates, we may not be able to enter into arrangements with alternative providers or do so in a timely manner or on commercially reasonable terms. If the Tallac Services Agreement is terminated, replacing Tallac Therapeutics or adding additional preclinical research providers will involve additional costs and divert our management’s time and focus. In addition, there is a natural transition period when a new service provider commences work. As a result, delays may occur, which can materially impact our ability to meet our desired preclinical timelines. Since Tallac Therapeutics is an early-stage company with a limited operating history, it may face challenges to its business and cease to operate, and we may need to engage replacement service providers on an accelerated timeline and on even less favorable terms. There can be no assurance that we will not encounter similar challenges or delays in the future or that these delays or challenges will not have a material adverse impact on our business, financial condition and results of operations.</w:t>
      </w:r>
    </w:p>
    <w:p>
      <w:pPr>
        <w:spacing w:after="0" w:line="192"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jc w:val="both"/>
        <w:ind w:right="100"/>
        <w:spacing w:after="0" w:line="340" w:lineRule="auto"/>
        <w:rPr>
          <w:sz w:val="20"/>
          <w:szCs w:val="20"/>
          <w:color w:val="auto"/>
        </w:rPr>
      </w:pPr>
      <w:r>
        <w:rPr>
          <w:rFonts w:ascii="Arial" w:cs="Arial" w:eastAsia="Arial" w:hAnsi="Arial"/>
          <w:sz w:val="15"/>
          <w:szCs w:val="15"/>
          <w:b w:val="1"/>
          <w:bCs w:val="1"/>
          <w:i w:val="1"/>
          <w:iCs w:val="1"/>
          <w:color w:val="auto"/>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p>
    <w:p>
      <w:pPr>
        <w:spacing w:after="0" w:line="23"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w:t>
      </w:r>
    </w:p>
    <w:p>
      <w:pPr>
        <w:spacing w:after="0" w:line="166"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w:t>
      </w:r>
    </w:p>
    <w:p>
      <w:pPr>
        <w:spacing w:after="0" w:line="168"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w:t>
      </w:r>
    </w:p>
    <w:p>
      <w:pPr>
        <w:spacing w:after="0" w:line="184"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also expect to rely on other third parties to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w:t>
      </w:r>
    </w:p>
    <w:p>
      <w:pPr>
        <w:spacing w:after="0" w:line="184"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modifications in the methods of product candidate manufacturing or formulation may result in additional costs or delay.</w:t>
      </w:r>
    </w:p>
    <w:p>
      <w:pPr>
        <w:spacing w:after="0" w:line="117"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Lack of third-party combination drugs may materially and adversely affect demand for our product candidates.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product candidates may be administered in combination with drugs of other pharmaceutical companies as one regimen. In addition, we plan to use third-party drugs in our development and clinical trials as controls for our studies, such as our current plans to conduct Phase 2 clinical trials of ALX148 in combination with pembrolizumab for HNSCC and trastuzumab for gastric/GEJ carcinoma. As a result, both the results of our clinical trials and the sales of our drugs may be affected by the availability of these third-party drugs. For instance, we entered into a clinical trial collaboration and supply agreement with Merck, or the Merck Agreement, pursuant to which Merck will supply doses of pembrolizumab for our Phase 2 clinical trial for patients with HNSCC. If the Merck Agreement is terminated before our Phase 2 trial is completed, we may need to find another source of pembrolizumab in order to continue our trial.</w:t>
      </w:r>
    </w:p>
    <w:p>
      <w:pPr>
        <w:spacing w:after="0" w:line="195"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w:t>
      </w:r>
    </w:p>
    <w:p>
      <w:pPr>
        <w:spacing w:after="0" w:line="29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p>
    <w:p>
      <w:pPr>
        <w:spacing w:after="0" w:line="63" w:lineRule="exact"/>
        <w:rPr>
          <w:sz w:val="20"/>
          <w:szCs w:val="20"/>
          <w:color w:val="auto"/>
        </w:rPr>
      </w:pPr>
    </w:p>
    <w:p>
      <w:pPr>
        <w:ind w:firstLine="514"/>
        <w:spacing w:after="0" w:line="268" w:lineRule="auto"/>
        <w:rPr>
          <w:sz w:val="20"/>
          <w:szCs w:val="20"/>
          <w:color w:val="auto"/>
        </w:rPr>
      </w:pPr>
      <w:r>
        <w:rPr>
          <w:rFonts w:ascii="Arial" w:cs="Arial" w:eastAsia="Arial" w:hAnsi="Arial"/>
          <w:sz w:val="17"/>
          <w:szCs w:val="17"/>
          <w:color w:val="auto"/>
        </w:rPr>
        <w:t>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patients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86" w:lineRule="exact"/>
        <w:rPr>
          <w:sz w:val="20"/>
          <w:szCs w:val="20"/>
          <w:color w:val="auto"/>
        </w:rPr>
      </w:pPr>
    </w:p>
    <w:p>
      <w:pPr>
        <w:ind w:firstLine="514"/>
        <w:spacing w:after="0" w:line="255" w:lineRule="auto"/>
        <w:rPr>
          <w:sz w:val="20"/>
          <w:szCs w:val="20"/>
          <w:color w:val="auto"/>
        </w:rPr>
      </w:pPr>
      <w:r>
        <w:rPr>
          <w:rFonts w:ascii="Arial" w:cs="Arial" w:eastAsia="Arial" w:hAnsi="Arial"/>
          <w:sz w:val="18"/>
          <w:szCs w:val="18"/>
          <w:color w:val="auto"/>
        </w:rPr>
        <w:t>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w:t>
      </w:r>
    </w:p>
    <w:p>
      <w:pPr>
        <w:spacing w:after="0" w:line="192" w:lineRule="exact"/>
        <w:rPr>
          <w:sz w:val="20"/>
          <w:szCs w:val="20"/>
          <w:color w:val="auto"/>
        </w:rPr>
      </w:pPr>
    </w:p>
    <w:p>
      <w:pPr>
        <w:ind w:right="340" w:firstLine="514"/>
        <w:spacing w:after="0" w:line="277" w:lineRule="auto"/>
        <w:rPr>
          <w:sz w:val="20"/>
          <w:szCs w:val="20"/>
          <w:color w:val="auto"/>
        </w:rPr>
      </w:pPr>
      <w:r>
        <w:rPr>
          <w:rFonts w:ascii="Arial" w:cs="Arial" w:eastAsia="Arial" w:hAnsi="Arial"/>
          <w:sz w:val="18"/>
          <w:szCs w:val="18"/>
          <w:color w:val="auto"/>
        </w:rPr>
        <w:t>Our business also may be implicated if any of our CROs violates fraud and abuse or false claims laws and regulations or healthcare privacy and security laws.</w:t>
      </w:r>
    </w:p>
    <w:p>
      <w:pPr>
        <w:spacing w:after="0" w:line="170" w:lineRule="exact"/>
        <w:rPr>
          <w:sz w:val="20"/>
          <w:szCs w:val="20"/>
          <w:color w:val="auto"/>
        </w:rPr>
      </w:pPr>
    </w:p>
    <w:p>
      <w:pPr>
        <w:ind w:firstLine="514"/>
        <w:spacing w:after="0" w:line="269" w:lineRule="auto"/>
        <w:rPr>
          <w:sz w:val="20"/>
          <w:szCs w:val="20"/>
          <w:color w:val="auto"/>
        </w:rPr>
      </w:pPr>
      <w:r>
        <w:rPr>
          <w:rFonts w:ascii="Arial" w:cs="Arial" w:eastAsia="Arial" w:hAnsi="Arial"/>
          <w:sz w:val="17"/>
          <w:szCs w:val="17"/>
          <w:color w:val="auto"/>
        </w:rPr>
        <w:t>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8" w:name="page49"/>
    <w:bookmarkEnd w:id="48"/>
    <w:p>
      <w:pPr>
        <w:ind w:right="24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any of our product candidates, we may not achieve market acceptance, which would limit the revenue that we can generate from sales of any of our approved product candidates.</w:t>
      </w:r>
    </w:p>
    <w:p>
      <w:pPr>
        <w:spacing w:after="0" w:line="62"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ALX148 and any other product candidates, if any are approved, will depend on a number of factors, including, among others:</w:t>
      </w:r>
    </w:p>
    <w:p>
      <w:pPr>
        <w:spacing w:after="0" w:line="63" w:lineRule="exact"/>
        <w:rPr>
          <w:sz w:val="20"/>
          <w:szCs w:val="20"/>
          <w:color w:val="auto"/>
        </w:rPr>
      </w:pPr>
    </w:p>
    <w:p>
      <w:pPr>
        <w:ind w:left="1000" w:right="4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ALX148 and our other product candidates to treat cancer or other applicable targeted diseases, as compared with other available drugs, treatments or therapies;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ALX148 and our other product candidates;</w:t>
      </w:r>
    </w:p>
    <w:p>
      <w:pPr>
        <w:spacing w:after="0" w:line="117"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ALX148 or our other product candidates by the FDA or foreign regulatory authorities;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availability of alternative treatments and the potential and perceived advantages of our product candidates over alternative treatments;</w:t>
      </w:r>
    </w:p>
    <w:p>
      <w:pPr>
        <w:spacing w:after="0" w:line="128" w:lineRule="exact"/>
        <w:rPr>
          <w:rFonts w:ascii="Arial" w:cs="Arial" w:eastAsia="Arial" w:hAnsi="Arial"/>
          <w:sz w:val="17"/>
          <w:szCs w:val="17"/>
          <w:color w:val="auto"/>
        </w:rPr>
      </w:pPr>
    </w:p>
    <w:p>
      <w:pPr>
        <w:ind w:left="1000" w:right="8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size of the target patient population and the willingness of the target patient population to try new therapies and of physicians to prescribe these therapies;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strength and effectiveness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publicity for our product candidates and competing products and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pricing and cost-effectiveness in relation to alternative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and the willingness of patients to pay out-of-pocket in the absence of third-party coverage; and</w:t>
      </w:r>
    </w:p>
    <w:p>
      <w:pPr>
        <w:spacing w:after="0" w:line="62"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likelihood that the FDA or any foreign regulatory authority may impose additional requirements that limit the promotion, advertising, distribution or sales of our product candidates.</w:t>
      </w:r>
    </w:p>
    <w:p>
      <w:pPr>
        <w:spacing w:after="0" w:line="170"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ALX148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p>
    <w:p>
      <w:pPr>
        <w:spacing w:after="0" w:line="16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If any of our product candidates is approved but does not achieve an adequate level of acceptance by patients, physicians and third-party payors, we may not generate sufficient revenue to become or remain profitable and our business may be harmed.</w:t>
      </w:r>
    </w:p>
    <w:p>
      <w:pPr>
        <w:spacing w:after="0" w:line="2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and we may lack the necessary expertise, personnel and resources to successfully commercialize any of our products that receive regulatory approval.</w:t>
      </w:r>
    </w:p>
    <w:p>
      <w:pPr>
        <w:spacing w:after="0" w:line="6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currently have no marketing and sales organization and we have never commercialized a product candidate. To achieve commercial success of our product candidates, if any are approved, we will have to develop our own sales, marketing and supply capabilities or outsource these activities to a third party.</w:t>
      </w:r>
    </w:p>
    <w:p>
      <w:pPr>
        <w:spacing w:after="0" w:line="184" w:lineRule="exact"/>
        <w:rPr>
          <w:sz w:val="20"/>
          <w:szCs w:val="20"/>
          <w:color w:val="auto"/>
        </w:rPr>
      </w:pPr>
    </w:p>
    <w:p>
      <w:pPr>
        <w:jc w:val="both"/>
        <w:ind w:right="260" w:firstLine="510"/>
        <w:spacing w:after="0" w:line="257" w:lineRule="auto"/>
        <w:rPr>
          <w:sz w:val="20"/>
          <w:szCs w:val="20"/>
          <w:color w:val="auto"/>
        </w:rPr>
      </w:pPr>
      <w:r>
        <w:rPr>
          <w:rFonts w:ascii="Arial" w:cs="Arial" w:eastAsia="Arial" w:hAnsi="Arial"/>
          <w:sz w:val="18"/>
          <w:szCs w:val="18"/>
          <w:color w:val="auto"/>
        </w:rPr>
        <w:t>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ind w:right="60"/>
        <w:spacing w:after="0" w:line="296" w:lineRule="auto"/>
        <w:rPr>
          <w:sz w:val="20"/>
          <w:szCs w:val="20"/>
          <w:color w:val="auto"/>
        </w:rPr>
      </w:pPr>
      <w:r>
        <w:rPr>
          <w:rFonts w:ascii="Arial" w:cs="Arial" w:eastAsia="Arial" w:hAnsi="Arial"/>
          <w:sz w:val="16"/>
          <w:szCs w:val="16"/>
          <w:color w:val="auto"/>
        </w:rPr>
        <w:t>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p>
    <w:p>
      <w:pPr>
        <w:spacing w:after="0" w:line="161" w:lineRule="exact"/>
        <w:rPr>
          <w:sz w:val="20"/>
          <w:szCs w:val="20"/>
          <w:color w:val="auto"/>
        </w:rPr>
      </w:pPr>
    </w:p>
    <w:p>
      <w:pPr>
        <w:ind w:right="160" w:firstLine="510"/>
        <w:spacing w:after="0" w:line="271" w:lineRule="auto"/>
        <w:rPr>
          <w:sz w:val="20"/>
          <w:szCs w:val="20"/>
          <w:color w:val="auto"/>
        </w:rPr>
      </w:pPr>
      <w:r>
        <w:rPr>
          <w:rFonts w:ascii="Arial" w:cs="Arial" w:eastAsia="Arial" w:hAnsi="Arial"/>
          <w:sz w:val="17"/>
          <w:szCs w:val="17"/>
          <w:color w:val="auto"/>
        </w:rPr>
        <w:t>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opportunities for the product candidates we develop, if approved, may be limited to certain smaller patient subsets.</w:t>
      </w:r>
    </w:p>
    <w:p>
      <w:pPr>
        <w:spacing w:after="0" w:line="117"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There is no guarantee that the product candidates we develop, even if approved, would be approved for the currently proposed indications. We may have to conduct additional clinical trials that may be costly, time-consuming and subject to risk. Regulators, like FDA, may require us to narrow our indications to smaller patient subsets, and the number of patients in such subsets may turn out to be lower than expected.</w:t>
      </w:r>
    </w:p>
    <w:p>
      <w:pPr>
        <w:spacing w:after="0" w:line="2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p>
    <w:p>
      <w:pPr>
        <w:spacing w:after="0" w:line="79" w:lineRule="exact"/>
        <w:rPr>
          <w:sz w:val="20"/>
          <w:szCs w:val="20"/>
          <w:color w:val="auto"/>
        </w:rPr>
      </w:pPr>
    </w:p>
    <w:p>
      <w:pPr>
        <w:ind w:right="160" w:firstLine="510"/>
        <w:spacing w:after="0" w:line="291" w:lineRule="auto"/>
        <w:rPr>
          <w:sz w:val="20"/>
          <w:szCs w:val="20"/>
          <w:color w:val="auto"/>
        </w:rPr>
      </w:pPr>
      <w:r>
        <w:rPr>
          <w:rFonts w:ascii="Arial" w:cs="Arial" w:eastAsia="Arial" w:hAnsi="Arial"/>
          <w:sz w:val="16"/>
          <w:szCs w:val="16"/>
          <w:color w:val="auto"/>
        </w:rPr>
        <w:t>Our lead product candidate, ALX148, is at an early stage of clinical development and not all adverse effects can be predicted or anticipated. Unforeseen side effects from ALX148 or any of our future product candidates may arise at any time during clinical development or, if approved by regulatory authorities, after the approved drug product has been marketed. Any undesirable or unacceptable side effects of ALX148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w:t>
      </w:r>
    </w:p>
    <w:p>
      <w:pPr>
        <w:spacing w:after="0" w:line="166"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Even if any of our product candidates receive marketing approval, if we or others later identify undesirable or unacceptable side effects caused by such products:</w:t>
      </w:r>
    </w:p>
    <w:p>
      <w:pPr>
        <w:spacing w:after="0" w:line="62"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contraindication, precaution or field alerts to physicians and pharmacies;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limit the patient population who can use the product or conduct additional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320" w:firstLine="510"/>
        <w:spacing w:after="0" w:line="342"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0" w:name="page51"/>
    <w:bookmarkEnd w:id="50"/>
    <w:p>
      <w:pPr>
        <w:ind w:right="300"/>
        <w:spacing w:after="0" w:line="277" w:lineRule="auto"/>
        <w:rPr>
          <w:sz w:val="20"/>
          <w:szCs w:val="20"/>
          <w:color w:val="auto"/>
        </w:rPr>
      </w:pPr>
      <w:r>
        <w:rPr>
          <w:rFonts w:ascii="Arial" w:cs="Arial" w:eastAsia="Arial" w:hAnsi="Arial"/>
          <w:sz w:val="18"/>
          <w:szCs w:val="18"/>
          <w:b w:val="1"/>
          <w:bCs w:val="1"/>
          <w:i w:val="1"/>
          <w:iCs w:val="1"/>
          <w:color w:val="auto"/>
        </w:rPr>
        <w:t>Failure to obtain or maintain adequate coverage and reimbursement for our product candidates, if approved, could limit our ability to market those products and decrease our ability to generate revenue.</w:t>
      </w:r>
    </w:p>
    <w:p>
      <w:pPr>
        <w:spacing w:after="0" w:line="62"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178"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p>
    <w:p>
      <w:pPr>
        <w:spacing w:after="0" w:line="16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9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w:t>
      </w:r>
    </w:p>
    <w:p>
      <w:pPr>
        <w:spacing w:after="0" w:line="69"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and maintain coverage and adequate reimbursement for a product;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Even if we receive regulatory approval to commercialize any of our product candidates, we will be subject to ongoing regulatory obligations and continued regulatory review with respect to our drugs, which will result in significant additional expense.</w:t>
      </w:r>
    </w:p>
    <w:p>
      <w:pPr>
        <w:spacing w:after="0" w:line="38"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w:t>
      </w:r>
    </w:p>
    <w:p>
      <w:pPr>
        <w:spacing w:after="0" w:line="57"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the drug from the market or voluntary or mandatory product recalls;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publicity, fines, warning letters or holds on clinical trials;</w:t>
      </w:r>
    </w:p>
    <w:p>
      <w:pPr>
        <w:spacing w:after="0" w:line="117"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by the FDA or any other applicable regulatory authority to approve pending applications or supplements to approved applications filed by us, or suspension or revocation of product license approvals;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drug product seizure or detention, or refusal to permit the import or export of product candidates;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w:t>
      </w:r>
    </w:p>
    <w:p>
      <w:pPr>
        <w:spacing w:after="0" w:line="269"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p>
    <w:p>
      <w:pPr>
        <w:spacing w:after="0" w:line="23"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ALX148 or any product candidates we may seek to develop in the future will ever obtain regulatory approval. If we fail to comply with regulatory requirements in international markets or to obtain and maintain required approvals, our target market will be reduced and our ability to realize the full market potential of our product candidates will be harmed.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117"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FDA or comparable international regulatory authorities may disagree with the design, implementation or results of our clinical trials;</w:t>
      </w:r>
    </w:p>
    <w:p>
      <w:pPr>
        <w:spacing w:after="0" w:line="128" w:lineRule="exact"/>
        <w:rPr>
          <w:rFonts w:ascii="Arial" w:cs="Arial" w:eastAsia="Arial" w:hAnsi="Arial"/>
          <w:sz w:val="17"/>
          <w:szCs w:val="17"/>
          <w:color w:val="auto"/>
        </w:rPr>
      </w:pPr>
    </w:p>
    <w:p>
      <w:pPr>
        <w:ind w:left="1000" w:right="160" w:hanging="493"/>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75"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potency and safety in the full population for which we seek approval;</w:t>
      </w:r>
    </w:p>
    <w:p>
      <w:pPr>
        <w:spacing w:after="0" w:line="62"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international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00" w:right="560" w:hanging="493"/>
        <w:spacing w:after="0" w:line="342"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 Biologics License Application, New Drug Application or other submission or to obtain regulatory approval in the United States or elsewhere;</w:t>
      </w:r>
    </w:p>
    <w:p>
      <w:pPr>
        <w:spacing w:after="0" w:line="15" w:lineRule="exact"/>
        <w:rPr>
          <w:rFonts w:ascii="Arial" w:cs="Arial" w:eastAsia="Arial" w:hAnsi="Arial"/>
          <w:sz w:val="16"/>
          <w:szCs w:val="16"/>
          <w:color w:val="auto"/>
        </w:rPr>
      </w:pPr>
    </w:p>
    <w:p>
      <w:pPr>
        <w:ind w:left="1000" w:right="16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to the FDA or comparable international regulatory authorities that a product candidate’s risk-benefit ratio for its proposed indication is acceptable;</w:t>
      </w:r>
    </w:p>
    <w:p>
      <w:pPr>
        <w:spacing w:after="0" w:line="62" w:lineRule="exact"/>
        <w:rPr>
          <w:rFonts w:ascii="Arial" w:cs="Arial" w:eastAsia="Arial" w:hAnsi="Arial"/>
          <w:sz w:val="18"/>
          <w:szCs w:val="18"/>
          <w:color w:val="auto"/>
        </w:rPr>
      </w:pPr>
    </w:p>
    <w:p>
      <w:pPr>
        <w:ind w:left="1000" w:right="920" w:hanging="493"/>
        <w:spacing w:after="0" w:line="342"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FDA or comparable international regulatory authorities may fail to approve the manufacturing processes, test procedures and specifications or facilities of third-party manufacturers with which we contract for clinical and commercial supplies; and</w:t>
      </w:r>
    </w:p>
    <w:p>
      <w:pPr>
        <w:spacing w:after="0" w:line="15" w:lineRule="exact"/>
        <w:rPr>
          <w:rFonts w:ascii="Arial" w:cs="Arial" w:eastAsia="Arial" w:hAnsi="Arial"/>
          <w:sz w:val="16"/>
          <w:szCs w:val="16"/>
          <w:color w:val="auto"/>
        </w:rPr>
      </w:pPr>
    </w:p>
    <w:p>
      <w:pPr>
        <w:ind w:left="100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international foreign regulatory authorities may significantly change in a manner rendering our clinical data insufficient for approval.</w:t>
      </w:r>
    </w:p>
    <w:p>
      <w:pPr>
        <w:spacing w:after="0" w:line="17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w:t>
      </w:r>
    </w:p>
    <w:p>
      <w:pPr>
        <w:spacing w:after="0" w:line="18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government shutdowns,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2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While we have received certain FDA Fast Track designations, such Fast Track designations may not lead to a faster development or regulatory review or approval process, and does not increase the likelihood that the drug will receive marketing approval.</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February 2020, the FDA granted Fast Track designations to ALX148 for first-line HNSCC and for second-line treatment of advanced human epidermal growth factor receptor 2, or HER2-positive gastric/GEJ carcinoma.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ALX148,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3" w:name="page54"/>
    <w:bookmarkEnd w:id="53"/>
    <w:p>
      <w:pPr>
        <w:ind w:right="380"/>
        <w:spacing w:after="0" w:line="277" w:lineRule="auto"/>
        <w:rPr>
          <w:sz w:val="20"/>
          <w:szCs w:val="20"/>
          <w:color w:val="auto"/>
        </w:rPr>
      </w:pPr>
      <w:r>
        <w:rPr>
          <w:rFonts w:ascii="Arial" w:cs="Arial" w:eastAsia="Arial" w:hAnsi="Arial"/>
          <w:sz w:val="18"/>
          <w:szCs w:val="18"/>
          <w:b w:val="1"/>
          <w:bCs w:val="1"/>
          <w:i w:val="1"/>
          <w:iCs w:val="1"/>
          <w:color w:val="auto"/>
        </w:rPr>
        <w:t>If we decide to seek orphan drug designation for one or more of our product candidates, we may be unsuccessful or may be unable to maintain the benefits associated with such orphan drug designation.</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Under the Orphan Drug Act, the FDA may designate a product candidate as an orphan drug if it is a drug intended to treat a rare disease or condition, which is generally defined as a patient population of fewer than 200,000 individuals annually in the United States. We may seek Orphan Drug Designation for certain indications for our product candidates in the future. Orphan Drug Designation neither shortens the development time or regulatory review time of a product candidate nor gives the product candidate any advantage in the regulatory review or approval process. Generally, if a product candidate with an Orphan Drug Designation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w:t>
      </w:r>
    </w:p>
    <w:p>
      <w:pPr>
        <w:spacing w:after="0" w:line="2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commercialize our products, if approved, and affect the prices we may obtain. We may face difficulties from changes to current regulations and future legislation.</w:t>
      </w:r>
    </w:p>
    <w:p>
      <w:pPr>
        <w:spacing w:after="0" w:line="62"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68"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demand for our drugs, if we obtain regulatory approval;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receive or set a price that we believe is fair for our drugs;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December 2018, the Centers for Medicare &amp; Medicaid Services, or CMS, published a new final rule permitting further collections and payments to and from certain ACA-qualified health plans, or QHPs, and health insurance issuers under the ACA risk adjustment program in response to the outcome of federal district court litigation regarding the method CMS uses to determine this risk adjustment. On April 27, 2020, the United States Supreme Court reversed a Federal Circuit decision that previously upheld Congress’ denial of $12 billion in “risk corridor” funding. Further, in December 2018, a Texas U.S. District Court Judge ruled that the ACA is unconstitutional in its entirety because the “individual mandate” was repealed by the U.S. Congress as part of a tax act. Additionally, in December 2019, the U.S. Court of Appeals for the 5th Circuit upheld the district court ruling that the individual mandate was unconstitutional and remanded the case back to the district court to determine whether the remaining provisions of the ACA are invalid as well. In March 2020, the U.S. Supreme Court agreed to hear the case, and arguments have been scheduled for November 2020. It is unclear how such litigation and other efforts to repeal and replace the ACA will impact the ACA and our business. Complying with any new legislation or reversing changes implemented under the ACA could be time-intensive and expensive, resulting in a material adverse effect on our business.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right="140" w:firstLine="510"/>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2030 unless additional Congressional action is taken. The Coronavirus Aid, Relief and Economic Security Act, or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 Additionally, it is possible that additional governmental action is taken to address the COVID-19 pandemic, resulting in a material adverse effect on our business. For example, on April 18, 2020, CMS announced that QHP issuers under the ACA may suspend activities related to the collection and reporting of quality data that would have otherwise been reported between May and June 2020 given the challenges healthcare providers are facing responding to the COVID-19 virus.</w:t>
      </w:r>
    </w:p>
    <w:p>
      <w:pPr>
        <w:spacing w:after="0" w:line="181"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Medicare Part D beneficiary monthly out-of-pocket expenses, and place limits on pharmaceutical price increases.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out-of-pocket costs of drug products paid by consumers. The HHS has solicited feedback on some of these measures and, at the same, has implemented others under its existing authority. For example, in May 2019, CMS issued a final rule to allow Medicare Advantage plans the option to use step therapy for Part B drugs beginning January 1, 2020, codifying a policy change that was effective January 1, 2019. While some of these and other measures may require additional authorization to become effective, Congress and the Trump administration have each indicated that they would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0"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w:t>
      </w:r>
    </w:p>
    <w:p>
      <w:pPr>
        <w:spacing w:after="0" w:line="188" w:lineRule="exact"/>
        <w:rPr>
          <w:sz w:val="20"/>
          <w:szCs w:val="20"/>
          <w:color w:val="auto"/>
        </w:rPr>
      </w:pPr>
    </w:p>
    <w:p>
      <w:pPr>
        <w:jc w:val="both"/>
        <w:ind w:right="160" w:firstLine="510"/>
        <w:spacing w:after="0" w:line="272"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current or any future products.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w:t>
      </w:r>
    </w:p>
    <w:p>
      <w:pPr>
        <w:spacing w:after="0" w:line="17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ind w:right="120" w:firstLine="510"/>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29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79"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Although we do not currently have any products on the market, if we obtain FDA approval for our product candidates and begin commercializing those products in the United States, our operations may be directly, or indirectly through our prescribers,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physicians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w:t>
      </w:r>
    </w:p>
    <w:p>
      <w:pPr>
        <w:spacing w:after="0" w:line="74" w:lineRule="exact"/>
        <w:rPr>
          <w:sz w:val="20"/>
          <w:szCs w:val="20"/>
          <w:color w:val="auto"/>
        </w:rPr>
      </w:pPr>
    </w:p>
    <w:p>
      <w:pPr>
        <w:ind w:left="1000" w:hanging="493"/>
        <w:spacing w:after="0" w:line="273"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False Claims Act.</w:t>
      </w:r>
    </w:p>
    <w:p>
      <w:pPr>
        <w:spacing w:after="0" w:line="69" w:lineRule="exact"/>
        <w:rPr>
          <w:rFonts w:ascii="Arial" w:cs="Arial" w:eastAsia="Arial" w:hAnsi="Arial"/>
          <w:sz w:val="17"/>
          <w:szCs w:val="17"/>
          <w:color w:val="auto"/>
        </w:rPr>
      </w:pPr>
    </w:p>
    <w:p>
      <w:pPr>
        <w:ind w:left="1000" w:hanging="493"/>
        <w:spacing w:after="0" w:line="275"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federal civil and criminal false claims, including the civil False Claims Act, or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w:t>
      </w:r>
    </w:p>
    <w:p>
      <w:pPr>
        <w:spacing w:after="0" w:line="68" w:lineRule="exact"/>
        <w:rPr>
          <w:rFonts w:ascii="Arial" w:cs="Arial" w:eastAsia="Arial" w:hAnsi="Arial"/>
          <w:sz w:val="17"/>
          <w:szCs w:val="17"/>
          <w:color w:val="auto"/>
        </w:rPr>
      </w:pPr>
    </w:p>
    <w:p>
      <w:pPr>
        <w:ind w:left="1000" w:right="160" w:hanging="493"/>
        <w:spacing w:after="0" w:line="275"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68" w:lineRule="exact"/>
        <w:rPr>
          <w:rFonts w:ascii="Arial" w:cs="Arial" w:eastAsia="Arial" w:hAnsi="Arial"/>
          <w:sz w:val="17"/>
          <w:szCs w:val="17"/>
          <w:color w:val="auto"/>
        </w:rPr>
      </w:pPr>
    </w:p>
    <w:p>
      <w:pPr>
        <w:ind w:left="1000" w:right="140" w:hanging="493"/>
        <w:spacing w:after="0" w:line="275"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or 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68" w:lineRule="exact"/>
        <w:rPr>
          <w:rFonts w:ascii="Arial" w:cs="Arial" w:eastAsia="Arial" w:hAnsi="Arial"/>
          <w:sz w:val="17"/>
          <w:szCs w:val="17"/>
          <w:color w:val="auto"/>
        </w:rPr>
      </w:pPr>
    </w:p>
    <w:p>
      <w:pPr>
        <w:ind w:left="1000" w:right="20" w:hanging="493"/>
        <w:spacing w:after="0" w:line="291"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Arial" w:cs="Arial" w:eastAsia="Arial" w:hAnsi="Arial"/>
          <w:sz w:val="16"/>
          <w:szCs w:val="16"/>
          <w:i w:val="1"/>
          <w:iCs w:val="1"/>
          <w:color w:val="auto"/>
        </w:rPr>
        <w:t>i.e.</w:t>
      </w:r>
      <w:r>
        <w:rPr>
          <w:rFonts w:ascii="Arial" w:cs="Arial" w:eastAsia="Arial" w:hAnsi="Arial"/>
          <w:sz w:val="16"/>
          <w:szCs w:val="16"/>
          <w:color w:val="auto"/>
        </w:rPr>
        <w:t>, health plans, healthcare clearinghouses and healthcare providers, as well as their business associates that perform certain services for or on their behalf involving the use or disclosure of individually identifiable health information with respect to safeguarding the privacy, security and transmission of individually identifiable health information.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ind w:left="1000" w:right="58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Federal Food, Drug and Cosmetic Act prohibits, among other things, the adulteration or misbranding of drugs, biologics and medical devices.</w:t>
      </w:r>
    </w:p>
    <w:p>
      <w:pPr>
        <w:spacing w:after="0" w:line="62" w:lineRule="exact"/>
        <w:rPr>
          <w:rFonts w:ascii="Arial" w:cs="Arial" w:eastAsia="Arial" w:hAnsi="Arial"/>
          <w:sz w:val="18"/>
          <w:szCs w:val="18"/>
          <w:color w:val="auto"/>
        </w:rPr>
      </w:pPr>
    </w:p>
    <w:p>
      <w:pPr>
        <w:ind w:left="1000" w:right="60" w:hanging="493"/>
        <w:spacing w:after="0" w:line="290"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Additionally, President Trump signed into law in 2018 the “Substance Use-Disorder Prevention that Promoted Opioid Recovery and Treatment for Patients and Communities Act” which, under the provision entitled “Fighting the Opioid Epidemic with Sunshine,” in part, extends the reporting and transparency requirements for physicians under the Physician Payments Sunshine Act to physician assistants, nurse practitioners and other mid-level practitioners, with reporting requirements going into effect in 2022 for payments made in 2021.</w:t>
      </w:r>
    </w:p>
    <w:p>
      <w:pPr>
        <w:spacing w:after="0" w:line="57" w:lineRule="exact"/>
        <w:rPr>
          <w:rFonts w:ascii="Arial" w:cs="Arial" w:eastAsia="Arial" w:hAnsi="Arial"/>
          <w:sz w:val="16"/>
          <w:szCs w:val="16"/>
          <w:color w:val="auto"/>
        </w:rPr>
      </w:pPr>
    </w:p>
    <w:p>
      <w:pPr>
        <w:ind w:left="1000" w:right="220" w:hanging="493"/>
        <w:spacing w:after="0" w:line="273"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w:t>
      </w:r>
    </w:p>
    <w:p>
      <w:pPr>
        <w:spacing w:after="0" w:line="69" w:lineRule="exact"/>
        <w:rPr>
          <w:rFonts w:ascii="Arial" w:cs="Arial" w:eastAsia="Arial" w:hAnsi="Arial"/>
          <w:sz w:val="17"/>
          <w:szCs w:val="17"/>
          <w:color w:val="auto"/>
        </w:rPr>
      </w:pPr>
    </w:p>
    <w:p>
      <w:pPr>
        <w:ind w:left="1000" w:right="60" w:hanging="493"/>
        <w:spacing w:after="0" w:line="289"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58" w:lineRule="exact"/>
        <w:rPr>
          <w:rFonts w:ascii="Arial" w:cs="Arial" w:eastAsia="Arial" w:hAnsi="Arial"/>
          <w:sz w:val="16"/>
          <w:szCs w:val="16"/>
          <w:color w:val="auto"/>
        </w:rPr>
      </w:pPr>
    </w:p>
    <w:p>
      <w:pPr>
        <w:ind w:left="1000" w:right="28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also impose legal requirements, including reporting requirements detailing interactions with and payments to healthcare providers.</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2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p>
    <w:p>
      <w:pPr>
        <w:spacing w:after="0" w:line="76"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ind w:right="160"/>
        <w:spacing w:after="0" w:line="271" w:lineRule="auto"/>
        <w:rPr>
          <w:sz w:val="20"/>
          <w:szCs w:val="20"/>
          <w:color w:val="auto"/>
        </w:rPr>
      </w:pPr>
      <w:r>
        <w:rPr>
          <w:rFonts w:ascii="Arial" w:cs="Arial" w:eastAsia="Arial" w:hAnsi="Arial"/>
          <w:sz w:val="17"/>
          <w:szCs w:val="17"/>
          <w:color w:val="auto"/>
        </w:rPr>
        <w:t>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40"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w:t>
      </w:r>
    </w:p>
    <w:p>
      <w:pPr>
        <w:spacing w:after="0" w:line="276" w:lineRule="exact"/>
        <w:rPr>
          <w:sz w:val="20"/>
          <w:szCs w:val="20"/>
          <w:color w:val="auto"/>
        </w:rPr>
      </w:pPr>
    </w:p>
    <w:p>
      <w:pPr>
        <w:ind w:right="30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and the ability to hire and retain key personnel.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such as recent furloughs or government shutdowns, may also slow the time necessary for new drugs to be reviewed and/or approved by necessary government agencies, which would adversely affect our business.</w:t>
      </w:r>
    </w:p>
    <w:p>
      <w:pPr>
        <w:spacing w:after="0" w:line="300"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b w:val="1"/>
          <w:bCs w:val="1"/>
          <w:i w:val="1"/>
          <w:iCs w:val="1"/>
          <w:color w:val="auto"/>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p>
    <w:p>
      <w:pPr>
        <w:spacing w:after="0" w:line="76"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Our business activities may be subject to the U.S.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w:t>
      </w:r>
    </w:p>
    <w:p>
      <w:pPr>
        <w:spacing w:after="0" w:line="177" w:lineRule="exact"/>
        <w:rPr>
          <w:sz w:val="20"/>
          <w:szCs w:val="20"/>
          <w:color w:val="auto"/>
        </w:rPr>
      </w:pPr>
    </w:p>
    <w:p>
      <w:pPr>
        <w:ind w:right="220" w:firstLine="510"/>
        <w:spacing w:after="0" w:line="254" w:lineRule="auto"/>
        <w:rPr>
          <w:sz w:val="20"/>
          <w:szCs w:val="20"/>
          <w:color w:val="auto"/>
        </w:rPr>
      </w:pPr>
      <w:r>
        <w:rPr>
          <w:rFonts w:ascii="Arial" w:cs="Arial" w:eastAsia="Arial" w:hAnsi="Arial"/>
          <w:sz w:val="18"/>
          <w:szCs w:val="18"/>
          <w:color w:val="auto"/>
        </w:rPr>
        <w:t>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8" w:name="page59"/>
    <w:bookmarkEnd w:id="58"/>
    <w:p>
      <w:pPr>
        <w:spacing w:after="0" w:line="271" w:lineRule="auto"/>
        <w:rPr>
          <w:sz w:val="20"/>
          <w:szCs w:val="20"/>
          <w:color w:val="auto"/>
        </w:rPr>
      </w:pPr>
      <w:r>
        <w:rPr>
          <w:rFonts w:ascii="Arial" w:cs="Arial" w:eastAsia="Arial" w:hAnsi="Arial"/>
          <w:sz w:val="17"/>
          <w:szCs w:val="17"/>
          <w:color w:val="auto"/>
        </w:rPr>
        <w:t>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w:t>
      </w:r>
    </w:p>
    <w:p>
      <w:pPr>
        <w:spacing w:after="0" w:line="17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w:t>
      </w:r>
    </w:p>
    <w:p>
      <w:pPr>
        <w:spacing w:after="0" w:line="29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Data collection under European and U.S. laws is governed by restrictive regulations addressing the collection, use, processing and, in the case of Europe, cross-border transfer, of personal information.</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may collect, process, use or transfer personal information from individuals located in the European Union in connection with our business, including in connection with conducting clinical trials in the European Union. Additionally, if any of our product candidates are approved, we may seek to commercialize those products in the European Union. The collection and use of personal health data in the European Union is governed, in part, by the provisions of the General Data Protection Regulation (EU) 2016/679, or the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Failure to comply with the requirements of the GDPR and related national data protection laws of the member states of the European Union may result in substantial fines, other administrative penalties and civil claims being brought against us, which could have a material adverse effect on our business, financial condition and results of operations.</w:t>
      </w:r>
    </w:p>
    <w:p>
      <w:pPr>
        <w:spacing w:after="0" w:line="18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 Additionally, a new privacy law, the California Privacy Rights Act, or the CPRA, was approved by California voters in the election on November 3, 2020. The CPRA will modify the CCPA significantly, potentially resulting in further uncertainty and requiring us to incur additional costs and expenses in an effort to comply. As we expand our operations, preclinical studies and clinical trials, the CCPA and CPRA may increase our compliance costs and potential liability. Other states are beginning to consider and pass similar laws.</w:t>
      </w:r>
    </w:p>
    <w:p>
      <w:pPr>
        <w:spacing w:after="0" w:line="17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unable to obtain, maintain and enforce patent protection for our product candidates and related technology, our business could be materially harmed.</w:t>
      </w:r>
    </w:p>
    <w:p>
      <w:pPr>
        <w:spacing w:after="0" w:line="62" w:lineRule="exact"/>
        <w:rPr>
          <w:sz w:val="20"/>
          <w:szCs w:val="20"/>
          <w:color w:val="auto"/>
        </w:rPr>
      </w:pPr>
    </w:p>
    <w:p>
      <w:pPr>
        <w:ind w:right="20" w:firstLine="514"/>
        <w:spacing w:after="0" w:line="268" w:lineRule="auto"/>
        <w:rPr>
          <w:sz w:val="20"/>
          <w:szCs w:val="20"/>
          <w:color w:val="auto"/>
        </w:rPr>
      </w:pPr>
      <w:r>
        <w:rPr>
          <w:rFonts w:ascii="Arial" w:cs="Arial" w:eastAsia="Arial" w:hAnsi="Arial"/>
          <w:sz w:val="17"/>
          <w:szCs w:val="17"/>
          <w:color w:val="auto"/>
        </w:rPr>
        <w:t>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before it is too late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w:t>
      </w:r>
    </w:p>
    <w:p>
      <w:pPr>
        <w:spacing w:after="0" w:line="186" w:lineRule="exact"/>
        <w:rPr>
          <w:sz w:val="20"/>
          <w:szCs w:val="20"/>
          <w:color w:val="auto"/>
        </w:rPr>
      </w:pPr>
    </w:p>
    <w:p>
      <w:pPr>
        <w:ind w:firstLine="514"/>
        <w:spacing w:after="0" w:line="254" w:lineRule="auto"/>
        <w:rPr>
          <w:sz w:val="20"/>
          <w:szCs w:val="20"/>
          <w:color w:val="auto"/>
        </w:rPr>
      </w:pPr>
      <w:r>
        <w:rPr>
          <w:rFonts w:ascii="Arial" w:cs="Arial" w:eastAsia="Arial" w:hAnsi="Arial"/>
          <w:sz w:val="18"/>
          <w:szCs w:val="18"/>
          <w:color w:val="auto"/>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claims we ultimately get allowed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post-grant review, opposition or derivation proceedings challenging our patent rights or the patent rights of others.</w:t>
      </w:r>
    </w:p>
    <w:p>
      <w:pPr>
        <w:spacing w:after="0" w:line="192" w:lineRule="exact"/>
        <w:rPr>
          <w:sz w:val="20"/>
          <w:szCs w:val="20"/>
          <w:color w:val="auto"/>
        </w:rPr>
      </w:pPr>
    </w:p>
    <w:p>
      <w:pPr>
        <w:ind w:right="20" w:firstLine="514"/>
        <w:spacing w:after="0" w:line="287" w:lineRule="auto"/>
        <w:rPr>
          <w:sz w:val="20"/>
          <w:szCs w:val="20"/>
          <w:color w:val="auto"/>
        </w:rPr>
      </w:pPr>
      <w:r>
        <w:rPr>
          <w:rFonts w:ascii="Arial" w:cs="Arial" w:eastAsia="Arial" w:hAnsi="Arial"/>
          <w:sz w:val="16"/>
          <w:szCs w:val="16"/>
          <w:color w:val="auto"/>
        </w:rPr>
        <w:t>In addition, changes in law may introduce uncertainty in the enforceability or scope of patents owned by us.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w:t>
      </w:r>
    </w:p>
    <w:p>
      <w:pPr>
        <w:spacing w:after="0" w:line="168" w:lineRule="exact"/>
        <w:rPr>
          <w:sz w:val="20"/>
          <w:szCs w:val="20"/>
          <w:color w:val="auto"/>
        </w:rPr>
      </w:pPr>
    </w:p>
    <w:p>
      <w:pPr>
        <w:ind w:right="60" w:firstLine="514"/>
        <w:spacing w:after="0" w:line="293" w:lineRule="auto"/>
        <w:rPr>
          <w:sz w:val="20"/>
          <w:szCs w:val="20"/>
          <w:color w:val="auto"/>
        </w:rPr>
      </w:pPr>
      <w:r>
        <w:rPr>
          <w:rFonts w:ascii="Arial" w:cs="Arial" w:eastAsia="Arial" w:hAnsi="Arial"/>
          <w:sz w:val="16"/>
          <w:szCs w:val="16"/>
          <w:color w:val="auto"/>
        </w:rPr>
        <w:t>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0" w:name="page61"/>
    <w:bookmarkEnd w:id="60"/>
    <w:p>
      <w:pPr>
        <w:ind w:right="20" w:firstLine="510"/>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Additionally, the requirements for patentability may differ in certain countries. For example, in India, unlike the United States, there is no link between regulatory approval of a drug and its patent status, and patenting of medical uses of a claimed drug are prohibited. In addition to India,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30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6"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spacing w:after="0" w:line="17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1" w:name="page62"/>
    <w:bookmarkEnd w:id="61"/>
    <w:p>
      <w:pPr>
        <w:jc w:val="both"/>
        <w:ind w:right="120" w:firstLine="510"/>
        <w:spacing w:after="0" w:line="285" w:lineRule="auto"/>
        <w:rPr>
          <w:sz w:val="20"/>
          <w:szCs w:val="20"/>
          <w:color w:val="auto"/>
        </w:rPr>
      </w:pPr>
      <w:r>
        <w:rPr>
          <w:rFonts w:ascii="Arial" w:cs="Arial" w:eastAsia="Arial" w:hAnsi="Arial"/>
          <w:sz w:val="16"/>
          <w:szCs w:val="16"/>
          <w:color w:val="auto"/>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Arial" w:cs="Arial" w:eastAsia="Arial" w:hAnsi="Arial"/>
          <w:sz w:val="16"/>
          <w:szCs w:val="16"/>
          <w:i w:val="1"/>
          <w:iCs w:val="1"/>
          <w:color w:val="auto"/>
        </w:rPr>
        <w:t>e.g.</w:t>
      </w:r>
      <w:r>
        <w:rPr>
          <w:rFonts w:ascii="Arial" w:cs="Arial" w:eastAsia="Arial" w:hAnsi="Arial"/>
          <w:sz w:val="16"/>
          <w:szCs w:val="16"/>
          <w:color w:val="auto"/>
        </w:rPr>
        <w:t xml:space="preserve">, via post-grant reviews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Accordingly, a third party may attempt to use the USPTO procedures to invalidate our patent claims that would not have been invalidated if first challenged by the third party as a defendant in a district court action.</w:t>
      </w:r>
    </w:p>
    <w:p>
      <w:pPr>
        <w:spacing w:after="0" w:line="185" w:lineRule="exact"/>
        <w:rPr>
          <w:sz w:val="20"/>
          <w:szCs w:val="20"/>
          <w:color w:val="auto"/>
        </w:rPr>
      </w:pPr>
    </w:p>
    <w:p>
      <w:pPr>
        <w:jc w:val="both"/>
        <w:ind w:right="540" w:firstLine="510"/>
        <w:spacing w:after="0" w:line="263" w:lineRule="auto"/>
        <w:rPr>
          <w:sz w:val="20"/>
          <w:szCs w:val="20"/>
          <w:color w:val="auto"/>
        </w:rPr>
      </w:pPr>
      <w:r>
        <w:rPr>
          <w:rFonts w:ascii="Arial" w:cs="Arial" w:eastAsia="Arial" w:hAnsi="Arial"/>
          <w:sz w:val="18"/>
          <w:szCs w:val="18"/>
          <w:color w:val="auto"/>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covering one or more of our product candidates could be found invalid or unenforceable if challenged.</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1"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19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protection, prosecution, assertion and defense for some of our product candidates may be dependent on third parties.</w:t>
      </w:r>
    </w:p>
    <w:p>
      <w:pPr>
        <w:spacing w:after="0" w:line="117"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There may be times in the future when certain patents that relate to our product candidates or any approved products are controlled by our licensees or licensors, such as with respect to our Stanford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ind w:right="68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proprietary information or obtain proper assignment of such intellectual property, the value of our technology and products could be adversely affected.</w:t>
      </w:r>
    </w:p>
    <w:p>
      <w:pPr>
        <w:spacing w:after="0" w:line="62"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such as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390" w:lineRule="exact"/>
        <w:rPr>
          <w:sz w:val="20"/>
          <w:szCs w:val="20"/>
          <w:color w:val="auto"/>
        </w:rPr>
      </w:pPr>
    </w:p>
    <w:p>
      <w:pPr>
        <w:ind w:right="140" w:firstLine="510"/>
        <w:spacing w:after="0" w:line="289" w:lineRule="auto"/>
        <w:rPr>
          <w:sz w:val="20"/>
          <w:szCs w:val="20"/>
          <w:color w:val="auto"/>
        </w:rPr>
      </w:pPr>
      <w:r>
        <w:rPr>
          <w:rFonts w:ascii="Arial" w:cs="Arial" w:eastAsia="Arial" w:hAnsi="Arial"/>
          <w:sz w:val="16"/>
          <w:szCs w:val="16"/>
          <w:color w:val="auto"/>
        </w:rPr>
        <w:t>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lawsuits to protect or enforce our patents and trade secrets, which could be expensive, time-consuming and unsuccessful.</w:t>
      </w:r>
    </w:p>
    <w:p>
      <w:pPr>
        <w:spacing w:after="0" w:line="15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w:t>
      </w:r>
    </w:p>
    <w:p>
      <w:pPr>
        <w:spacing w:after="0" w:line="185"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ind w:right="380" w:firstLine="510"/>
        <w:spacing w:after="0" w:line="277" w:lineRule="auto"/>
        <w:rPr>
          <w:sz w:val="20"/>
          <w:szCs w:val="20"/>
          <w:color w:val="auto"/>
        </w:rPr>
      </w:pPr>
      <w:r>
        <w:rPr>
          <w:rFonts w:ascii="Arial" w:cs="Arial" w:eastAsia="Arial" w:hAnsi="Arial"/>
          <w:sz w:val="18"/>
          <w:szCs w:val="18"/>
          <w:color w:val="auto"/>
        </w:rPr>
        <w:t>The following are examples of litigation and other adversarial proceedings or disputes that we could become a party to involving our patents or patents licensed to us:</w:t>
      </w:r>
    </w:p>
    <w:p>
      <w:pPr>
        <w:spacing w:after="0" w:line="62" w:lineRule="exact"/>
        <w:rPr>
          <w:sz w:val="20"/>
          <w:szCs w:val="20"/>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initiate litigation or other proceedings against third parties to enforce our patent and trade secret rights;</w:t>
      </w:r>
    </w:p>
    <w:p>
      <w:pPr>
        <w:spacing w:after="0" w:line="117"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third parties may initiate opposition or other proceedings challenging the validity or scope of our patent rights, requiring us and/or licensors to participate in such proceedings to defend the validity and scope of our patents;</w:t>
      </w:r>
    </w:p>
    <w:p>
      <w:pPr>
        <w:spacing w:after="0" w:line="62" w:lineRule="exact"/>
        <w:rPr>
          <w:rFonts w:ascii="Arial" w:cs="Arial" w:eastAsia="Arial" w:hAnsi="Arial"/>
          <w:sz w:val="18"/>
          <w:szCs w:val="18"/>
          <w:color w:val="auto"/>
        </w:rPr>
      </w:pPr>
    </w:p>
    <w:p>
      <w:pPr>
        <w:ind w:left="1000" w:right="100" w:hanging="493"/>
        <w:spacing w:after="0" w:line="286"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there may be a challenge or dispute regarding inventorship or ownership of patents or trade secrets currently identified as being owned by or licensed to us, including disputes that may arise from our reliance on Tallac Therapeutics as the current sole provider of our preclinical research services and the intellectual property generated under the Tallac Services Agreement; or</w:t>
      </w:r>
    </w:p>
    <w:p>
      <w:pPr>
        <w:spacing w:after="0" w:line="57" w:lineRule="exact"/>
        <w:rPr>
          <w:rFonts w:ascii="Arial" w:cs="Arial" w:eastAsia="Arial" w:hAnsi="Arial"/>
          <w:sz w:val="17"/>
          <w:szCs w:val="17"/>
          <w:color w:val="auto"/>
        </w:rPr>
      </w:pPr>
    </w:p>
    <w:p>
      <w:pPr>
        <w:ind w:left="1000" w:right="160" w:hanging="493"/>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w:t>
      </w:r>
    </w:p>
    <w:p>
      <w:pPr>
        <w:spacing w:after="0" w:line="184"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172"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w:t>
      </w:r>
    </w:p>
    <w:p>
      <w:pPr>
        <w:spacing w:after="0" w:line="28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or our employees or consultants have wrongfully used or disclosed alleged trade secrets or other proprietary information of our employees’ or consultants’ former employers or their clients.</w:t>
      </w:r>
    </w:p>
    <w:p>
      <w:pPr>
        <w:spacing w:after="0" w:line="62"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 We may become involved in lawsuits to protect or enforce our patents and trade secrets, which could be expensive, time consuming and unsuccessful.”</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i w:val="1"/>
          <w:iCs w:val="1"/>
          <w:color w:val="auto"/>
        </w:rPr>
        <w:t>Our commercial success depends significantly on our ability to operate without infringing the patents and other proprietary rights of third parties.</w:t>
      </w:r>
    </w:p>
    <w:p>
      <w:pPr>
        <w:spacing w:after="0" w:line="140"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w:t>
      </w:r>
    </w:p>
    <w:p>
      <w:pPr>
        <w:spacing w:after="0" w:line="187"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We are aware of third-party patents and patent applications containing claims in the immuno-oncology field based on scientific approaches that are the same as or similar to our approach, including with respect to the targeting of the CD47 and signal regulatory protein alpha, or SIRPα, pathways, and others that are based on entirely different approaches. These patents and applications could potentially be construed to cover our product candidates and their use. For example, we are aware of a U.S. patent application owned by University Health Network, or UHN, and The Hospital for Sick Children that may encompass certain therapies for the treatment of cancer using polypeptides comprising soluble human SIRPα. This patent application relates to the treatment of cancer with polypeptides comprising soluble human SIRPα. Trillium Therapeutics, our competitor, has an exclusive license to the U.S. patent application, and the USPTO has issued a notice of allowance with respect to the patent application. The European counterpart patent (EP 2 429 574) was revoked by the European Patent Office and UHN and The Hospital for Sick Children have appealed the decision. The patent claims under the U.S. patent, if granted, and the European patent, if the appeal by UHN and The Hospital for Sick Children is successful, could potentially limit our ability to pursue ALX148 in certain new indications or geographies in the future. However, we believe that we do not infringe claims listed in the allowed U.S. patent application.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spacing w:after="0" w:line="171"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w:t>
      </w:r>
    </w:p>
    <w:p>
      <w:pPr>
        <w:spacing w:after="0" w:line="177" w:lineRule="exact"/>
        <w:rPr>
          <w:sz w:val="20"/>
          <w:szCs w:val="20"/>
          <w:color w:val="auto"/>
        </w:rPr>
      </w:pPr>
    </w:p>
    <w:p>
      <w:pPr>
        <w:ind w:right="500" w:firstLine="510"/>
        <w:spacing w:after="0" w:line="311" w:lineRule="auto"/>
        <w:rPr>
          <w:sz w:val="20"/>
          <w:szCs w:val="20"/>
          <w:color w:val="auto"/>
        </w:rPr>
      </w:pPr>
      <w:r>
        <w:rPr>
          <w:rFonts w:ascii="Arial" w:cs="Arial" w:eastAsia="Arial" w:hAnsi="Arial"/>
          <w:sz w:val="16"/>
          <w:szCs w:val="16"/>
          <w:color w:val="auto"/>
        </w:rPr>
        <w:t>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117"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38" w:lineRule="exact"/>
        <w:rPr>
          <w:sz w:val="20"/>
          <w:szCs w:val="20"/>
          <w:color w:val="auto"/>
        </w:rPr>
      </w:pPr>
    </w:p>
    <w:p>
      <w:pPr>
        <w:ind w:left="1000" w:right="22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117" w:lineRule="exact"/>
        <w:rPr>
          <w:rFonts w:ascii="Arial" w:cs="Arial" w:eastAsia="Arial" w:hAnsi="Arial"/>
          <w:sz w:val="18"/>
          <w:szCs w:val="18"/>
          <w:color w:val="auto"/>
        </w:rPr>
      </w:pPr>
    </w:p>
    <w:p>
      <w:pPr>
        <w:ind w:left="1000" w:right="72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00" w:right="200" w:hanging="493"/>
        <w:spacing w:after="0" w:line="26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w:t>
      </w:r>
    </w:p>
    <w:p>
      <w:pPr>
        <w:spacing w:after="0" w:line="75" w:lineRule="exact"/>
        <w:rPr>
          <w:rFonts w:ascii="Arial" w:cs="Arial" w:eastAsia="Arial" w:hAnsi="Arial"/>
          <w:sz w:val="18"/>
          <w:szCs w:val="18"/>
          <w:color w:val="auto"/>
        </w:rPr>
      </w:pPr>
    </w:p>
    <w:p>
      <w:pPr>
        <w:ind w:left="1000" w:right="680" w:hanging="493"/>
        <w:spacing w:after="0" w:line="308" w:lineRule="auto"/>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65" w:name="page66"/>
    <w:bookmarkEnd w:id="65"/>
    <w:p>
      <w:pPr>
        <w:ind w:left="1000" w:right="80" w:hanging="493"/>
        <w:spacing w:after="0" w:line="308" w:lineRule="auto"/>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8" w:lineRule="exact"/>
        <w:rPr>
          <w:rFonts w:ascii="Arial" w:cs="Arial" w:eastAsia="Arial" w:hAnsi="Arial"/>
          <w:sz w:val="17"/>
          <w:szCs w:val="17"/>
          <w:color w:val="auto"/>
        </w:rPr>
      </w:pPr>
    </w:p>
    <w:p>
      <w:pPr>
        <w:ind w:left="1000" w:right="26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3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for any proposed product candidate names, and any failure or delay associated with product candidate name approval may adversely affect our business.</w:t>
      </w:r>
    </w:p>
    <w:p>
      <w:pPr>
        <w:spacing w:after="0" w:line="6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rights to develop and commercialize our product candidates may be subject, in part, to the terms and conditions of agreements with others.</w:t>
      </w:r>
    </w:p>
    <w:p>
      <w:pPr>
        <w:spacing w:after="0" w:line="140"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p>
    <w:p>
      <w:pPr>
        <w:spacing w:after="0" w:line="15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65"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p>
    <w:p>
      <w:pPr>
        <w:spacing w:after="0" w:line="76"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Moreover, disputes may arise regarding intellectual property subject to a collaboration agreement, including:</w:t>
      </w:r>
    </w:p>
    <w:p>
      <w:pPr>
        <w:spacing w:after="0" w:line="117" w:lineRule="exact"/>
        <w:rPr>
          <w:sz w:val="20"/>
          <w:szCs w:val="20"/>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of the option or license rights granted under the agreement and other interpretation-related issues;</w:t>
      </w:r>
    </w:p>
    <w:p>
      <w:pPr>
        <w:spacing w:after="0" w:line="117"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collaborator that is not subject to the option or license rights granted under the agreement;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diligence obligations under the agreement and what activities satisfy those diligence obligations;</w:t>
      </w:r>
    </w:p>
    <w:p>
      <w:pPr>
        <w:spacing w:after="0" w:line="117" w:lineRule="exact"/>
        <w:rPr>
          <w:rFonts w:ascii="Arial" w:cs="Arial" w:eastAsia="Arial" w:hAnsi="Arial"/>
          <w:sz w:val="18"/>
          <w:szCs w:val="18"/>
          <w:color w:val="auto"/>
        </w:rPr>
      </w:pPr>
    </w:p>
    <w:p>
      <w:pPr>
        <w:ind w:left="1000" w:right="84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collaborators and us and our other partners;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As of September 30, 2020, we had 17 employees, including 8 employees engaged in research and development. In order to successfully implement our development and commercialization plans and strategies, and as we transition into operating as a public company, we expect to need additional managerial, scientific, technical, medical, operational, sales, marketing, financial and other personnel. Future growth would impose significant added responsibilities on members of management, including:</w:t>
      </w:r>
    </w:p>
    <w:p>
      <w:pPr>
        <w:spacing w:after="0" w:line="79"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1000" w:right="480" w:hanging="493"/>
        <w:spacing w:after="0" w:line="342"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managing our internal development efforts effectively, including the clinical and FDA review process for ALX148 and any other future product candidates, while complying with any contractual obligations to contractors and other third parties we may have; and</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jc w:val="both"/>
        <w:ind w:right="360" w:firstLine="510"/>
        <w:spacing w:after="0" w:line="311" w:lineRule="auto"/>
        <w:rPr>
          <w:sz w:val="20"/>
          <w:szCs w:val="20"/>
          <w:color w:val="auto"/>
        </w:rPr>
      </w:pPr>
      <w:r>
        <w:rPr>
          <w:rFonts w:ascii="Arial" w:cs="Arial" w:eastAsia="Arial" w:hAnsi="Arial"/>
          <w:sz w:val="16"/>
          <w:szCs w:val="16"/>
          <w:color w:val="auto"/>
        </w:rPr>
        <w:t>Our future financial performance and our ability to successfully develop and, if approved, commercialize ALX148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7" w:name="page68"/>
    <w:bookmarkEnd w:id="67"/>
    <w:p>
      <w:pPr>
        <w:ind w:firstLine="510"/>
        <w:spacing w:after="0" w:line="291" w:lineRule="auto"/>
        <w:rPr>
          <w:sz w:val="20"/>
          <w:szCs w:val="20"/>
          <w:color w:val="auto"/>
        </w:rPr>
      </w:pPr>
      <w:r>
        <w:rPr>
          <w:rFonts w:ascii="Arial" w:cs="Arial" w:eastAsia="Arial" w:hAnsi="Arial"/>
          <w:sz w:val="16"/>
          <w:szCs w:val="16"/>
          <w:color w:val="auto"/>
        </w:rPr>
        <w:t>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ALX148 and any other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66"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ALX148 and other future product candidates and, accordingly, may not achieve our research, development and commercialization goals.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 candidates are based on a novel technology, which makes it difficult to predict the time and cost of product candidate development.</w:t>
      </w:r>
    </w:p>
    <w:p>
      <w:pPr>
        <w:spacing w:after="0" w:line="140"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We have concentrated our product research and development efforts on our novel immuno-oncology approach, and our future success depends on the successful development of our lead product candidate, ALX148,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15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For example, our former Chief Scientific Officer recently left to become the Chief Executive Officer at Tallac Therapeutics, as described elsewhere in this Quarterly Report.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185"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8" w:name="page69"/>
    <w:bookmarkEnd w:id="68"/>
    <w:p>
      <w:pPr>
        <w:ind w:right="200"/>
        <w:spacing w:after="0" w:line="277"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62" w:lineRule="exact"/>
        <w:rPr>
          <w:sz w:val="20"/>
          <w:szCs w:val="20"/>
          <w:color w:val="auto"/>
        </w:rPr>
      </w:pPr>
    </w:p>
    <w:p>
      <w:pPr>
        <w:ind w:right="200" w:firstLine="510"/>
        <w:spacing w:after="0" w:line="273" w:lineRule="auto"/>
        <w:rPr>
          <w:sz w:val="20"/>
          <w:szCs w:val="20"/>
          <w:color w:val="auto"/>
        </w:rPr>
      </w:pPr>
      <w:r>
        <w:rPr>
          <w:rFonts w:ascii="Arial" w:cs="Arial" w:eastAsia="Arial" w:hAnsi="Arial"/>
          <w:sz w:val="17"/>
          <w:szCs w:val="17"/>
          <w:color w:val="auto"/>
        </w:rPr>
        <w:t>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w:t>
      </w:r>
    </w:p>
    <w:p>
      <w:pPr>
        <w:spacing w:after="0" w:line="70" w:lineRule="exact"/>
        <w:rPr>
          <w:sz w:val="20"/>
          <w:szCs w:val="20"/>
          <w:color w:val="auto"/>
        </w:rPr>
      </w:pPr>
    </w:p>
    <w:p>
      <w:pPr>
        <w:ind w:left="1000" w:right="340" w:hanging="493"/>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 including within the European Union and in the United Kingdom as a result of Brexit;</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 including as a result of potentially relevant third-party patent rights;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117"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drugs;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exposure to foreign currency exchange rate fluctuations;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political and economic instability, including wars, terrorism and political unrest, boycotts, curtailment of trade and other business restrictions;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natural disasters, outbreaks or public health crises, such as the COVID-19 pandemic;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117" w:lineRule="exact"/>
        <w:rPr>
          <w:rFonts w:ascii="Arial" w:cs="Arial" w:eastAsia="Arial" w:hAnsi="Arial"/>
          <w:sz w:val="18"/>
          <w:szCs w:val="18"/>
          <w:color w:val="auto"/>
        </w:rPr>
      </w:pPr>
    </w:p>
    <w:p>
      <w:pPr>
        <w:ind w:left="1000" w:right="200" w:hanging="493"/>
        <w:spacing w:after="0" w:line="308"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regulatory and compliance risks that relate to anti-corruption compliance and record-keeping that may fall within the purview of the FCPA, its accounting provisions or its anti-bribery provisions, or provisions of anti-corruption or anti-bribery laws in other countries.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factors could harm our future international expansion and operations and, consequently, our results of operations.</w:t>
      </w:r>
    </w:p>
    <w:p>
      <w:pPr>
        <w:spacing w:after="0" w:line="333"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195"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ind w:right="12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product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p>
    <w:p>
      <w:pPr>
        <w:spacing w:after="0" w:line="178"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w:t>
      </w:r>
    </w:p>
    <w:p>
      <w:pPr>
        <w:spacing w:after="0" w:line="18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We may expend our limited resources to pursue a particular product candidate or indication and fail to capitalize on product candidates or indications that may be more profitable or for which there is a greater likelihood of success.</w:t>
      </w:r>
    </w:p>
    <w:p>
      <w:pPr>
        <w:spacing w:after="0" w:line="195"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w:t>
      </w:r>
    </w:p>
    <w:p>
      <w:pPr>
        <w:spacing w:after="0" w:line="149"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Our spending on current and future research and development programs, such as ALX148,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COVID-19 pandemic could adversely impact our business including our ongoing and planned clinical trials and preclinical research.</w:t>
      </w:r>
    </w:p>
    <w:p>
      <w:pPr>
        <w:spacing w:after="0" w:line="129"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In December 2019, COVID-19 was reported to have surfaced in Wuhan, China. Since then, the virus has spread to most other countries across the world, including all 50 states within the United States, resulting in the World Health Organization characterizing COVID-19 as a pandemic. As a result of measures imposed by the governments in affected regions, many commercial activities, businesses and schools have been suspended as part of quarantines and other measures intended to contain this pandemic. The extent to which the COVID-19 pandemic ultimately impacts our business will depend on future developments, which are highly uncertain and cannot be predicted, such as the duration of the outbreak, travel restrictions and social distancing in the United States and other countries, business closures or business disruptions, and the effectiveness of actions taken in the United States and other countries to contain and treat the disease and to address its impact, including on financial markets or otherwise. As the COVID-19 pandemic continues to spread around the globe, we may experience disruptions that could severely impact our business, current and planned clinical trials and preclinical research, including:</w:t>
      </w:r>
    </w:p>
    <w:p>
      <w:pPr>
        <w:spacing w:after="0" w:line="73" w:lineRule="exact"/>
        <w:rPr>
          <w:sz w:val="20"/>
          <w:szCs w:val="20"/>
          <w:color w:val="auto"/>
        </w:rPr>
      </w:pPr>
    </w:p>
    <w:p>
      <w:pPr>
        <w:ind w:left="1000" w:right="14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subjects, particularly elderly subjects, who are at a higher risk of severe illness or death from COVID-19, in our ongoing clinical trial of ALX148 and our future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interpreting data from our clinical trials due to the possible effects of COVID-19 on subjects;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0" w:name="page71"/>
    <w:bookmarkEnd w:id="70"/>
    <w:p>
      <w:pPr>
        <w:ind w:left="100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62"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jc w:val="both"/>
        <w:ind w:left="1000" w:right="100" w:hanging="493"/>
        <w:spacing w:after="0" w:line="286"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limitations in resources, including our employees, that would otherwise be focused on the conduct of our business or our current or planned clinical trials or preclinical research, including because of sickness, the desire to avoid contact with large groups of people, or restrictions on movement or access to our facility as a result of government-imposed “shelter in place” or similar working restrictions;</w:t>
      </w:r>
    </w:p>
    <w:p>
      <w:pPr>
        <w:spacing w:after="0" w:line="57" w:lineRule="exact"/>
        <w:rPr>
          <w:rFonts w:ascii="Arial" w:cs="Arial" w:eastAsia="Arial" w:hAnsi="Arial"/>
          <w:sz w:val="17"/>
          <w:szCs w:val="17"/>
          <w:color w:val="auto"/>
        </w:rPr>
      </w:pPr>
    </w:p>
    <w:p>
      <w:pPr>
        <w:ind w:left="1000" w:right="64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interruptions, difficulties or delays arising in our existing operations and company culture as a result of all of our employees working remotely, including those hired during the COVID-19 pandemic;</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in receiving approval from regulatory authorities to initiate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the CROs conducting such studies;</w:t>
      </w:r>
    </w:p>
    <w:p>
      <w:pPr>
        <w:spacing w:after="0" w:line="117" w:lineRule="exact"/>
        <w:rPr>
          <w:rFonts w:ascii="Arial" w:cs="Arial" w:eastAsia="Arial" w:hAnsi="Arial"/>
          <w:sz w:val="18"/>
          <w:szCs w:val="18"/>
          <w:color w:val="auto"/>
        </w:rPr>
      </w:pPr>
    </w:p>
    <w:p>
      <w:pPr>
        <w:ind w:left="1000" w:right="58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interruptions or delays in the operations of the FDA or other domestic or foreign regulatory authorities, which may impact review and approval timelines;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in receiving the supplies, materials and services needed to conduct clinical trials and preclinical research;</w:t>
      </w:r>
    </w:p>
    <w:p>
      <w:pPr>
        <w:spacing w:after="0" w:line="117"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regulations as part of a response to the COVID-19 pandemic which may require us to change the ways in which our clinical trials are conducted, which may result in unexpected costs or require us to discontinue the clinical trial altogether;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interruptions or delays to our development pipeline;</w:t>
      </w:r>
    </w:p>
    <w:p>
      <w:pPr>
        <w:spacing w:after="0" w:line="117" w:lineRule="exact"/>
        <w:rPr>
          <w:rFonts w:ascii="Arial" w:cs="Arial" w:eastAsia="Arial" w:hAnsi="Arial"/>
          <w:sz w:val="18"/>
          <w:szCs w:val="18"/>
          <w:color w:val="auto"/>
        </w:rPr>
      </w:pPr>
    </w:p>
    <w:p>
      <w:pPr>
        <w:ind w:left="1000" w:right="66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forced furlough of government or contractor personnel;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of the United States.</w:t>
      </w:r>
    </w:p>
    <w:p>
      <w:pPr>
        <w:spacing w:after="0" w:line="225" w:lineRule="exact"/>
        <w:rPr>
          <w:sz w:val="20"/>
          <w:szCs w:val="20"/>
          <w:color w:val="auto"/>
        </w:rPr>
      </w:pPr>
    </w:p>
    <w:p>
      <w:pPr>
        <w:ind w:right="40" w:firstLine="514"/>
        <w:spacing w:after="0" w:line="286" w:lineRule="auto"/>
        <w:rPr>
          <w:sz w:val="20"/>
          <w:szCs w:val="20"/>
          <w:color w:val="auto"/>
        </w:rPr>
      </w:pPr>
      <w:r>
        <w:rPr>
          <w:rFonts w:ascii="Arial" w:cs="Arial" w:eastAsia="Arial" w:hAnsi="Arial"/>
          <w:sz w:val="16"/>
          <w:szCs w:val="16"/>
          <w:color w:val="auto"/>
        </w:rPr>
        <w:t>We are still assessing the impact that the COVID-19 pandemic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 or due to shutdowns that may be requested or mandated by federal, state and local governmental authorities. For example, on March 16, 2020, San Mateo County, where our headquarters are located, issued a “shelter-in-place” order, effective March 17, 2020, and on March 19, 2020, the Executive Department of the State of California issued Executive Order N-33-20, ordering all individuals in the State of California to stay home or at their place of residence except as needed to maintain continuity of operations of the federal critical infrastructure sectors. Although San Mateo County and the State of California subsequently took steps toward reopening businesses, the State of California recently placed San Mateo County on its monitoring list due to an increase in the rate of COVID-19 cases in the county, reversing the reopening of many workplaces. In August 2020, California implemented the Blueprint for a Safer Economy, which uses COVID-19 case rates and test positivity rates in each county to determine the extent to which businesses may reopen. Under the Blueprint for a Safer Economy, most business operations in San Mateo County, where our primary operations are located, remain restricted. As a result of such state orders, the majority of our employees are currently telecommuting, which may impact certain of our operations over the near term and long term. As a result of the COVID-19 pandemic, our employees are currently telecommuting, which may impact certain of our operations over the near term and long term.</w:t>
      </w:r>
    </w:p>
    <w:p>
      <w:pPr>
        <w:spacing w:after="0" w:line="174" w:lineRule="exact"/>
        <w:rPr>
          <w:sz w:val="20"/>
          <w:szCs w:val="20"/>
          <w:color w:val="auto"/>
        </w:rPr>
      </w:pPr>
    </w:p>
    <w:p>
      <w:pPr>
        <w:ind w:right="40" w:firstLine="514"/>
        <w:spacing w:after="0" w:line="268" w:lineRule="auto"/>
        <w:rPr>
          <w:sz w:val="20"/>
          <w:szCs w:val="20"/>
          <w:color w:val="auto"/>
        </w:rPr>
      </w:pPr>
      <w:r>
        <w:rPr>
          <w:rFonts w:ascii="Arial" w:cs="Arial" w:eastAsia="Arial" w:hAnsi="Arial"/>
          <w:sz w:val="17"/>
          <w:szCs w:val="17"/>
          <w:color w:val="auto"/>
        </w:rPr>
        <w:t>Additionally, certain third parties with whom we engage or may engage, including collaborators, contract organizations, third-party manufacturers, suppliers, clinical trial sites, regulators and other third parties are similarly adjusting their operations and assessing their capacity in light of the COVID-19 pandemic. If these third parties experience shutdowns or continued business disruptions, our ability to conduct our business in the manner and on the timelines presently planned could be materially and negatively impacted. For example, as a result of the COVID-19 pandemic, there could be delays in the procurement of materials or manufacturing supply chains for one or more of our product candidates, which could delay or otherwise impact our preclinical studies and our planned clinical trials. Additionally, all of our preclinical studies are conducted by CROs, which could be discontinued or delayed as a result of the pandemic. It is also likely that the disproportionate impact of COVID-19 on hospitals and clinical sites will have an impact on recruitment and retention for our planned clinical trials. CROs have also made certain adjustments to the operation of such trials in an effort to ensure the monitoring and safety of patients and minimize risks to trial integrity during the pandemic in accordance with the guidance issued by the FDA and may need to make further adjustments in the future that could impact the timing or enrollment of our clinical trials. Many of these adjustments are new and untested, may not be effective, may increase costs and may have unforeseen effects on the enrollment, progress and completion of these trials and the findings from these trials. While we are currently continuing our clinical trials and preclinical studies, we may experience delays in the completion of our clinical trials, preclinical activities and patient enrollment, may need to suspend our clinical trials and may encounter other negative impacts to such trials due to the effects of the COVID-19 pandemic.</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ind w:firstLine="510"/>
        <w:spacing w:after="0" w:line="286" w:lineRule="auto"/>
        <w:rPr>
          <w:sz w:val="20"/>
          <w:szCs w:val="20"/>
          <w:color w:val="auto"/>
        </w:rPr>
      </w:pPr>
      <w:r>
        <w:rPr>
          <w:rFonts w:ascii="Arial" w:cs="Arial" w:eastAsia="Arial" w:hAnsi="Arial"/>
          <w:sz w:val="16"/>
          <w:szCs w:val="16"/>
          <w:color w:val="auto"/>
        </w:rPr>
        <w:t>Further, as a result of the COVID-19 pandemic, the extent and length of which is uncertain, we may be required to develop and implement additional clinical trial policies and procedures designed to help protect subjects from the COVID-19 virus, which may include using telemedicine visits, remote monitoring of subjects and clinical sites and measures to ensure that data from clinical trials that may be disrupted as a result of the pandemic are collected pursuant to the study protocol and consistent with GCPs, with any material protocol deviation reviewed and approved by the site Institutional Review Board. Subjects who may miss scheduled appointments, any interruption in study drug supply, or other consequences that may result in incomplete data being generated during a clinical trial as a result of the pandemic must be adequately documented and justified.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w:t>
      </w:r>
      <w:r>
        <w:rPr>
          <w:rFonts w:ascii="Arial" w:cs="Arial" w:eastAsia="Arial" w:hAnsi="Arial"/>
          <w:sz w:val="16"/>
          <w:szCs w:val="16"/>
          <w:i w:val="1"/>
          <w:iCs w:val="1"/>
          <w:color w:val="auto"/>
        </w:rPr>
        <w:t>e.g.</w:t>
      </w:r>
      <w:r>
        <w:rPr>
          <w:rFonts w:ascii="Arial" w:cs="Arial" w:eastAsia="Arial" w:hAnsi="Arial"/>
          <w:sz w:val="16"/>
          <w:szCs w:val="16"/>
          <w:color w:val="auto"/>
        </w:rPr>
        <w:t>, participant discontinuation from investigational product and/or study, alternative procedures used to collect critical safety and/or efficacy data) on the safety and efficacy results reported for the clinical trial. In June 2020, the FDA also issued a guidance on good manufacturing practice considerations for responding to COVID-19 infection in employees in drug products manufacturing, including recommendations for manufacturing controls to prevent contamination of drugs.</w:t>
      </w:r>
    </w:p>
    <w:p>
      <w:pPr>
        <w:spacing w:after="0" w:line="17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COVID-19 pandemic continues to rapidly evolve. While the extent of the impact of the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84"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this section and in this “Risk Factors” section.</w:t>
      </w:r>
    </w:p>
    <w:p>
      <w:pPr>
        <w:spacing w:after="0" w:line="2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p>
    <w:p>
      <w:pPr>
        <w:spacing w:after="0" w:line="79"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We may seek to enter into collaborations, licenses and other similar arrangements for the development or commercialization of our product candidates, due to capital costs required to develop or commercialize the product candidate in such markets.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w:t>
      </w:r>
    </w:p>
    <w:p>
      <w:pPr>
        <w:spacing w:after="0" w:line="164"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Even if we are successful in our efforts to establish such collaborations, the terms that we agree upon may not be favorable to us, and we may not be able to maintain such collaborations if, for example, development or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w:t>
      </w:r>
    </w:p>
    <w:p>
      <w:pPr>
        <w:spacing w:after="0" w:line="178"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ind w:firstLine="510"/>
        <w:spacing w:after="0" w:line="268" w:lineRule="auto"/>
        <w:rPr>
          <w:sz w:val="20"/>
          <w:szCs w:val="20"/>
          <w:color w:val="auto"/>
        </w:rPr>
      </w:pPr>
      <w:r>
        <w:rPr>
          <w:rFonts w:ascii="Arial" w:cs="Arial" w:eastAsia="Arial" w:hAnsi="Arial"/>
          <w:sz w:val="17"/>
          <w:szCs w:val="17"/>
          <w:color w:val="auto"/>
        </w:rPr>
        <w:t>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acquire businesses or assets and we may not realize the benefits of such acquisitions.</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We may acquire businesses or assets or create joint ventures with third parties that we believe may complement our existing product candidates. We may not be able to realize the benefit of acquiring such businesses or joint ventures if we are not able to successfully integrate them with our existing operations and company culture. We may encounter difficulties in developing, manufacturing and marketing any new product candidates resulting from an acquisition or that delay or prevent us from realizing their expected benefits.</w:t>
      </w:r>
    </w:p>
    <w:p>
      <w:pPr>
        <w:spacing w:after="0" w:line="187"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Also, the anticipated benefit of any joint venture or acquisition may not materialize or such joint venture or acquisition may be prohibited. The Loan Agreement which governs our term loan limits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69"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The terms of our Loan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loans under the Loan Agreement are secured by substantially all of our assets, except our intellectual property, which is the subject of a negative pledge. The $6.0 million in term loans under the Loan Agreement bear interest at a floating per annum interest rate equal to the greater of 7.0% or 2.0% plus the prime rate as reported in The Wall Street Journal. We are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we elect to prepay the term loans, there is also a prepayment fee of between 1.0% and 3.0% of the principal amount being prepaid depending on the timing and circumstances of prepayment.</w:t>
      </w:r>
    </w:p>
    <w:p>
      <w:pPr>
        <w:spacing w:after="0" w:line="178"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Loan Agreement contains customary affirmative and negative covenants, indemnification provisions and events of default. The affirmative covenants include, among others, covenants requiring us and our subsidiaries to maintain legal existence and good standing, deliver certain financial reports, keep inventory in good and marketable condition, timely file tax returns and reports, maintain insurance, maintain operating accounts and maintain certain intellectual property rights. The negative covenants include, among others, restrictions on transferring or licensing our assets, changing our business, engaging in mergers or acquisitions, incurring additional indebtedness, paying dividends or making other distributions and creating other liens on our assets, in each case subject to customary exceptions.</w:t>
      </w:r>
    </w:p>
    <w:p>
      <w:pPr>
        <w:spacing w:after="0" w:line="192"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Lenders could declare a default under the Loan Agreement upon the occurrence of any event that the Lenders interpret as a material adverse change as defined under the Loan Agreement, thereby requiring us to repay the loan immediately or to attempt to reverse the declaration of default through negotiation or litigation. Any declaration by the Lenders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Under the U.S. Internal Revenue Code of 1986, as amended, if a corporation undergoes an “ownership change” (generally defined as a greater than 50 percentage points change (by value) in the ownership of its equity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subsequent shifts in our stock ownership, some of which are outside our control. As of December 31, 2019, we had net operating loss carryforwards for U.S. state income tax purposes of approximately $30.9 million, and our ability to utilize those net operating loss carryforwards could be limited by an “ownership change” as described above, which could result in increased tax liability to our company.</w:t>
      </w:r>
    </w:p>
    <w:p>
      <w:pPr>
        <w:spacing w:after="0" w:line="17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As of December 31, 2019, we had Irish net operating loss carryforwards of approximately $4.0 million. These Irish net operating loss carryforwards do not expire but may not be fully utilized unless we generate sufficient income in Ireland. Under Irish law, where a company makes a loss in its trade, it can carry that loss forward to subsequent accounting periods and offset the loss against profits or gains of the same trade. The utilization of carried forward losses is disallowed where (i) the trade that gave rise to the losses is discontinued or (ii) within any period of three years, there is both a change in the ownership of a company and (whether earlier or later in that period or at the same time) a major change in the nature or conduct of a trade carried on by the company or (iii) at any time after the scale of the activities in a trade carried on by a company has become small or negligible and before any considerable revival of the trade, there is a change in ownership of the company. There are no legislative explanations of what constitutes a major change in the nature or conduct of a trade. Relevant case law indicates that there must be a difference in the kind of trade/goods (and not just a quantitative difference) or a major difference in client outlets or markets of the trade but whether there has been a major change in the nature or conduct of a trade is a qualitative matter, and one which is to be judged on the facts of any particular set of circumstances. We may experience ownership changes in the future as a result of subsequent movements in our share ownership, some of which are outside of our control. If we also experience a major change in the nature or conduct of our trade or our trade becomes small or negligible, we may be limited in the amount of loss carryforwards that we can use in the future to offset taxable income for Irish corporation tax purposes. Furthermore, in the event we incur net income in certain jurisdictions but incur losses (or have loss carryforwards) in other jurisdictions, we cannot offset the income from one jurisdiction with the loss from another, which could increase our effective tax rate.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know whether an active, liquid and orderly trading market will be sustained for our common stock.</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17"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The trading price of our common stock may be highly volatile and subject to wide fluctuations in response to various factors, some of which are beyond our control. In addition to those discussed in this “Risk Factors” section and elsewhere in this Quarterly Report on Form 10-Q, these factors include:</w:t>
      </w:r>
    </w:p>
    <w:p>
      <w:pPr>
        <w:spacing w:after="0" w:line="76" w:lineRule="exact"/>
        <w:rPr>
          <w:sz w:val="20"/>
          <w:szCs w:val="20"/>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and timing of our preclinical studies and clinical trials and studies and trials of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issues in manufacturing our product candidates or any future approved products;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developments or enforcement in the United States and foreign countries with respect to our product candidates or our competitors’ products;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changes in our growth and development relative to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introduction of new product candidates or technological innovations by us or our competitors;</w:t>
      </w:r>
    </w:p>
    <w:p>
      <w:pPr>
        <w:spacing w:after="0" w:line="117"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announcements by us, our future strategic partners or our competitors of significant acquisitions, strategic partnerships, joint ventures or capital commitments;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changes in estimates or recommendations by securities analysts, if any cover our 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4" w:name="page75"/>
    <w:bookmarkEnd w:id="74"/>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public concern over our product candidates or any future approved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future sales of our common stock by us, our insiders or our other stockholders;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 in the United States or overseas;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of any of our product candidates, if approved, to achieve commercial success;</w:t>
      </w:r>
    </w:p>
    <w:p>
      <w:pPr>
        <w:spacing w:after="0" w:line="117"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economic and other external factors such as macroeconomic, disasters, crises or health matters, including the impact of the COVID-19 pandemic;</w:t>
      </w:r>
    </w:p>
    <w:p>
      <w:pPr>
        <w:spacing w:after="0" w:line="62"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period-to-period fluctuations in our financial condition and results of operations, including the timing of payment or receipt of any future milestone or other payments under commercialization or licensing agreements;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overall fluctuations in U.S. equity markets, general market conditions and market conditions for biotechnology stocks;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factors that may be unanticipated or out of our control.</w:t>
      </w:r>
    </w:p>
    <w:p>
      <w:pPr>
        <w:spacing w:after="0" w:line="225"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In addition, the stock market has recently experienced significant volatility, particularly with respect to biotechnology and other life sciences company stocks as a result of the COVID-19 pandemic.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w:t>
      </w:r>
    </w:p>
    <w:p>
      <w:pPr>
        <w:spacing w:after="0" w:line="16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2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62"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88" w:lineRule="exact"/>
        <w:rPr>
          <w:sz w:val="20"/>
          <w:szCs w:val="20"/>
          <w:color w:val="auto"/>
        </w:rPr>
      </w:pPr>
    </w:p>
    <w:p>
      <w:pPr>
        <w:jc w:val="both"/>
        <w:ind w:right="120" w:firstLine="510"/>
        <w:spacing w:after="0" w:line="259"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18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62" w:lineRule="exact"/>
        <w:rPr>
          <w:sz w:val="20"/>
          <w:szCs w:val="20"/>
          <w:color w:val="auto"/>
        </w:rPr>
      </w:pPr>
    </w:p>
    <w:p>
      <w:pPr>
        <w:ind w:left="1000" w:right="40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enroll subjects in clinical trials and the timing of enrollment;</w:t>
      </w:r>
    </w:p>
    <w:p>
      <w:pPr>
        <w:spacing w:after="0" w:line="117"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and outcomes of clinical trials for ALX148, and any of our other product candidates, or competing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competition from existing and potential future products that compete with ALX148 and any of our other product candidates, and changes in the competitive landscape of our industry, including consolidation among our competitors or partners;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delays in regulatory review or approval of ALX148 or any of our other product candidates;</w:t>
      </w:r>
    </w:p>
    <w:p>
      <w:pPr>
        <w:spacing w:after="0" w:line="117"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 of demand for ALX148 and any of our other product candidates, if approved, which may fluctuate significantly and be difficult to predict;</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ALX148 and any of our other product candidates;</w:t>
      </w:r>
    </w:p>
    <w:p>
      <w:pPr>
        <w:spacing w:after="0" w:line="62"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commercialize ALX148 and any of our other product candidates, if approved, inside and outside of the United States, either independently or working with third parties;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COVID-19 pandemic;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changing and volatile global economic and political environment.</w:t>
      </w:r>
    </w:p>
    <w:p>
      <w:pPr>
        <w:spacing w:after="0" w:line="225"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upon the expiration of the market standoff and lock-up agreements, the early release of these agreements, or the perception in the market that the holders of a large number of shares of common stock intend to sell shares, could reduce the market price of our common stock.</w:t>
      </w:r>
    </w:p>
    <w:p>
      <w:pPr>
        <w:spacing w:after="0" w:line="184" w:lineRule="exact"/>
        <w:rPr>
          <w:sz w:val="20"/>
          <w:szCs w:val="20"/>
          <w:color w:val="auto"/>
        </w:rPr>
      </w:pPr>
    </w:p>
    <w:p>
      <w:pPr>
        <w:ind w:right="140" w:firstLine="510"/>
        <w:spacing w:after="0" w:line="289" w:lineRule="auto"/>
        <w:rPr>
          <w:sz w:val="20"/>
          <w:szCs w:val="20"/>
          <w:color w:val="auto"/>
        </w:rPr>
      </w:pPr>
      <w:r>
        <w:rPr>
          <w:rFonts w:ascii="Arial" w:cs="Arial" w:eastAsia="Arial" w:hAnsi="Arial"/>
          <w:sz w:val="16"/>
          <w:szCs w:val="16"/>
          <w:color w:val="auto"/>
        </w:rPr>
        <w:t>As of November 6, 2020, we had 37,107,522 shares of our common stock outstanding. Of these shares, only the shares sold in our initial public offering by us (other than the Company directed shares purchased in our initial public offering by an officer of the Company) are currently freely tradable without restriction in the public market. The remaining 27,338,522 shares are currently prohibited without the permission of the underwriters or otherwise restricted under securities laws, market standoff agreements entered into by our stockholders with us or lock-up agreements entered into by our directors, officers and stockholders with the underwriters. However, subject to applicable securities law restrictions and excluding shares of restricted stock that will remain unvested, these shares will be able to be sold in the public market beginning January 13, 2021 which is the 180</w:t>
      </w:r>
      <w:r>
        <w:rPr>
          <w:rFonts w:ascii="Arial" w:cs="Arial" w:eastAsia="Arial" w:hAnsi="Arial"/>
          <w:sz w:val="13"/>
          <w:szCs w:val="13"/>
          <w:color w:val="auto"/>
        </w:rPr>
        <w:t>th</w:t>
      </w:r>
      <w:r>
        <w:rPr>
          <w:rFonts w:ascii="Arial" w:cs="Arial" w:eastAsia="Arial" w:hAnsi="Arial"/>
          <w:sz w:val="16"/>
          <w:szCs w:val="16"/>
          <w:color w:val="auto"/>
        </w:rPr>
        <w:t xml:space="preserve"> day after the date of our initial public offering.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w:t>
      </w:r>
    </w:p>
    <w:p>
      <w:pPr>
        <w:spacing w:after="0" w:line="166"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In addition, on July 17, 2020, we filed a registration statement on Form S-8 to register 3,563,962 shares of our common stock reserved for future issuance under our equity compensation plans. As a result, shares registered under this registration statement on Form S-8 will be available for sale in the public market subject to the satisfaction of applicable vesting arrangements and the exercise of such options, the lock-up arrangements described above and, in the case of our affiliates, the restrictions of Rule 144.</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ind w:right="40" w:firstLine="510"/>
        <w:spacing w:after="0" w:line="257" w:lineRule="auto"/>
        <w:rPr>
          <w:sz w:val="20"/>
          <w:szCs w:val="20"/>
          <w:color w:val="auto"/>
        </w:rPr>
      </w:pPr>
      <w:r>
        <w:rPr>
          <w:rFonts w:ascii="Arial" w:cs="Arial" w:eastAsia="Arial" w:hAnsi="Arial"/>
          <w:sz w:val="18"/>
          <w:szCs w:val="18"/>
          <w:color w:val="auto"/>
        </w:rPr>
        <w:t>Moreover, holders of an aggregate of 24,429,399 shares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188"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In connection with our initial public offering, our executive officers, directors and the holders of substantially all of our capital stock and securities convertible into or exchangeable for our capital stock entered into market stand-off agreements with us and lock-up agreements with the underwriters under which they have agreed, subject to specific exceptions, not to sell, directly or indirectly, any shares of common stock without the permission of Jefferies LLC, Credit Suisse Securities (USA) LLC and Piper Sandler &amp; Co. for a period of 180 days following the date of the initial public offering. We refer to such period as the lock-up period. When the lock-up period expires, we and our securityholders subject to a lock-up agreement or market stand-off agreement will be able to sell our shares in the public market. In addition, the underwriters may, in their sole discretion, release all or some portion of the shares subject to lock-up agreements at any time and for any reason. Sales of a substantial number of such shares upon expiration of the lock-up and market stand-off agreements, the perception that such sales may occur, or early release of these agreements, could cause our market price to fall or make it more difficult for you to sell your common stock at a time and price that you deem appropriate.</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and will continue to incur significant increased costs and management resources as a result of operating as a public company.</w:t>
      </w:r>
    </w:p>
    <w:p>
      <w:pPr>
        <w:spacing w:after="0" w:line="140"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We have incurred and will continue to incur significant legal, accounting, compliance and other expenses as a public company and these expenses may increase even more after we are no longer an “emerging growth company.” Our management and other personnel need to devote a substantial amount of time and incur significant expense in connection with compliance initiatives. For example, as a public company, we must adopt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w:t>
      </w:r>
    </w:p>
    <w:p>
      <w:pPr>
        <w:spacing w:after="0" w:line="161"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In addition, we anticipate implementing an enterprise resource planning, or ERP, system for our company. An ERP system is intended to combine and streamline the management of our financial, accounting, human resources, sales and marketing and other functions, enabling us to manage operations and track performance more effectively. However, an ERP system would likely require us to complete many processes and procedures for the effective use of the system or to run our business using the system, which may result in substantial costs. Additionally, in the future, we may be limited in our ability to convert any business that we acquire to the ERP. Any disruptions or difficulties in using an ERP system could adversely affect our controls and harm our business, including our ability to forecast or make sales and collect our receivables. Moreover, such disruption or difficulties could result in unanticipated costs and diversion of management attention.</w:t>
      </w:r>
    </w:p>
    <w:p>
      <w:pPr>
        <w:spacing w:after="0" w:line="17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our initial public offering, we increased our directors’ and officers’ insurance coverage, which substantially increased our insurance cost.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7" w:name="page78"/>
    <w:bookmarkEnd w:id="77"/>
    <w:p>
      <w:pPr>
        <w:ind w:right="48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38"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For as long as we continue to be an emerging growth company, we may choose to take advantage of exemptions from various reporting requirements applicable to other public companies that are not emerging growth companies, including, but not limited to, not being required to comply with the auditor attestation requirements of Section 404(b),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the completion of our initial public offering, although, if we have more than $1.07 billion in annual revenue, if the market value of our common stock held by non-affiliates exceeds $700 million as of June 30 of any year, or we issue more than $1.0 billion of non-convertible debt over a three-year period before the end of that five-year period, we would cease to be an “emerging growth company” as of the following December 31. Investors could find our common stock less attractive if we choose to rely on these exemptions. In addition, the JOBS Act provides that an emerging growth company can take advantage of an extended transition period for complying with new or revised accounting standards. We have elected to use this extended transition period. As a result, our condensed consolidated financial statements may not be comparable to companies that comply with the new or revised accounting standards as of public company effective dates. If some investors find our common stock less attractive as a result of any of our reliance on these exemptions, there may be a less active trading market for our common stock and our share price may be more volatile.</w:t>
      </w:r>
    </w:p>
    <w:p>
      <w:pPr>
        <w:spacing w:after="0" w:line="2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As of November 6, 2020, our executive officers, directors, holders of 5% or more of our capital stock and their respective affiliates beneficially owned approximately 61.5% of our outstanding voting stock.</w:t>
      </w:r>
    </w:p>
    <w:p>
      <w:pPr>
        <w:spacing w:after="0" w:line="170"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Therefore, this group of stockholders, if they act together,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anticipate paying cash dividends and, accordingly, stockholders must rely on share appreciation for any return on their investment.</w:t>
      </w:r>
    </w:p>
    <w:p>
      <w:pPr>
        <w:spacing w:after="0" w:line="140"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In addition, the Loan Agreement restricts our ability to pay dividends or make other distributions. As a result, capital appreciation, if any, of our common stock will be your sole source of gain on your investment for the foreseeable future. Investors seeking cash dividends should not invest in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substantial rights.</w:t>
      </w:r>
    </w:p>
    <w:p>
      <w:pPr>
        <w:spacing w:after="0" w:line="12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8" w:name="page79"/>
    <w:bookmarkEnd w:id="78"/>
    <w:p>
      <w:pPr>
        <w:ind w:right="460"/>
        <w:spacing w:after="0" w:line="308" w:lineRule="auto"/>
        <w:rPr>
          <w:sz w:val="20"/>
          <w:szCs w:val="20"/>
          <w:color w:val="auto"/>
        </w:rPr>
      </w:pPr>
      <w:r>
        <w:rPr>
          <w:rFonts w:ascii="Arial" w:cs="Arial" w:eastAsia="Arial" w:hAnsi="Arial"/>
          <w:sz w:val="17"/>
          <w:szCs w:val="17"/>
          <w:b w:val="1"/>
          <w:bCs w:val="1"/>
          <w:i w:val="1"/>
          <w:iCs w:val="1"/>
          <w:color w:val="auto"/>
        </w:rPr>
        <w:t>Delaware law and provisions in our amended and restated certificate of incorporation and bylaws might discourage, delay or prevent a change in control of our company or changes in our management and, therefore, depress the trading price of our common stock.</w:t>
      </w:r>
    </w:p>
    <w:p>
      <w:pPr>
        <w:spacing w:after="0" w:line="38"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Provisions in our amended and restated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will:</w:t>
      </w:r>
    </w:p>
    <w:p>
      <w:pPr>
        <w:spacing w:after="0" w:line="63" w:lineRule="exact"/>
        <w:rPr>
          <w:sz w:val="20"/>
          <w:szCs w:val="20"/>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staggered three-year terms;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that our directors may only be removed for cause;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117" w:lineRule="exact"/>
        <w:rPr>
          <w:rFonts w:ascii="Arial" w:cs="Arial" w:eastAsia="Arial" w:hAnsi="Arial"/>
          <w:sz w:val="18"/>
          <w:szCs w:val="18"/>
          <w:color w:val="auto"/>
        </w:rPr>
      </w:pPr>
    </w:p>
    <w:p>
      <w:pPr>
        <w:ind w:left="1000" w:right="620" w:hanging="493"/>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convertible preferred stock and determine the price and other terms of those shares, including preferences and voting rights, without stockholder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require that stockholders give advance notice to nominate directors or submit proposals for consideration at stockholder meetings;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 and</w:t>
      </w:r>
    </w:p>
    <w:p>
      <w:pPr>
        <w:spacing w:after="0" w:line="117" w:lineRule="exact"/>
        <w:rPr>
          <w:rFonts w:ascii="Arial" w:cs="Arial" w:eastAsia="Arial" w:hAnsi="Arial"/>
          <w:sz w:val="18"/>
          <w:szCs w:val="18"/>
          <w:color w:val="auto"/>
        </w:rPr>
      </w:pPr>
    </w:p>
    <w:p>
      <w:pPr>
        <w:ind w:left="1000" w:right="700" w:hanging="493"/>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the affirmative vote of at least 66 2/3% or more of the outstanding shares of common stock to amend many of the provisions described above.</w:t>
      </w:r>
    </w:p>
    <w:p>
      <w:pPr>
        <w:spacing w:after="0" w:line="17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p>
    <w:p>
      <w:pPr>
        <w:spacing w:after="0" w:line="68" w:lineRule="exact"/>
        <w:rPr>
          <w:sz w:val="20"/>
          <w:szCs w:val="20"/>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w:t>
      </w:r>
    </w:p>
    <w:p>
      <w:pPr>
        <w:spacing w:after="0" w:line="117"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or DGCL, our amended and restated certificate of incorporation or our amended and restated bylaws (as either may be amended from time to time);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9" w:name="page80"/>
    <w:bookmarkEnd w:id="79"/>
    <w:p>
      <w:pPr>
        <w:ind w:right="600" w:firstLine="510"/>
        <w:spacing w:after="0" w:line="277" w:lineRule="auto"/>
        <w:rPr>
          <w:sz w:val="20"/>
          <w:szCs w:val="20"/>
          <w:color w:val="auto"/>
        </w:rPr>
      </w:pPr>
      <w:r>
        <w:rPr>
          <w:rFonts w:ascii="Arial" w:cs="Arial" w:eastAsia="Arial" w:hAnsi="Arial"/>
          <w:sz w:val="18"/>
          <w:szCs w:val="18"/>
          <w:color w:val="auto"/>
        </w:rPr>
        <w:t>This provision would not apply to suits brought to enforce a duty or liability created by the Securities Exchange Act of 1934, as amended, or Exchange Act, or any other claim for which the U.S. federal courts have exclusive jurisdiction.</w:t>
      </w:r>
    </w:p>
    <w:p>
      <w:pPr>
        <w:spacing w:after="0" w:line="170"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will be the exclusive forum for resolving any complaint asserting a cause of action arising under the Securities Act.</w:t>
      </w:r>
    </w:p>
    <w:p>
      <w:pPr>
        <w:spacing w:after="0" w:line="170"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2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our remediation measures are not effective, we may not be able to report our financial condition or results of operations accurately or on a timely basis.</w:t>
      </w:r>
    </w:p>
    <w:p>
      <w:pPr>
        <w:spacing w:after="0" w:line="62" w:lineRule="exact"/>
        <w:rPr>
          <w:sz w:val="20"/>
          <w:szCs w:val="20"/>
          <w:color w:val="auto"/>
        </w:rPr>
      </w:pPr>
    </w:p>
    <w:p>
      <w:pPr>
        <w:ind w:right="100" w:firstLine="510"/>
        <w:spacing w:after="0" w:line="287" w:lineRule="auto"/>
        <w:rPr>
          <w:sz w:val="20"/>
          <w:szCs w:val="20"/>
          <w:color w:val="auto"/>
        </w:rPr>
      </w:pPr>
      <w:r>
        <w:rPr>
          <w:rFonts w:ascii="Arial" w:cs="Arial" w:eastAsia="Arial" w:hAnsi="Arial"/>
          <w:sz w:val="16"/>
          <w:szCs w:val="16"/>
          <w:color w:val="auto"/>
        </w:rPr>
        <w:t>To date, we have never conducted a review of our internal control for the purpose of providing the reports required by SOX. During our review and testing, we may identify deficiencies and be unable to remediate them before we must provide the required reports. In connection with the audit of our consolidated financial statements for each of the years ended December 31, 2018 and December 31, 2019, we and our independent registered public accounting firm identified material weaknesses in our internal control over financial reporting resulting from a lack of sufficient qualified personnel. For the year ended December 31, 2018, the material weaknesses related to (i) independent reviews of journal entries not being performed prior to posting, (ii) account reconciliations not being performed and independently reviewed on a timely basis and (iii) lack of independent review of technical accounting matters. For the year ended December 31, 2019, (i) and (ii) remained unremediated.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 During the first, second and third quarters of 2020, we have undertaken specific remediation actions to address the control deficiencies in our financial reporting. We have established more robust processes related to the review of complex accounting transactions, preparation of account reconciliations and review of journal entries which are outlined elsewhere in this Quarterly Report.</w:t>
      </w:r>
    </w:p>
    <w:p>
      <w:pPr>
        <w:spacing w:after="0" w:line="172"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While we have begun taking measures and plan to continue to take measures to design and implement an effective control environment, we cannot assure you that the measures we have taken to date, and are continuing to implement, will be sufficient to remediate or prevent future material weaknesses. 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28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which would harm our business and the trading price of our common stock.</w:t>
      </w:r>
    </w:p>
    <w:p>
      <w:pPr>
        <w:spacing w:after="0" w:line="62"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we are in the process of remedying. However, our efforts to remediate previous material weaknesses may not be effective or prevent any future deficiency in our internal control over financial reporting. Inferior internal controls could also cause investors to lose confidence in our reported financial information, which could have a negative effect on the trading price of our common stock.</w:t>
      </w:r>
    </w:p>
    <w:p>
      <w:pPr>
        <w:spacing w:after="0" w:line="166"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In connection with our evaluation of our internal controls over financial reporting, we expect to upgrade our finance and accounting systems and team. If we are unable to accomplish these objectives in a timely and effective manner, our ability to comply with the financial reporting requirements and other rules that apply to reporting companies could be adversely impacted. Any failure to maintain effective internal control over financial reporting could have a material adverse effect on our business, financial condition and results of operations and the trading price of our common stock.</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0" w:name="page81"/>
    <w:bookmarkEnd w:id="80"/>
    <w:p>
      <w:pPr>
        <w:ind w:right="140" w:firstLine="510"/>
        <w:spacing w:after="0" w:line="254" w:lineRule="auto"/>
        <w:rPr>
          <w:sz w:val="20"/>
          <w:szCs w:val="20"/>
          <w:color w:val="auto"/>
        </w:rPr>
      </w:pPr>
      <w:r>
        <w:rPr>
          <w:rFonts w:ascii="Arial" w:cs="Arial" w:eastAsia="Arial" w:hAnsi="Arial"/>
          <w:sz w:val="18"/>
          <w:szCs w:val="18"/>
          <w:color w:val="auto"/>
        </w:rPr>
        <w:t>We will be required to disclose material changes made in our internal controls over financing reporting and procedures on a quarterly basis and our management will be required to assess the effectiveness of these controls annually.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However, for as long as we are an “emerging growth company” under the JOBS Act, our independent registered public accounting firm will not be required to attest to the effectiveness of our internal controls over financial reporting pursuant to Section 404(b).</w:t>
      </w:r>
    </w:p>
    <w:p>
      <w:pPr>
        <w:spacing w:after="0" w:line="195"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To achieve compliance with Section 404(a)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76"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We could be an “emerging growth company” for up to five years. An independent assessment of the effectiveness of our internal controls could detect problems that our management’s assessment might not identify. Undetected material weaknesses in our internal controls could lead to consolidated financial statement restatements and require us to incur the expense of remediation.</w:t>
      </w:r>
    </w:p>
    <w:p>
      <w:pPr>
        <w:spacing w:after="0" w:line="2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organized in a holding company structure and we are, and will be, dependent upon the results of operations and cash flows of our subsidiaries and distributions we receive from our subsidiaries.</w:t>
      </w:r>
    </w:p>
    <w:p>
      <w:pPr>
        <w:spacing w:after="0" w:line="62" w:lineRule="exact"/>
        <w:rPr>
          <w:sz w:val="20"/>
          <w:szCs w:val="20"/>
          <w:color w:val="auto"/>
        </w:rPr>
      </w:pPr>
    </w:p>
    <w:p>
      <w:pPr>
        <w:ind w:right="120" w:firstLine="510"/>
        <w:spacing w:after="0" w:line="253" w:lineRule="auto"/>
        <w:rPr>
          <w:sz w:val="20"/>
          <w:szCs w:val="20"/>
          <w:color w:val="auto"/>
        </w:rPr>
      </w:pPr>
      <w:r>
        <w:rPr>
          <w:rFonts w:ascii="Arial" w:cs="Arial" w:eastAsia="Arial" w:hAnsi="Arial"/>
          <w:sz w:val="18"/>
          <w:szCs w:val="18"/>
          <w:color w:val="auto"/>
        </w:rPr>
        <w:t>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21"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195"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1" w:name="page82"/>
    <w:bookmarkEnd w:id="81"/>
    <w:p>
      <w:pPr>
        <w:ind w:right="220" w:firstLine="510"/>
        <w:spacing w:after="0" w:line="257" w:lineRule="auto"/>
        <w:rPr>
          <w:sz w:val="20"/>
          <w:szCs w:val="20"/>
          <w:color w:val="auto"/>
        </w:rPr>
      </w:pPr>
      <w:r>
        <w:rPr>
          <w:rFonts w:ascii="Arial" w:cs="Arial" w:eastAsia="Arial" w:hAnsi="Arial"/>
          <w:sz w:val="18"/>
          <w:szCs w:val="18"/>
          <w:color w:val="auto"/>
        </w:rPr>
        <w:t>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disruptions and delays or incur financial damages as a result of system failures or security breaches.</w:t>
      </w:r>
    </w:p>
    <w:p>
      <w:pPr>
        <w:spacing w:after="0" w:line="11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Despite the implementation of security measures, any of the internal computer systems belonging to us or our third-party service providers are vulnerable to damage from computer viruses, unauthorized access, natural disasters, terrorism, war and telecommunication and electrical failure. Any system failure, accident or security breach that causes interruptions in our own or in third-party service providers’ operations could result in a material disruption of our drug discovery and development programs. A system failure or security breach that causes the loss of clinical trial data from completed or future clinical trials could result in delays in our regulatory approval efforts and significantly increase our costs in order to recover or reproduce the lost data. In addition, to the extent that any disruption or security breach results in a loss or damage to our data or applications or inappropriate disclosure of confidential or proprietary information, including personal information related to the subjects in our clinical trial, we may incur liability as a result, our drug discovery programs and competitive position may be adversely affected and further development of our product candidates may be delayed. Any such disruption, failure or security breach could also cause us to incur additional costs to remedy the damages that arise from such disruption, failure or security breach.</w:t>
      </w:r>
    </w:p>
    <w:p>
      <w:pPr>
        <w:spacing w:after="0" w:line="18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jc w:val="both"/>
        <w:ind w:right="40" w:firstLine="510"/>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21"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In July 2020, we consummated the sale of 9,775,000 shares of common stock, which includes the additional overallotment of 1,275,000 shares exercised by the underwriters in the initial public offering, to the public at an initial public offering price of $19.00 per share. The aggregate offering price for shares sold in our initial public offering was $185.7 million. The offer and sale of the shares in the initial public offering was registered under the Securities Act pursuant to registration statements on Form S-1 (File No. 333- 239490), which was filed with the SEC on June 26, 2020 and amended subsequently and declared effective on July 16, 2020, and Form S-1MEF, which was filed with the SEC on July 16, 2020 and became effective on July 16, 2020. The underwriters of the offering were Jefferies LLC, Credit Suisse Securities (USA) LLC, Piper Sandler &amp; Co. and Cantor Fitzgerald &amp; Co.</w:t>
      </w:r>
    </w:p>
    <w:p>
      <w:pPr>
        <w:spacing w:after="0" w:line="16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received approximately $169.5 million in net proceeds after deducting underwriting discounts and commissions of approximately $13.0 million and offering-related expenses of $3.2 million. No offering expenses were paid directly or indirectly to any of our directors or officers (or their associates) or persons owning ten percent or more of any class of our equity securities or to any other affiliates.</w:t>
      </w:r>
    </w:p>
    <w:p>
      <w:pPr>
        <w:spacing w:after="0" w:line="184"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We invested the funds received in accordance with our investment policy. None of such payments were direct or indirect payments to any of our directors or officers (or their associates), to persons owning ten percent or more of our common stock or to any other affiliates. There has been no material change in the planned use of proceeds from our initial public offering as described in our final prospectus filed with the SEC on July 17, 2020 pursuant to Rule 424(b)(4).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3" w:name="page84"/>
    <w:bookmarkEnd w:id="83"/>
    <w:p>
      <w:pPr>
        <w:jc w:val="center"/>
        <w:ind w:right="-11"/>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12"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Incorporated by Reference</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tcPr>
          <w:p>
            <w:pPr>
              <w:ind w:left="220"/>
              <w:spacing w:after="0" w:line="133" w:lineRule="exact"/>
              <w:rPr>
                <w:sz w:val="20"/>
                <w:szCs w:val="20"/>
                <w:color w:val="auto"/>
              </w:rPr>
            </w:pPr>
            <w:r>
              <w:rPr>
                <w:rFonts w:ascii="Arial" w:cs="Arial" w:eastAsia="Arial" w:hAnsi="Arial"/>
                <w:sz w:val="14"/>
                <w:szCs w:val="14"/>
                <w:b w:val="1"/>
                <w:bCs w:val="1"/>
                <w:color w:val="auto"/>
              </w:rPr>
              <w:t>Exhibit</w:t>
            </w:r>
          </w:p>
        </w:tc>
        <w:tc>
          <w:tcPr>
            <w:tcW w:w="1400" w:type="dxa"/>
            <w:vAlign w:val="bottom"/>
          </w:tcPr>
          <w:p>
            <w:pPr>
              <w:spacing w:after="0"/>
              <w:rPr>
                <w:sz w:val="11"/>
                <w:szCs w:val="11"/>
                <w:color w:val="auto"/>
              </w:rPr>
            </w:pPr>
          </w:p>
        </w:tc>
        <w:tc>
          <w:tcPr>
            <w:tcW w:w="3760" w:type="dxa"/>
            <w:vAlign w:val="bottom"/>
            <w:gridSpan w:val="3"/>
            <w:vMerge w:val="restart"/>
          </w:tcPr>
          <w:p>
            <w:pPr>
              <w:ind w:left="820"/>
              <w:spacing w:after="0"/>
              <w:rPr>
                <w:sz w:val="20"/>
                <w:szCs w:val="20"/>
                <w:color w:val="auto"/>
              </w:rPr>
            </w:pPr>
            <w:r>
              <w:rPr>
                <w:rFonts w:ascii="Arial" w:cs="Arial" w:eastAsia="Arial" w:hAnsi="Arial"/>
                <w:sz w:val="14"/>
                <w:szCs w:val="14"/>
                <w:b w:val="1"/>
                <w:bCs w:val="1"/>
                <w:color w:val="auto"/>
              </w:rPr>
              <w:t>Description</w:t>
            </w:r>
          </w:p>
        </w:tc>
        <w:tc>
          <w:tcPr>
            <w:tcW w:w="1400" w:type="dxa"/>
            <w:vAlign w:val="bottom"/>
            <w:vMerge w:val="restart"/>
          </w:tcPr>
          <w:p>
            <w:pPr>
              <w:jc w:val="center"/>
              <w:ind w:right="71"/>
              <w:spacing w:after="0"/>
              <w:rPr>
                <w:sz w:val="20"/>
                <w:szCs w:val="20"/>
                <w:color w:val="auto"/>
              </w:rPr>
            </w:pPr>
            <w:r>
              <w:rPr>
                <w:rFonts w:ascii="Arial" w:cs="Arial" w:eastAsia="Arial" w:hAnsi="Arial"/>
                <w:sz w:val="14"/>
                <w:szCs w:val="14"/>
                <w:b w:val="1"/>
                <w:bCs w:val="1"/>
                <w:color w:val="auto"/>
              </w:rPr>
              <w:t>Form</w:t>
            </w:r>
          </w:p>
        </w:tc>
        <w:tc>
          <w:tcPr>
            <w:tcW w:w="11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File No.</w:t>
            </w:r>
          </w:p>
        </w:tc>
        <w:tc>
          <w:tcPr>
            <w:tcW w:w="12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Exhibit</w:t>
            </w:r>
          </w:p>
        </w:tc>
        <w:tc>
          <w:tcPr>
            <w:tcW w:w="13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40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3"/>
            <w:vMerge w:val="continue"/>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80" w:type="dxa"/>
            <w:vAlign w:val="bottom"/>
          </w:tcPr>
          <w:p>
            <w:pPr>
              <w:spacing w:after="0" w:line="182" w:lineRule="exact"/>
              <w:rPr>
                <w:sz w:val="20"/>
                <w:szCs w:val="20"/>
                <w:color w:val="auto"/>
              </w:rPr>
            </w:pPr>
            <w:r>
              <w:rPr>
                <w:rFonts w:ascii="Arial" w:cs="Arial" w:eastAsia="Arial" w:hAnsi="Arial"/>
                <w:sz w:val="18"/>
                <w:szCs w:val="18"/>
                <w:color w:val="auto"/>
              </w:rPr>
              <w:t>31.1</w:t>
            </w:r>
          </w:p>
        </w:tc>
        <w:tc>
          <w:tcPr>
            <w:tcW w:w="4820" w:type="dxa"/>
            <w:vAlign w:val="bottom"/>
            <w:tcBorders>
              <w:bottom w:val="single" w:sz="8" w:color="0000EE"/>
            </w:tcBorders>
            <w:gridSpan w:val="3"/>
          </w:tcPr>
          <w:p>
            <w:pPr>
              <w:spacing w:after="0" w:line="182" w:lineRule="exact"/>
              <w:rPr>
                <w:rFonts w:ascii="Arial" w:cs="Arial" w:eastAsia="Arial" w:hAnsi="Arial"/>
                <w:sz w:val="18"/>
                <w:szCs w:val="18"/>
                <w:color w:val="0000EE"/>
                <w:w w:val="92"/>
              </w:rPr>
            </w:pPr>
            <w:hyperlink w:anchor="page86">
              <w:r>
                <w:rPr>
                  <w:rFonts w:ascii="Arial" w:cs="Arial" w:eastAsia="Arial" w:hAnsi="Arial"/>
                  <w:sz w:val="18"/>
                  <w:szCs w:val="18"/>
                  <w:color w:val="0000EE"/>
                  <w:w w:val="92"/>
                </w:rPr>
                <w:t>Certification of Principal Executive Officer Pursuant to Rules 13a-</w:t>
              </w:r>
            </w:hyperlink>
          </w:p>
        </w:tc>
        <w:tc>
          <w:tcPr>
            <w:tcW w:w="340" w:type="dxa"/>
            <w:vAlign w:val="bottom"/>
          </w:tcPr>
          <w:p>
            <w:pPr>
              <w:spacing w:after="0"/>
              <w:rPr>
                <w:sz w:val="15"/>
                <w:szCs w:val="15"/>
                <w:color w:val="auto"/>
              </w:rPr>
            </w:pPr>
          </w:p>
        </w:tc>
        <w:tc>
          <w:tcPr>
            <w:tcW w:w="1400" w:type="dxa"/>
            <w:vAlign w:val="bottom"/>
          </w:tcPr>
          <w:p>
            <w:pPr>
              <w:jc w:val="center"/>
              <w:ind w:right="71"/>
              <w:spacing w:after="0" w:line="182" w:lineRule="exact"/>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14(a) and 15d-14(a) under the Securities Exchange Act of 1934, as</w:t>
              </w:r>
            </w:hyperlink>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gridSpan w:val="4"/>
          </w:tcPr>
          <w:p>
            <w:pPr>
              <w:spacing w:after="0"/>
              <w:rPr>
                <w:rFonts w:ascii="Arial" w:cs="Arial" w:eastAsia="Arial" w:hAnsi="Arial"/>
                <w:sz w:val="18"/>
                <w:szCs w:val="18"/>
                <w:u w:val="single" w:color="auto"/>
                <w:color w:val="0000EE"/>
                <w:w w:val="93"/>
              </w:rPr>
            </w:pPr>
            <w:hyperlink w:anchor="page86">
              <w:r>
                <w:rPr>
                  <w:rFonts w:ascii="Arial" w:cs="Arial" w:eastAsia="Arial" w:hAnsi="Arial"/>
                  <w:sz w:val="18"/>
                  <w:szCs w:val="18"/>
                  <w:u w:val="single" w:color="auto"/>
                  <w:color w:val="0000EE"/>
                  <w:w w:val="93"/>
                </w:rPr>
                <w:t>Adopted Pursuant to Section 302 of the Sarbanes-Oxley Act of 2002.</w:t>
              </w:r>
            </w:hyperlink>
          </w:p>
        </w:tc>
        <w:tc>
          <w:tcPr>
            <w:tcW w:w="1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5160" w:type="dxa"/>
            <w:vAlign w:val="bottom"/>
            <w:gridSpan w:val="4"/>
          </w:tcPr>
          <w:p>
            <w:pPr>
              <w:spacing w:after="0" w:line="182" w:lineRule="exact"/>
              <w:rPr>
                <w:rFonts w:ascii="Arial" w:cs="Arial" w:eastAsia="Arial" w:hAnsi="Arial"/>
                <w:sz w:val="18"/>
                <w:szCs w:val="18"/>
                <w:color w:val="0000EE"/>
              </w:rPr>
            </w:pPr>
            <w:hyperlink w:anchor="page87">
              <w:r>
                <w:rPr>
                  <w:rFonts w:ascii="Arial" w:cs="Arial" w:eastAsia="Arial" w:hAnsi="Arial"/>
                  <w:sz w:val="18"/>
                  <w:szCs w:val="18"/>
                  <w:color w:val="0000EE"/>
                </w:rPr>
                <w:t>Certification of Principal Financial Officer Pursuant to Rules 13a-</w:t>
              </w:r>
            </w:hyperlink>
          </w:p>
        </w:tc>
        <w:tc>
          <w:tcPr>
            <w:tcW w:w="1400" w:type="dxa"/>
            <w:vAlign w:val="bottom"/>
          </w:tcPr>
          <w:p>
            <w:pPr>
              <w:jc w:val="center"/>
              <w:ind w:right="71"/>
              <w:spacing w:after="0" w:line="182" w:lineRule="exact"/>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3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14(a) and 15d-14(a) under the Securities Exchange Act of 1934, as</w:t>
              </w:r>
            </w:hyperlink>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gridSpan w:val="4"/>
          </w:tcPr>
          <w:p>
            <w:pPr>
              <w:spacing w:after="0"/>
              <w:rPr>
                <w:rFonts w:ascii="Arial" w:cs="Arial" w:eastAsia="Arial" w:hAnsi="Arial"/>
                <w:sz w:val="18"/>
                <w:szCs w:val="18"/>
                <w:u w:val="single" w:color="auto"/>
                <w:color w:val="0000EE"/>
                <w:w w:val="93"/>
              </w:rPr>
            </w:pPr>
            <w:hyperlink w:anchor="page87">
              <w:r>
                <w:rPr>
                  <w:rFonts w:ascii="Arial" w:cs="Arial" w:eastAsia="Arial" w:hAnsi="Arial"/>
                  <w:sz w:val="18"/>
                  <w:szCs w:val="18"/>
                  <w:u w:val="single" w:color="auto"/>
                  <w:color w:val="0000EE"/>
                  <w:w w:val="93"/>
                </w:rPr>
                <w:t>Adopted Pursuant to Section 302 of the Sarbanes-Oxley Act of 2002.</w:t>
              </w:r>
            </w:hyperlink>
          </w:p>
        </w:tc>
        <w:tc>
          <w:tcPr>
            <w:tcW w:w="1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5160" w:type="dxa"/>
            <w:vAlign w:val="bottom"/>
            <w:gridSpan w:val="4"/>
          </w:tcPr>
          <w:p>
            <w:pPr>
              <w:spacing w:after="0" w:line="182" w:lineRule="exact"/>
              <w:rPr>
                <w:rFonts w:ascii="Arial" w:cs="Arial" w:eastAsia="Arial" w:hAnsi="Arial"/>
                <w:sz w:val="18"/>
                <w:szCs w:val="18"/>
                <w:color w:val="0000EE"/>
              </w:rPr>
            </w:pPr>
            <w:hyperlink w:anchor="page88">
              <w:r>
                <w:rPr>
                  <w:rFonts w:ascii="Arial" w:cs="Arial" w:eastAsia="Arial" w:hAnsi="Arial"/>
                  <w:sz w:val="18"/>
                  <w:szCs w:val="18"/>
                  <w:color w:val="0000EE"/>
                </w:rPr>
                <w:t>Certification of Principal Executive Officer Pursuant to 18 U.S.C.</w:t>
              </w:r>
            </w:hyperlink>
          </w:p>
        </w:tc>
        <w:tc>
          <w:tcPr>
            <w:tcW w:w="1400" w:type="dxa"/>
            <w:vAlign w:val="bottom"/>
          </w:tcPr>
          <w:p>
            <w:pPr>
              <w:jc w:val="center"/>
              <w:ind w:right="71"/>
              <w:spacing w:after="0" w:line="182" w:lineRule="exact"/>
              <w:rPr>
                <w:sz w:val="20"/>
                <w:szCs w:val="20"/>
                <w:color w:val="auto"/>
              </w:rPr>
            </w:pPr>
            <w:r>
              <w:rPr>
                <w:rFonts w:ascii="Arial" w:cs="Arial" w:eastAsia="Arial" w:hAnsi="Arial"/>
                <w:sz w:val="18"/>
                <w:szCs w:val="18"/>
                <w:color w:val="auto"/>
                <w:w w:val="89"/>
              </w:rPr>
              <w:t>Furnished</w:t>
            </w: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3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vMerge w:val="restart"/>
          </w:tcPr>
          <w:p>
            <w:pPr>
              <w:jc w:val="center"/>
              <w:ind w:right="71"/>
              <w:spacing w:after="0"/>
              <w:rPr>
                <w:sz w:val="20"/>
                <w:szCs w:val="20"/>
                <w:color w:val="auto"/>
              </w:rPr>
            </w:pPr>
            <w:r>
              <w:rPr>
                <w:rFonts w:ascii="Arial" w:cs="Arial" w:eastAsia="Arial" w:hAnsi="Arial"/>
                <w:sz w:val="18"/>
                <w:szCs w:val="18"/>
                <w:color w:val="auto"/>
                <w:w w:val="94"/>
              </w:rPr>
              <w:t>herewith</w:t>
            </w: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160" w:type="dxa"/>
            <w:vAlign w:val="bottom"/>
            <w:gridSpan w:val="4"/>
          </w:tcPr>
          <w:p>
            <w:pPr>
              <w:spacing w:after="0" w:line="196" w:lineRule="exact"/>
              <w:rPr>
                <w:rFonts w:ascii="Arial" w:cs="Arial" w:eastAsia="Arial" w:hAnsi="Arial"/>
                <w:sz w:val="18"/>
                <w:szCs w:val="18"/>
                <w:color w:val="0000EE"/>
                <w:w w:val="94"/>
              </w:rPr>
            </w:pPr>
            <w:hyperlink w:anchor="page88">
              <w:r>
                <w:rPr>
                  <w:rFonts w:ascii="Arial" w:cs="Arial" w:eastAsia="Arial" w:hAnsi="Arial"/>
                  <w:sz w:val="18"/>
                  <w:szCs w:val="18"/>
                  <w:color w:val="0000EE"/>
                  <w:w w:val="94"/>
                </w:rPr>
                <w:t>Section 1350, as Adopted Pursuant to Section 906 of the Sarbanes-</w:t>
              </w:r>
            </w:hyperlink>
          </w:p>
        </w:tc>
        <w:tc>
          <w:tcPr>
            <w:tcW w:w="140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Oxley Act of 2002.</w:t>
              </w:r>
            </w:hyperlink>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0" w:type="dxa"/>
            <w:vAlign w:val="bottom"/>
          </w:tcPr>
          <w:p>
            <w:pPr>
              <w:spacing w:after="0" w:line="182" w:lineRule="exact"/>
              <w:rPr>
                <w:sz w:val="20"/>
                <w:szCs w:val="20"/>
                <w:color w:val="auto"/>
              </w:rPr>
            </w:pPr>
            <w:r>
              <w:rPr>
                <w:rFonts w:ascii="Arial" w:cs="Arial" w:eastAsia="Arial" w:hAnsi="Arial"/>
                <w:sz w:val="18"/>
                <w:szCs w:val="18"/>
                <w:color w:val="auto"/>
              </w:rPr>
              <w:t>32.2*</w:t>
            </w:r>
          </w:p>
        </w:tc>
        <w:tc>
          <w:tcPr>
            <w:tcW w:w="4740" w:type="dxa"/>
            <w:vAlign w:val="bottom"/>
            <w:tcBorders>
              <w:bottom w:val="single" w:sz="8" w:color="0000EE"/>
            </w:tcBorders>
            <w:gridSpan w:val="2"/>
          </w:tcPr>
          <w:p>
            <w:pPr>
              <w:spacing w:after="0" w:line="182" w:lineRule="exact"/>
              <w:rPr>
                <w:rFonts w:ascii="Arial" w:cs="Arial" w:eastAsia="Arial" w:hAnsi="Arial"/>
                <w:sz w:val="18"/>
                <w:szCs w:val="18"/>
                <w:color w:val="0000EE"/>
                <w:w w:val="93"/>
              </w:rPr>
            </w:pPr>
            <w:hyperlink w:anchor="page89">
              <w:r>
                <w:rPr>
                  <w:rFonts w:ascii="Arial" w:cs="Arial" w:eastAsia="Arial" w:hAnsi="Arial"/>
                  <w:sz w:val="18"/>
                  <w:szCs w:val="18"/>
                  <w:color w:val="0000EE"/>
                  <w:w w:val="93"/>
                </w:rPr>
                <w:t>Certification of Principal Financial Officer Pursuant to 18 U.S.C.</w:t>
              </w:r>
            </w:hyperlink>
          </w:p>
        </w:tc>
        <w:tc>
          <w:tcPr>
            <w:tcW w:w="420" w:type="dxa"/>
            <w:vAlign w:val="bottom"/>
            <w:gridSpan w:val="2"/>
          </w:tcPr>
          <w:p>
            <w:pPr>
              <w:spacing w:after="0"/>
              <w:rPr>
                <w:sz w:val="15"/>
                <w:szCs w:val="15"/>
                <w:color w:val="auto"/>
              </w:rPr>
            </w:pPr>
          </w:p>
        </w:tc>
        <w:tc>
          <w:tcPr>
            <w:tcW w:w="1400" w:type="dxa"/>
            <w:vAlign w:val="bottom"/>
          </w:tcPr>
          <w:p>
            <w:pPr>
              <w:jc w:val="center"/>
              <w:ind w:right="71"/>
              <w:spacing w:after="0" w:line="182" w:lineRule="exact"/>
              <w:rPr>
                <w:sz w:val="20"/>
                <w:szCs w:val="20"/>
                <w:color w:val="auto"/>
              </w:rPr>
            </w:pPr>
            <w:r>
              <w:rPr>
                <w:rFonts w:ascii="Arial" w:cs="Arial" w:eastAsia="Arial" w:hAnsi="Arial"/>
                <w:sz w:val="18"/>
                <w:szCs w:val="18"/>
                <w:color w:val="auto"/>
                <w:w w:val="89"/>
              </w:rPr>
              <w:t>Furnished</w:t>
            </w: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160" w:type="dxa"/>
            <w:vAlign w:val="bottom"/>
            <w:gridSpan w:val="4"/>
          </w:tcPr>
          <w:p>
            <w:pPr>
              <w:spacing w:after="0" w:line="196" w:lineRule="exact"/>
              <w:rPr>
                <w:rFonts w:ascii="Arial" w:cs="Arial" w:eastAsia="Arial" w:hAnsi="Arial"/>
                <w:sz w:val="18"/>
                <w:szCs w:val="18"/>
                <w:color w:val="0000EE"/>
                <w:w w:val="94"/>
              </w:rPr>
            </w:pPr>
            <w:hyperlink w:anchor="page89">
              <w:r>
                <w:rPr>
                  <w:rFonts w:ascii="Arial" w:cs="Arial" w:eastAsia="Arial" w:hAnsi="Arial"/>
                  <w:sz w:val="18"/>
                  <w:szCs w:val="18"/>
                  <w:color w:val="0000EE"/>
                  <w:w w:val="94"/>
                </w:rPr>
                <w:t>Section 1350, as Adopted Pursuant to Section 906 of the Sarbanes-</w:t>
              </w:r>
            </w:hyperlink>
          </w:p>
        </w:tc>
        <w:tc>
          <w:tcPr>
            <w:tcW w:w="1400" w:type="dxa"/>
            <w:vAlign w:val="bottom"/>
          </w:tcPr>
          <w:p>
            <w:pPr>
              <w:jc w:val="center"/>
              <w:ind w:right="71"/>
              <w:spacing w:after="0" w:line="196" w:lineRule="exact"/>
              <w:rPr>
                <w:sz w:val="20"/>
                <w:szCs w:val="20"/>
                <w:color w:val="auto"/>
              </w:rPr>
            </w:pPr>
            <w:r>
              <w:rPr>
                <w:rFonts w:ascii="Arial" w:cs="Arial" w:eastAsia="Arial" w:hAnsi="Arial"/>
                <w:sz w:val="18"/>
                <w:szCs w:val="18"/>
                <w:color w:val="auto"/>
                <w:w w:val="94"/>
              </w:rPr>
              <w:t>herewith</w:t>
            </w: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89">
              <w:r>
                <w:rPr>
                  <w:rFonts w:ascii="Arial" w:cs="Arial" w:eastAsia="Arial" w:hAnsi="Arial"/>
                  <w:sz w:val="18"/>
                  <w:szCs w:val="18"/>
                  <w:color w:val="0000EE"/>
                  <w:w w:val="93"/>
                </w:rPr>
                <w:t>Oxley Act of 2002.</w:t>
              </w:r>
            </w:hyperlink>
          </w:p>
        </w:tc>
        <w:tc>
          <w:tcPr>
            <w:tcW w:w="3420" w:type="dxa"/>
            <w:vAlign w:val="bottom"/>
            <w:tcBorders>
              <w:top w:val="single" w:sz="8" w:color="0000EE"/>
            </w:tcBorders>
            <w:gridSpan w:val="2"/>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vMerge w:val="restart"/>
          </w:tcPr>
          <w:p>
            <w:pPr>
              <w:jc w:val="center"/>
              <w:ind w:right="71"/>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16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c>
          <w:tcPr>
            <w:tcW w:w="140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16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1400" w:type="dxa"/>
            <w:vAlign w:val="bottom"/>
          </w:tcPr>
          <w:p>
            <w:pPr>
              <w:jc w:val="center"/>
              <w:ind w:right="71"/>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16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400" w:type="dxa"/>
            <w:vAlign w:val="bottom"/>
          </w:tcPr>
          <w:p>
            <w:pPr>
              <w:jc w:val="center"/>
              <w:ind w:right="71"/>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16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400" w:type="dxa"/>
            <w:vAlign w:val="bottom"/>
          </w:tcPr>
          <w:p>
            <w:pPr>
              <w:jc w:val="center"/>
              <w:ind w:right="71"/>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16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c>
          <w:tcPr>
            <w:tcW w:w="1400" w:type="dxa"/>
            <w:vAlign w:val="bottom"/>
          </w:tcPr>
          <w:p>
            <w:pPr>
              <w:jc w:val="center"/>
              <w:ind w:right="71"/>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16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400" w:type="dxa"/>
            <w:vAlign w:val="bottom"/>
          </w:tcPr>
          <w:p>
            <w:pPr>
              <w:jc w:val="center"/>
              <w:ind w:right="71"/>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9512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ind w:left="492" w:hanging="492"/>
        <w:spacing w:after="0" w:line="259" w:lineRule="auto"/>
        <w:tabs>
          <w:tab w:leader="none" w:pos="49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12"/>
          </w:cols>
          <w:pgMar w:left="328" w:top="121" w:right="35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20"/>
              <w:spacing w:after="0"/>
              <w:rPr>
                <w:sz w:val="20"/>
                <w:szCs w:val="20"/>
                <w:color w:val="auto"/>
              </w:rPr>
            </w:pPr>
            <w:r>
              <w:rPr>
                <w:rFonts w:ascii="Arial" w:cs="Arial" w:eastAsia="Arial" w:hAnsi="Arial"/>
                <w:sz w:val="18"/>
                <w:szCs w:val="18"/>
                <w:color w:val="auto"/>
              </w:rPr>
              <w:t>November 12, 2020</w:t>
            </w:r>
          </w:p>
        </w:tc>
        <w:tc>
          <w:tcPr>
            <w:tcW w:w="2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ALX Oncology Holdings Inc.</w:t>
            </w:r>
          </w:p>
        </w:tc>
      </w:tr>
      <w:tr>
        <w:trPr>
          <w:trHeight w:val="429"/>
        </w:trPr>
        <w:tc>
          <w:tcPr>
            <w:tcW w:w="5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00" w:type="dxa"/>
            <w:vAlign w:val="bottom"/>
          </w:tcPr>
          <w:p>
            <w:pPr>
              <w:ind w:left="1880"/>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Jaume Pons</w:t>
            </w:r>
          </w:p>
        </w:tc>
      </w:tr>
      <w:tr>
        <w:trPr>
          <w:trHeight w:val="203"/>
        </w:trPr>
        <w:tc>
          <w:tcPr>
            <w:tcW w:w="5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Jaume Pons, Ph.D.</w:t>
            </w:r>
          </w:p>
        </w:tc>
      </w:tr>
      <w:tr>
        <w:trPr>
          <w:trHeight w:val="220"/>
        </w:trPr>
        <w:tc>
          <w:tcPr>
            <w:tcW w:w="5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President, Chief Executive Officer and Director</w:t>
            </w:r>
          </w:p>
        </w:tc>
      </w:tr>
      <w:tr>
        <w:trPr>
          <w:trHeight w:val="216"/>
        </w:trPr>
        <w:tc>
          <w:tcPr>
            <w:tcW w:w="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6"/>
                <w:szCs w:val="16"/>
                <w:i w:val="1"/>
                <w:iCs w:val="1"/>
                <w:color w:val="auto"/>
              </w:rPr>
              <w:t>(Principal Executive Officer)</w:t>
            </w:r>
          </w:p>
        </w:tc>
      </w:tr>
      <w:tr>
        <w:trPr>
          <w:trHeight w:val="43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20"/>
              <w:spacing w:after="0"/>
              <w:rPr>
                <w:sz w:val="20"/>
                <w:szCs w:val="20"/>
                <w:color w:val="auto"/>
              </w:rPr>
            </w:pPr>
            <w:r>
              <w:rPr>
                <w:rFonts w:ascii="Arial" w:cs="Arial" w:eastAsia="Arial" w:hAnsi="Arial"/>
                <w:sz w:val="18"/>
                <w:szCs w:val="18"/>
                <w:color w:val="auto"/>
              </w:rPr>
              <w:t>November 12, 2020</w:t>
            </w:r>
          </w:p>
        </w:tc>
        <w:tc>
          <w:tcPr>
            <w:tcW w:w="2400" w:type="dxa"/>
            <w:vAlign w:val="bottom"/>
          </w:tcPr>
          <w:p>
            <w:pPr>
              <w:ind w:left="1880"/>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Garcia</w:t>
            </w:r>
          </w:p>
        </w:tc>
      </w:tr>
      <w:tr>
        <w:trPr>
          <w:trHeight w:val="204"/>
        </w:trPr>
        <w:tc>
          <w:tcPr>
            <w:tcW w:w="5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Peter Garcia</w:t>
            </w:r>
          </w:p>
        </w:tc>
      </w:tr>
      <w:tr>
        <w:trPr>
          <w:trHeight w:val="216"/>
        </w:trPr>
        <w:tc>
          <w:tcPr>
            <w:tcW w:w="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16"/>
        </w:trPr>
        <w:tc>
          <w:tcPr>
            <w:tcW w:w="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6"/>
                <w:szCs w:val="16"/>
                <w:i w:val="1"/>
                <w:iCs w:val="1"/>
                <w:color w:val="auto"/>
              </w:rPr>
              <w:t>(Principal Financial Officer)</w:t>
            </w:r>
          </w:p>
        </w:tc>
      </w:tr>
      <w:tr>
        <w:trPr>
          <w:trHeight w:val="43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20"/>
              <w:spacing w:after="0"/>
              <w:rPr>
                <w:sz w:val="20"/>
                <w:szCs w:val="20"/>
                <w:color w:val="auto"/>
              </w:rPr>
            </w:pPr>
            <w:r>
              <w:rPr>
                <w:rFonts w:ascii="Arial" w:cs="Arial" w:eastAsia="Arial" w:hAnsi="Arial"/>
                <w:sz w:val="18"/>
                <w:szCs w:val="18"/>
                <w:color w:val="auto"/>
              </w:rPr>
              <w:t>November 12, 2020</w:t>
            </w:r>
          </w:p>
        </w:tc>
        <w:tc>
          <w:tcPr>
            <w:tcW w:w="2400" w:type="dxa"/>
            <w:vAlign w:val="bottom"/>
          </w:tcPr>
          <w:p>
            <w:pPr>
              <w:ind w:left="1880"/>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Steffen Pietzke</w:t>
            </w:r>
          </w:p>
        </w:tc>
      </w:tr>
      <w:tr>
        <w:trPr>
          <w:trHeight w:val="203"/>
        </w:trPr>
        <w:tc>
          <w:tcPr>
            <w:tcW w:w="5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Steffen Pietzke</w:t>
            </w:r>
          </w:p>
        </w:tc>
      </w:tr>
      <w:tr>
        <w:trPr>
          <w:trHeight w:val="216"/>
        </w:trPr>
        <w:tc>
          <w:tcPr>
            <w:tcW w:w="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Vice President, Finance and Chief Accounting Officer</w:t>
            </w:r>
          </w:p>
        </w:tc>
      </w:tr>
      <w:tr>
        <w:trPr>
          <w:trHeight w:val="216"/>
        </w:trPr>
        <w:tc>
          <w:tcPr>
            <w:tcW w:w="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6"/>
                <w:szCs w:val="16"/>
                <w:i w:val="1"/>
                <w:iCs w:val="1"/>
                <w:color w:val="auto"/>
              </w:rPr>
              <w:t>(Principal Accounting Officer)</w:t>
            </w:r>
          </w:p>
        </w:tc>
      </w:tr>
      <w:tr>
        <w:trPr>
          <w:trHeight w:val="668"/>
        </w:trPr>
        <w:tc>
          <w:tcPr>
            <w:tcW w:w="5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00" w:type="dxa"/>
            <w:vAlign w:val="bottom"/>
          </w:tcPr>
          <w:p>
            <w:pPr>
              <w:jc w:val="right"/>
              <w:ind w:right="417"/>
              <w:spacing w:after="0"/>
              <w:rPr>
                <w:sz w:val="20"/>
                <w:szCs w:val="20"/>
                <w:color w:val="auto"/>
              </w:rPr>
            </w:pPr>
            <w:r>
              <w:rPr>
                <w:rFonts w:ascii="Arial" w:cs="Arial" w:eastAsia="Arial" w:hAnsi="Arial"/>
                <w:sz w:val="18"/>
                <w:szCs w:val="18"/>
                <w:color w:val="auto"/>
              </w:rPr>
              <w:t>82</w:t>
            </w:r>
          </w:p>
        </w:tc>
        <w:tc>
          <w:tcPr>
            <w:tcW w:w="50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Jaume Pons, Ph.D., certify that:</w:t>
      </w:r>
    </w:p>
    <w:p>
      <w:pPr>
        <w:spacing w:after="0" w:line="117" w:lineRule="exact"/>
        <w:rPr>
          <w:sz w:val="20"/>
          <w:szCs w:val="20"/>
          <w:color w:val="auto"/>
        </w:rPr>
      </w:pPr>
    </w:p>
    <w:p>
      <w:pPr>
        <w:ind w:left="580" w:hanging="572"/>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ALX Oncology Holdings Inc.;</w:t>
      </w:r>
    </w:p>
    <w:p>
      <w:pPr>
        <w:spacing w:after="0" w:line="117"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80" w:right="180" w:hanging="572"/>
        <w:spacing w:after="0" w:line="263"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80" w:right="100" w:hanging="572"/>
        <w:spacing w:after="0" w:line="308" w:lineRule="auto"/>
        <w:tabs>
          <w:tab w:leader="none" w:pos="5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60" w:right="580" w:hanging="572"/>
        <w:spacing w:after="0" w:line="342" w:lineRule="auto"/>
        <w:tabs>
          <w:tab w:leader="none" w:pos="11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8040" w:val="left"/>
        </w:tabs>
        <w:rPr>
          <w:sz w:val="20"/>
          <w:szCs w:val="20"/>
          <w:color w:val="auto"/>
        </w:rPr>
      </w:pPr>
      <w:r>
        <w:rPr>
          <w:rFonts w:ascii="Arial" w:cs="Arial" w:eastAsia="Arial" w:hAnsi="Arial"/>
          <w:sz w:val="18"/>
          <w:szCs w:val="18"/>
          <w:color w:val="auto"/>
        </w:rPr>
        <w:t>Date: November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Jaume Pons, Ph.D.</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Peter Garcia, certify that:</w:t>
      </w:r>
    </w:p>
    <w:p>
      <w:pPr>
        <w:spacing w:after="0" w:line="117" w:lineRule="exact"/>
        <w:rPr>
          <w:sz w:val="20"/>
          <w:szCs w:val="20"/>
          <w:color w:val="auto"/>
        </w:rPr>
      </w:pPr>
    </w:p>
    <w:p>
      <w:pPr>
        <w:ind w:left="580" w:hanging="572"/>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ALX Oncology Holdings Inc.;</w:t>
      </w:r>
    </w:p>
    <w:p>
      <w:pPr>
        <w:spacing w:after="0" w:line="117"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80" w:right="180" w:hanging="572"/>
        <w:spacing w:after="0" w:line="263"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80" w:right="100" w:hanging="572"/>
        <w:spacing w:after="0" w:line="308" w:lineRule="auto"/>
        <w:tabs>
          <w:tab w:leader="none" w:pos="5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60" w:right="580" w:hanging="572"/>
        <w:spacing w:after="0" w:line="342" w:lineRule="auto"/>
        <w:tabs>
          <w:tab w:leader="none" w:pos="11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8020" w:val="left"/>
        </w:tabs>
        <w:rPr>
          <w:sz w:val="20"/>
          <w:szCs w:val="20"/>
          <w:color w:val="auto"/>
        </w:rPr>
      </w:pPr>
      <w:r>
        <w:rPr>
          <w:rFonts w:ascii="Arial" w:cs="Arial" w:eastAsia="Arial" w:hAnsi="Arial"/>
          <w:sz w:val="18"/>
          <w:szCs w:val="18"/>
          <w:color w:val="auto"/>
        </w:rPr>
        <w:t>Date: November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Peter Garcia</w:t>
      </w:r>
    </w:p>
    <w:p>
      <w:pPr>
        <w:spacing w:after="0" w:line="27"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In connection with the Quarterly Report of ALX Oncology Holdings Inc. (the “Company”) on Form 10-Q for the period ending September 30, 2020 as filed with the Securities and Exchange Commission on the date hereof (the “Report”), I certify, pursuant to 18 U.S.C. § 1350, as adopted pursuant to section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560" w:val="left"/>
          <w:tab w:leader="none" w:pos="8000" w:val="left"/>
        </w:tabs>
        <w:rPr>
          <w:sz w:val="20"/>
          <w:szCs w:val="20"/>
          <w:color w:val="auto"/>
        </w:rPr>
      </w:pPr>
      <w:r>
        <w:rPr>
          <w:rFonts w:ascii="Arial" w:cs="Arial" w:eastAsia="Arial" w:hAnsi="Arial"/>
          <w:sz w:val="18"/>
          <w:szCs w:val="18"/>
          <w:color w:val="auto"/>
        </w:rPr>
        <w:t>Date: November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2"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Jaume Pons, Ph.D.</w:t>
      </w:r>
    </w:p>
    <w:p>
      <w:pPr>
        <w:spacing w:after="0" w:line="27"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In connection with the Quarterly Report of ALX Oncology Holdings Inc. (the “Company”) on Form 10-Q for the period ending September 30, 2020 as filed with the Securities and Exchange Commission on the date hereof (the “Report”), I certify, pursuant to 18 U.S.C. § 1350, as adopted pursuant to section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560" w:val="left"/>
          <w:tab w:leader="none" w:pos="7980" w:val="left"/>
        </w:tabs>
        <w:rPr>
          <w:sz w:val="20"/>
          <w:szCs w:val="20"/>
          <w:color w:val="auto"/>
        </w:rPr>
      </w:pPr>
      <w:r>
        <w:rPr>
          <w:rFonts w:ascii="Arial" w:cs="Arial" w:eastAsia="Arial" w:hAnsi="Arial"/>
          <w:sz w:val="18"/>
          <w:szCs w:val="18"/>
          <w:color w:val="auto"/>
        </w:rPr>
        <w:t>Date: November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Peter Garcia</w:t>
      </w:r>
    </w:p>
    <w:p>
      <w:pPr>
        <w:spacing w:after="0" w:line="27"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1)"/>
      <w:numFmt w:val="decimal"/>
      <w:start w:val="2"/>
    </w:lvl>
  </w:abstractNum>
  <w:abstractNum w:abstractNumId="4">
    <w:nsid w:val="836C40E"/>
    <w:multiLevelType w:val="hybridMultilevel"/>
    <w:lvl w:ilvl="0">
      <w:lvlJc w:val="left"/>
      <w:lvlText w:val="(%1)"/>
      <w:numFmt w:val="decimal"/>
      <w:start w:val="4"/>
    </w:lvl>
  </w:abstractNum>
  <w:abstractNum w:abstractNumId="5">
    <w:nsid w:val="2901D82"/>
    <w:multiLevelType w:val="hybridMultilevel"/>
    <w:lvl w:ilvl="0">
      <w:lvlJc w:val="left"/>
      <w:lvlText w:val="(%1)"/>
      <w:numFmt w:val="decimal"/>
      <w:start w:val="6"/>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1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o"/>
      <w:numFmt w:val="bullet"/>
      <w:start w:val="1"/>
    </w:lvl>
  </w:abstractNum>
  <w:abstractNum w:abstractNumId="37">
    <w:nsid w:val="57E4CCAF"/>
    <w:multiLevelType w:val="hybridMultilevel"/>
    <w:lvl w:ilvl="0">
      <w:lvlJc w:val="left"/>
      <w:lvlText w:val="o"/>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2020-11-12T15:46:43Z</dcterms:created>
  <dcterms:modified xsi:type="dcterms:W3CDTF">2020-11-12T15:46:43Z</dcterms:modified>
</cp:coreProperties>
</file>