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GARCIA PETER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ALX ONCOLOGY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2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80" w:type="dxa"/>
            <w:vAlign w:val="bottom"/>
            <w:tcBorders>
              <w:top w:val="single" w:sz="8" w:color="2C2C2C"/>
            </w:tcBorders>
          </w:tcPr>
          <w:p>
            <w:pPr>
              <w:spacing w:after="0"/>
              <w:rPr>
                <w:sz w:val="11"/>
                <w:szCs w:val="11"/>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33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50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50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06/13/2024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12,000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8.5282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122,348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purposes of the short-swing profit recovery provisions of Section 16(b) of the Securities Exchange Act of 1934, the acquisition of shares reported herein may be deemed to be matchable to the extent of 1,893 shares with the reporting person's sale of 1,893 shares of Issuer common stock to satisfy the reporting person's tax obligations in connection with the vesting of restricted stock units on December 29, 2023. The reporting person has agreed to pay to the Issuer $11,959.88, which represents the full amount of the profit realized in connection with the short-swing transaction, less transaction costs.</w:t>
      </w:r>
    </w:p>
    <w:p>
      <w:pPr>
        <w:spacing w:after="0" w:line="176" w:lineRule="exact"/>
        <w:rPr>
          <w:rFonts w:ascii="Times New Roman" w:cs="Times New Roman" w:eastAsia="Times New Roman" w:hAnsi="Times New Roman"/>
          <w:sz w:val="13"/>
          <w:szCs w:val="13"/>
          <w:color w:val="008000"/>
        </w:rPr>
      </w:pPr>
    </w:p>
    <w:p>
      <w:pPr>
        <w:ind w:left="40" w:right="20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$8.4113 to $8.68, inclusive. The reporting person undertakes to provide the Issuer, any security holder of the Issuer, or the staff of the Securities and Exchange Commission, upon request, full information regarding the number of shares purchased at each separate price.</w:t>
      </w:r>
    </w:p>
    <w:p>
      <w:pPr>
        <w:spacing w:after="0" w:line="18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Peter Garcia</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06/24/2024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8956"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2024-06-24T08:04:33Z</dcterms:created>
  <dcterms:modified xsi:type="dcterms:W3CDTF">2024-06-24T08:04:33Z</dcterms:modified>
</cp:coreProperties>
</file>