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46"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GOODMAN COREY S</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07/16/2020</w:t>
            </w:r>
          </w:p>
        </w:tc>
        <w:tc>
          <w:tcPr>
            <w:tcW w:w="0" w:type="dxa"/>
            <w:vAlign w:val="bottom"/>
          </w:tcPr>
          <w:p>
            <w:pPr>
              <w:spacing w:after="0"/>
              <w:rPr>
                <w:sz w:val="1"/>
                <w:szCs w:val="1"/>
                <w:color w:val="auto"/>
              </w:rPr>
            </w:pPr>
          </w:p>
        </w:tc>
      </w:tr>
    </w:tbl>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00" w:type="dxa"/>
            <w:vAlign w:val="bottom"/>
          </w:tcPr>
          <w:p>
            <w:pPr>
              <w:ind w:left="280"/>
              <w:spacing w:after="0"/>
              <w:rPr>
                <w:sz w:val="20"/>
                <w:szCs w:val="20"/>
                <w:color w:val="auto"/>
              </w:rPr>
            </w:pPr>
            <w:r>
              <w:rPr>
                <w:rFonts w:ascii="Arial" w:cs="Arial" w:eastAsia="Arial" w:hAnsi="Arial"/>
                <w:sz w:val="15"/>
                <w:szCs w:val="15"/>
                <w:color w:val="auto"/>
              </w:rPr>
              <w:t>(First)</w:t>
            </w:r>
          </w:p>
        </w:tc>
        <w:tc>
          <w:tcPr>
            <w:tcW w:w="1320" w:type="dxa"/>
            <w:vAlign w:val="bottom"/>
          </w:tcPr>
          <w:p>
            <w:pPr>
              <w:jc w:val="center"/>
              <w:ind w:right="54"/>
              <w:spacing w:after="0"/>
              <w:rPr>
                <w:sz w:val="20"/>
                <w:szCs w:val="20"/>
                <w:color w:val="auto"/>
              </w:rPr>
            </w:pPr>
            <w:r>
              <w:rPr>
                <w:rFonts w:ascii="Arial" w:cs="Arial" w:eastAsia="Arial" w:hAnsi="Arial"/>
                <w:sz w:val="15"/>
                <w:szCs w:val="15"/>
                <w:color w:val="auto"/>
                <w:w w:val="99"/>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C/O VENBIO PARTNERS, LLC</w:t>
            </w: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5"/>
              </w:rPr>
              <w:t>1700 OWENS STREET, SUITE 595</w:t>
            </w:r>
          </w:p>
        </w:tc>
      </w:tr>
      <w:tr>
        <w:trPr>
          <w:trHeight w:val="177"/>
        </w:trPr>
        <w:tc>
          <w:tcPr>
            <w:tcW w:w="78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1"/>
        </w:trPr>
        <w:tc>
          <w:tcPr>
            <w:tcW w:w="780" w:type="dxa"/>
            <w:vAlign w:val="bottom"/>
          </w:tcPr>
          <w:p>
            <w:pPr>
              <w:ind w:left="40"/>
              <w:spacing w:after="0" w:line="211" w:lineRule="exact"/>
              <w:rPr>
                <w:sz w:val="20"/>
                <w:szCs w:val="20"/>
                <w:color w:val="auto"/>
              </w:rPr>
            </w:pPr>
            <w:r>
              <w:rPr>
                <w:rFonts w:ascii="Arial" w:cs="Arial" w:eastAsia="Arial" w:hAnsi="Arial"/>
                <w:sz w:val="20"/>
                <w:szCs w:val="20"/>
                <w:color w:val="0000FF"/>
              </w:rPr>
              <w:t>SAN</w:t>
            </w: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509"/>
        </w:trPr>
        <w:tc>
          <w:tcPr>
            <w:tcW w:w="1780" w:type="dxa"/>
            <w:vAlign w:val="bottom"/>
            <w:gridSpan w:val="2"/>
          </w:tcPr>
          <w:p>
            <w:pPr>
              <w:ind w:left="40"/>
              <w:spacing w:after="0"/>
              <w:rPr>
                <w:sz w:val="20"/>
                <w:szCs w:val="20"/>
                <w:color w:val="auto"/>
              </w:rPr>
            </w:pPr>
            <w:r>
              <w:rPr>
                <w:rFonts w:ascii="Arial" w:cs="Arial" w:eastAsia="Arial" w:hAnsi="Arial"/>
                <w:sz w:val="20"/>
                <w:szCs w:val="20"/>
                <w:color w:val="0000FF"/>
              </w:rPr>
              <w:t xml:space="preserve">FRANCISCO </w:t>
            </w:r>
            <w:r>
              <w:rPr>
                <w:rFonts w:ascii="Arial" w:cs="Arial" w:eastAsia="Arial" w:hAnsi="Arial"/>
                <w:sz w:val="39"/>
                <w:szCs w:val="39"/>
                <w:color w:val="0000FF"/>
                <w:vertAlign w:val="superscript"/>
              </w:rPr>
              <w:t>CA</w:t>
            </w:r>
          </w:p>
        </w:tc>
        <w:tc>
          <w:tcPr>
            <w:tcW w:w="1320" w:type="dxa"/>
            <w:vAlign w:val="bottom"/>
          </w:tcPr>
          <w:p>
            <w:pPr>
              <w:jc w:val="right"/>
              <w:ind w:right="394"/>
              <w:spacing w:after="0"/>
              <w:rPr>
                <w:sz w:val="20"/>
                <w:szCs w:val="20"/>
                <w:color w:val="auto"/>
              </w:rPr>
            </w:pPr>
            <w:r>
              <w:rPr>
                <w:rFonts w:ascii="Arial" w:cs="Arial" w:eastAsia="Arial" w:hAnsi="Arial"/>
                <w:sz w:val="20"/>
                <w:szCs w:val="20"/>
                <w:color w:val="0000FF"/>
              </w:rPr>
              <w:t>94010</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ALX ONCOLOGY HOLDINGS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ALXO</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3"/>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58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580" w:type="dxa"/>
            <w:vAlign w:val="bottom"/>
          </w:tcPr>
          <w:p>
            <w:pPr>
              <w:spacing w:after="0"/>
              <w:rPr>
                <w:sz w:val="20"/>
                <w:szCs w:val="20"/>
                <w:color w:val="auto"/>
              </w:rPr>
            </w:pPr>
            <w:r>
              <w:rPr>
                <w:rFonts w:ascii="Arial" w:cs="Arial" w:eastAsia="Arial" w:hAnsi="Arial"/>
                <w:sz w:val="15"/>
                <w:szCs w:val="15"/>
                <w:color w:val="auto"/>
              </w:rPr>
              <w:t>(Check all applicable)</w:t>
            </w: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58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400" w:type="dxa"/>
            <w:vAlign w:val="bottom"/>
            <w:vMerge w:val="restart"/>
          </w:tcPr>
          <w:p>
            <w:pPr>
              <w:ind w:left="160"/>
              <w:spacing w:after="0"/>
              <w:rPr>
                <w:sz w:val="20"/>
                <w:szCs w:val="20"/>
                <w:color w:val="auto"/>
              </w:rPr>
            </w:pPr>
            <w:r>
              <w:rPr>
                <w:rFonts w:ascii="Arial" w:cs="Arial" w:eastAsia="Arial" w:hAnsi="Arial"/>
                <w:sz w:val="20"/>
                <w:szCs w:val="20"/>
                <w:color w:val="0000FF"/>
              </w:rPr>
              <w:t>X</w:t>
            </w:r>
          </w:p>
        </w:tc>
        <w:tc>
          <w:tcPr>
            <w:tcW w:w="1220" w:type="dxa"/>
            <w:vAlign w:val="bottom"/>
            <w:vMerge w:val="restart"/>
          </w:tcPr>
          <w:p>
            <w:pPr>
              <w:ind w:left="8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58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58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400" w:type="dxa"/>
            <w:vAlign w:val="bottom"/>
            <w:vMerge w:val="restart"/>
          </w:tcPr>
          <w:p>
            <w:pPr>
              <w:ind w:left="160"/>
              <w:spacing w:after="0" w:line="227" w:lineRule="exact"/>
              <w:rPr>
                <w:sz w:val="20"/>
                <w:szCs w:val="20"/>
                <w:color w:val="auto"/>
              </w:rPr>
            </w:pPr>
            <w:r>
              <w:rPr>
                <w:rFonts w:ascii="Arial" w:cs="Arial" w:eastAsia="Arial" w:hAnsi="Arial"/>
                <w:sz w:val="20"/>
                <w:szCs w:val="20"/>
                <w:color w:val="0000FF"/>
              </w:rPr>
              <w:t>X</w:t>
            </w:r>
          </w:p>
        </w:tc>
        <w:tc>
          <w:tcPr>
            <w:tcW w:w="1220" w:type="dxa"/>
            <w:vAlign w:val="bottom"/>
            <w:vMerge w:val="restart"/>
          </w:tcPr>
          <w:p>
            <w:pPr>
              <w:ind w:left="8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58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58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400" w:type="dxa"/>
            <w:vAlign w:val="bottom"/>
          </w:tcPr>
          <w:p>
            <w:pPr>
              <w:spacing w:after="0"/>
              <w:rPr>
                <w:sz w:val="15"/>
                <w:szCs w:val="15"/>
                <w:color w:val="auto"/>
              </w:rPr>
            </w:pPr>
          </w:p>
        </w:tc>
        <w:tc>
          <w:tcPr>
            <w:tcW w:w="1220" w:type="dxa"/>
            <w:vAlign w:val="bottom"/>
          </w:tcPr>
          <w:p>
            <w:pPr>
              <w:ind w:left="8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3200" w:type="dxa"/>
            <w:vAlign w:val="bottom"/>
            <w:gridSpan w:val="3"/>
            <w:vMerge w:val="restart"/>
          </w:tcPr>
          <w:p>
            <w:pPr>
              <w:ind w:left="760"/>
              <w:spacing w:after="0"/>
              <w:rPr>
                <w:sz w:val="20"/>
                <w:szCs w:val="20"/>
                <w:color w:val="auto"/>
              </w:rPr>
            </w:pPr>
            <w:r>
              <w:rPr>
                <w:rFonts w:ascii="Arial" w:cs="Arial" w:eastAsia="Arial" w:hAnsi="Arial"/>
                <w:sz w:val="20"/>
                <w:szCs w:val="20"/>
                <w:color w:val="0000FF"/>
              </w:rPr>
              <w:t>Executive Chairman</w:t>
            </w: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320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ind w:left="3720"/>
        <w:spacing w:after="0" w:line="229" w:lineRule="auto"/>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412" w:lineRule="exact"/>
        <w:rPr>
          <w:sz w:val="24"/>
          <w:szCs w:val="24"/>
          <w:color w:val="auto"/>
        </w:rPr>
      </w:pPr>
    </w:p>
    <w:p>
      <w:pPr>
        <w:sectPr>
          <w:pgSz w:w="11900" w:h="16846" w:orient="portrait"/>
          <w:cols w:equalWidth="0" w:num="2">
            <w:col w:w="4720" w:space="280"/>
            <w:col w:w="5940"/>
          </w:cols>
          <w:pgMar w:left="480" w:top="236"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267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2674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c>
          <w:tcPr>
            <w:tcW w:w="20" w:type="dxa"/>
            <w:vAlign w:val="bottom"/>
          </w:tcPr>
          <w:p>
            <w:pPr>
              <w:spacing w:after="0"/>
              <w:rPr>
                <w:sz w:val="15"/>
                <w:szCs w:val="15"/>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6"/>
        </w:trPr>
        <w:tc>
          <w:tcPr>
            <w:tcW w:w="20" w:type="dxa"/>
            <w:vAlign w:val="bottom"/>
          </w:tcPr>
          <w:p>
            <w:pPr>
              <w:spacing w:after="0"/>
              <w:rPr>
                <w:sz w:val="4"/>
                <w:szCs w:val="4"/>
                <w:color w:val="auto"/>
              </w:rPr>
            </w:pPr>
          </w:p>
        </w:tc>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400" w:type="dxa"/>
            <w:vAlign w:val="bottom"/>
            <w:tcBorders>
              <w:bottom w:val="single" w:sz="8" w:color="2C2C2C"/>
            </w:tcBorders>
          </w:tcPr>
          <w:p>
            <w:pPr>
              <w:jc w:val="right"/>
              <w:ind w:right="756"/>
              <w:spacing w:after="0"/>
              <w:rPr>
                <w:sz w:val="20"/>
                <w:szCs w:val="20"/>
                <w:color w:val="auto"/>
              </w:rPr>
            </w:pPr>
            <w:r>
              <w:rPr>
                <w:rFonts w:ascii="Arial" w:cs="Arial" w:eastAsia="Arial" w:hAnsi="Arial"/>
                <w:sz w:val="20"/>
                <w:szCs w:val="20"/>
                <w:color w:val="0000FF"/>
              </w:rPr>
              <w:t>151</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(1)</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400" w:type="dxa"/>
            <w:vAlign w:val="bottom"/>
            <w:tcBorders>
              <w:bottom w:val="single" w:sz="8" w:color="2C2C2C"/>
            </w:tcBorders>
          </w:tcPr>
          <w:p>
            <w:pPr>
              <w:jc w:val="right"/>
              <w:ind w:right="576"/>
              <w:spacing w:after="0"/>
              <w:rPr>
                <w:sz w:val="20"/>
                <w:szCs w:val="20"/>
                <w:color w:val="auto"/>
              </w:rPr>
            </w:pPr>
            <w:r>
              <w:rPr>
                <w:rFonts w:ascii="Arial" w:cs="Arial" w:eastAsia="Arial" w:hAnsi="Arial"/>
                <w:sz w:val="20"/>
                <w:szCs w:val="20"/>
                <w:color w:val="0000FF"/>
              </w:rPr>
              <w:t>461,811</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(2)</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40214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402145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9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9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9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6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9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0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A Convertible Preferred</w:t>
            </w:r>
          </w:p>
        </w:tc>
        <w:tc>
          <w:tcPr>
            <w:tcW w:w="980" w:type="dxa"/>
            <w:vAlign w:val="bottom"/>
            <w:vMerge w:val="restart"/>
          </w:tcPr>
          <w:p>
            <w:pPr>
              <w:jc w:val="right"/>
              <w:ind w:right="352"/>
              <w:spacing w:after="0"/>
              <w:rPr>
                <w:sz w:val="20"/>
                <w:szCs w:val="20"/>
                <w:color w:val="auto"/>
              </w:rPr>
            </w:pPr>
            <w:r>
              <w:rPr>
                <w:rFonts w:ascii="Arial" w:cs="Arial" w:eastAsia="Arial" w:hAnsi="Arial"/>
                <w:sz w:val="13"/>
                <w:szCs w:val="13"/>
                <w:color w:val="008000"/>
              </w:rPr>
              <w:t>(3)</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(3)</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9"/>
              <w:spacing w:after="0"/>
              <w:rPr>
                <w:sz w:val="20"/>
                <w:szCs w:val="20"/>
                <w:color w:val="auto"/>
              </w:rPr>
            </w:pPr>
            <w:r>
              <w:rPr>
                <w:rFonts w:ascii="Arial" w:cs="Arial" w:eastAsia="Arial" w:hAnsi="Arial"/>
                <w:sz w:val="20"/>
                <w:szCs w:val="20"/>
                <w:color w:val="0000FF"/>
                <w:w w:val="87"/>
              </w:rPr>
              <w:t>3,100,020</w:t>
            </w:r>
          </w:p>
        </w:tc>
        <w:tc>
          <w:tcPr>
            <w:tcW w:w="980" w:type="dxa"/>
            <w:vAlign w:val="bottom"/>
            <w:vMerge w:val="restart"/>
          </w:tcPr>
          <w:p>
            <w:pPr>
              <w:jc w:val="right"/>
              <w:ind w:right="332"/>
              <w:spacing w:after="0"/>
              <w:rPr>
                <w:sz w:val="20"/>
                <w:szCs w:val="20"/>
                <w:color w:val="auto"/>
              </w:rPr>
            </w:pPr>
            <w:r>
              <w:rPr>
                <w:rFonts w:ascii="Arial" w:cs="Arial" w:eastAsia="Arial" w:hAnsi="Arial"/>
                <w:sz w:val="13"/>
                <w:szCs w:val="13"/>
                <w:color w:val="008000"/>
              </w:rPr>
              <w:t>(3)</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(1)</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A Convertible Preferred</w:t>
            </w:r>
          </w:p>
        </w:tc>
        <w:tc>
          <w:tcPr>
            <w:tcW w:w="980" w:type="dxa"/>
            <w:vAlign w:val="bottom"/>
            <w:vMerge w:val="restart"/>
          </w:tcPr>
          <w:p>
            <w:pPr>
              <w:jc w:val="right"/>
              <w:ind w:right="352"/>
              <w:spacing w:after="0"/>
              <w:rPr>
                <w:sz w:val="20"/>
                <w:szCs w:val="20"/>
                <w:color w:val="auto"/>
              </w:rPr>
            </w:pPr>
            <w:r>
              <w:rPr>
                <w:rFonts w:ascii="Arial" w:cs="Arial" w:eastAsia="Arial" w:hAnsi="Arial"/>
                <w:sz w:val="13"/>
                <w:szCs w:val="13"/>
                <w:color w:val="008000"/>
              </w:rPr>
              <w:t>(3)</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(3)</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9"/>
              <w:spacing w:after="0"/>
              <w:rPr>
                <w:sz w:val="20"/>
                <w:szCs w:val="20"/>
                <w:color w:val="auto"/>
              </w:rPr>
            </w:pPr>
            <w:r>
              <w:rPr>
                <w:rFonts w:ascii="Arial" w:cs="Arial" w:eastAsia="Arial" w:hAnsi="Arial"/>
                <w:sz w:val="20"/>
                <w:szCs w:val="20"/>
                <w:color w:val="0000FF"/>
                <w:w w:val="87"/>
              </w:rPr>
              <w:t>2,398,588</w:t>
            </w:r>
          </w:p>
        </w:tc>
        <w:tc>
          <w:tcPr>
            <w:tcW w:w="980" w:type="dxa"/>
            <w:vAlign w:val="bottom"/>
            <w:vMerge w:val="restart"/>
          </w:tcPr>
          <w:p>
            <w:pPr>
              <w:jc w:val="right"/>
              <w:ind w:right="332"/>
              <w:spacing w:after="0"/>
              <w:rPr>
                <w:sz w:val="20"/>
                <w:szCs w:val="20"/>
                <w:color w:val="auto"/>
              </w:rPr>
            </w:pPr>
            <w:r>
              <w:rPr>
                <w:rFonts w:ascii="Arial" w:cs="Arial" w:eastAsia="Arial" w:hAnsi="Arial"/>
                <w:sz w:val="13"/>
                <w:szCs w:val="13"/>
                <w:color w:val="008000"/>
              </w:rPr>
              <w:t>(3)</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(4)</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A Convertible Preferred</w:t>
            </w:r>
          </w:p>
        </w:tc>
        <w:tc>
          <w:tcPr>
            <w:tcW w:w="980" w:type="dxa"/>
            <w:vAlign w:val="bottom"/>
            <w:vMerge w:val="restart"/>
          </w:tcPr>
          <w:p>
            <w:pPr>
              <w:jc w:val="right"/>
              <w:ind w:right="352"/>
              <w:spacing w:after="0"/>
              <w:rPr>
                <w:sz w:val="20"/>
                <w:szCs w:val="20"/>
                <w:color w:val="auto"/>
              </w:rPr>
            </w:pPr>
            <w:r>
              <w:rPr>
                <w:rFonts w:ascii="Arial" w:cs="Arial" w:eastAsia="Arial" w:hAnsi="Arial"/>
                <w:sz w:val="13"/>
                <w:szCs w:val="13"/>
                <w:color w:val="008000"/>
              </w:rPr>
              <w:t>(3)</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(3)</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29"/>
              <w:spacing w:after="0"/>
              <w:rPr>
                <w:sz w:val="20"/>
                <w:szCs w:val="20"/>
                <w:color w:val="auto"/>
              </w:rPr>
            </w:pPr>
            <w:r>
              <w:rPr>
                <w:rFonts w:ascii="Arial" w:cs="Arial" w:eastAsia="Arial" w:hAnsi="Arial"/>
                <w:sz w:val="20"/>
                <w:szCs w:val="20"/>
                <w:color w:val="0000FF"/>
                <w:w w:val="84"/>
              </w:rPr>
              <w:t>78,175</w:t>
            </w:r>
          </w:p>
        </w:tc>
        <w:tc>
          <w:tcPr>
            <w:tcW w:w="980" w:type="dxa"/>
            <w:vAlign w:val="bottom"/>
            <w:vMerge w:val="restart"/>
          </w:tcPr>
          <w:p>
            <w:pPr>
              <w:jc w:val="right"/>
              <w:ind w:right="332"/>
              <w:spacing w:after="0"/>
              <w:rPr>
                <w:sz w:val="20"/>
                <w:szCs w:val="20"/>
                <w:color w:val="auto"/>
              </w:rPr>
            </w:pPr>
            <w:r>
              <w:rPr>
                <w:rFonts w:ascii="Arial" w:cs="Arial" w:eastAsia="Arial" w:hAnsi="Arial"/>
                <w:sz w:val="13"/>
                <w:szCs w:val="13"/>
                <w:color w:val="008000"/>
              </w:rPr>
              <w:t>(3)</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(5)</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B Convertible Preferred</w:t>
            </w:r>
          </w:p>
        </w:tc>
        <w:tc>
          <w:tcPr>
            <w:tcW w:w="980" w:type="dxa"/>
            <w:vAlign w:val="bottom"/>
            <w:vMerge w:val="restart"/>
          </w:tcPr>
          <w:p>
            <w:pPr>
              <w:jc w:val="right"/>
              <w:ind w:right="352"/>
              <w:spacing w:after="0"/>
              <w:rPr>
                <w:sz w:val="20"/>
                <w:szCs w:val="20"/>
                <w:color w:val="auto"/>
              </w:rPr>
            </w:pPr>
            <w:r>
              <w:rPr>
                <w:rFonts w:ascii="Arial" w:cs="Arial" w:eastAsia="Arial" w:hAnsi="Arial"/>
                <w:sz w:val="13"/>
                <w:szCs w:val="13"/>
                <w:color w:val="008000"/>
              </w:rPr>
              <w:t>(6)</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(6)</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29"/>
              <w:spacing w:after="0"/>
              <w:rPr>
                <w:sz w:val="20"/>
                <w:szCs w:val="20"/>
                <w:color w:val="auto"/>
              </w:rPr>
            </w:pPr>
            <w:r>
              <w:rPr>
                <w:rFonts w:ascii="Arial" w:cs="Arial" w:eastAsia="Arial" w:hAnsi="Arial"/>
                <w:sz w:val="20"/>
                <w:szCs w:val="20"/>
                <w:color w:val="0000FF"/>
                <w:w w:val="88"/>
              </w:rPr>
              <w:t>490,411</w:t>
            </w:r>
          </w:p>
        </w:tc>
        <w:tc>
          <w:tcPr>
            <w:tcW w:w="980" w:type="dxa"/>
            <w:vAlign w:val="bottom"/>
            <w:vMerge w:val="restart"/>
          </w:tcPr>
          <w:p>
            <w:pPr>
              <w:jc w:val="right"/>
              <w:ind w:right="332"/>
              <w:spacing w:after="0"/>
              <w:rPr>
                <w:sz w:val="20"/>
                <w:szCs w:val="20"/>
                <w:color w:val="auto"/>
              </w:rPr>
            </w:pPr>
            <w:r>
              <w:rPr>
                <w:rFonts w:ascii="Arial" w:cs="Arial" w:eastAsia="Arial" w:hAnsi="Arial"/>
                <w:sz w:val="13"/>
                <w:szCs w:val="13"/>
                <w:color w:val="008000"/>
              </w:rPr>
              <w:t>(6)</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(4)</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B Convertible Preferred</w:t>
            </w:r>
          </w:p>
        </w:tc>
        <w:tc>
          <w:tcPr>
            <w:tcW w:w="980" w:type="dxa"/>
            <w:vAlign w:val="bottom"/>
            <w:vMerge w:val="restart"/>
          </w:tcPr>
          <w:p>
            <w:pPr>
              <w:jc w:val="right"/>
              <w:ind w:right="352"/>
              <w:spacing w:after="0"/>
              <w:rPr>
                <w:sz w:val="20"/>
                <w:szCs w:val="20"/>
                <w:color w:val="auto"/>
              </w:rPr>
            </w:pPr>
            <w:r>
              <w:rPr>
                <w:rFonts w:ascii="Arial" w:cs="Arial" w:eastAsia="Arial" w:hAnsi="Arial"/>
                <w:sz w:val="13"/>
                <w:szCs w:val="13"/>
                <w:color w:val="008000"/>
              </w:rPr>
              <w:t>(6)</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(6)</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29"/>
              <w:spacing w:after="0"/>
              <w:rPr>
                <w:sz w:val="20"/>
                <w:szCs w:val="20"/>
                <w:color w:val="auto"/>
              </w:rPr>
            </w:pPr>
            <w:r>
              <w:rPr>
                <w:rFonts w:ascii="Arial" w:cs="Arial" w:eastAsia="Arial" w:hAnsi="Arial"/>
                <w:sz w:val="20"/>
                <w:szCs w:val="20"/>
                <w:color w:val="0000FF"/>
                <w:w w:val="84"/>
              </w:rPr>
              <w:t>15,794</w:t>
            </w:r>
          </w:p>
        </w:tc>
        <w:tc>
          <w:tcPr>
            <w:tcW w:w="980" w:type="dxa"/>
            <w:vAlign w:val="bottom"/>
            <w:vMerge w:val="restart"/>
          </w:tcPr>
          <w:p>
            <w:pPr>
              <w:jc w:val="right"/>
              <w:ind w:right="332"/>
              <w:spacing w:after="0"/>
              <w:rPr>
                <w:sz w:val="20"/>
                <w:szCs w:val="20"/>
                <w:color w:val="auto"/>
              </w:rPr>
            </w:pPr>
            <w:r>
              <w:rPr>
                <w:rFonts w:ascii="Arial" w:cs="Arial" w:eastAsia="Arial" w:hAnsi="Arial"/>
                <w:sz w:val="13"/>
                <w:szCs w:val="13"/>
                <w:color w:val="008000"/>
              </w:rPr>
              <w:t>(6)</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(5)</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C Convertible Preferred</w:t>
            </w:r>
          </w:p>
        </w:tc>
        <w:tc>
          <w:tcPr>
            <w:tcW w:w="980" w:type="dxa"/>
            <w:vAlign w:val="bottom"/>
            <w:vMerge w:val="restart"/>
          </w:tcPr>
          <w:p>
            <w:pPr>
              <w:jc w:val="right"/>
              <w:ind w:right="352"/>
              <w:spacing w:after="0"/>
              <w:rPr>
                <w:sz w:val="20"/>
                <w:szCs w:val="20"/>
                <w:color w:val="auto"/>
              </w:rPr>
            </w:pPr>
            <w:r>
              <w:rPr>
                <w:rFonts w:ascii="Arial" w:cs="Arial" w:eastAsia="Arial" w:hAnsi="Arial"/>
                <w:sz w:val="13"/>
                <w:szCs w:val="13"/>
                <w:color w:val="008000"/>
              </w:rPr>
              <w:t>(7)</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(7)</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9"/>
              <w:spacing w:after="0"/>
              <w:rPr>
                <w:sz w:val="20"/>
                <w:szCs w:val="20"/>
                <w:color w:val="auto"/>
              </w:rPr>
            </w:pPr>
            <w:r>
              <w:rPr>
                <w:rFonts w:ascii="Arial" w:cs="Arial" w:eastAsia="Arial" w:hAnsi="Arial"/>
                <w:sz w:val="20"/>
                <w:szCs w:val="20"/>
                <w:color w:val="0000FF"/>
                <w:w w:val="87"/>
              </w:rPr>
              <w:t>1,052,950</w:t>
            </w:r>
          </w:p>
        </w:tc>
        <w:tc>
          <w:tcPr>
            <w:tcW w:w="980" w:type="dxa"/>
            <w:vAlign w:val="bottom"/>
            <w:vMerge w:val="restart"/>
          </w:tcPr>
          <w:p>
            <w:pPr>
              <w:jc w:val="right"/>
              <w:ind w:right="332"/>
              <w:spacing w:after="0"/>
              <w:rPr>
                <w:sz w:val="20"/>
                <w:szCs w:val="20"/>
                <w:color w:val="auto"/>
              </w:rPr>
            </w:pPr>
            <w:r>
              <w:rPr>
                <w:rFonts w:ascii="Arial" w:cs="Arial" w:eastAsia="Arial" w:hAnsi="Arial"/>
                <w:sz w:val="13"/>
                <w:szCs w:val="13"/>
                <w:color w:val="008000"/>
              </w:rPr>
              <w:t>(7)</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(4)</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C Convertible Preferred</w:t>
            </w:r>
          </w:p>
        </w:tc>
        <w:tc>
          <w:tcPr>
            <w:tcW w:w="980" w:type="dxa"/>
            <w:vAlign w:val="bottom"/>
            <w:vMerge w:val="restart"/>
          </w:tcPr>
          <w:p>
            <w:pPr>
              <w:jc w:val="right"/>
              <w:ind w:right="352"/>
              <w:spacing w:after="0"/>
              <w:rPr>
                <w:sz w:val="20"/>
                <w:szCs w:val="20"/>
                <w:color w:val="auto"/>
              </w:rPr>
            </w:pPr>
            <w:r>
              <w:rPr>
                <w:rFonts w:ascii="Arial" w:cs="Arial" w:eastAsia="Arial" w:hAnsi="Arial"/>
                <w:sz w:val="13"/>
                <w:szCs w:val="13"/>
                <w:color w:val="008000"/>
              </w:rPr>
              <w:t>(7)</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(7)</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29"/>
              <w:spacing w:after="0"/>
              <w:rPr>
                <w:sz w:val="20"/>
                <w:szCs w:val="20"/>
                <w:color w:val="auto"/>
              </w:rPr>
            </w:pPr>
            <w:r>
              <w:rPr>
                <w:rFonts w:ascii="Arial" w:cs="Arial" w:eastAsia="Arial" w:hAnsi="Arial"/>
                <w:sz w:val="20"/>
                <w:szCs w:val="20"/>
                <w:color w:val="0000FF"/>
                <w:w w:val="84"/>
              </w:rPr>
              <w:t>52,647</w:t>
            </w:r>
          </w:p>
        </w:tc>
        <w:tc>
          <w:tcPr>
            <w:tcW w:w="980" w:type="dxa"/>
            <w:vAlign w:val="bottom"/>
            <w:vMerge w:val="restart"/>
          </w:tcPr>
          <w:p>
            <w:pPr>
              <w:jc w:val="right"/>
              <w:ind w:right="332"/>
              <w:spacing w:after="0"/>
              <w:rPr>
                <w:sz w:val="20"/>
                <w:szCs w:val="20"/>
                <w:color w:val="auto"/>
              </w:rPr>
            </w:pPr>
            <w:r>
              <w:rPr>
                <w:rFonts w:ascii="Arial" w:cs="Arial" w:eastAsia="Arial" w:hAnsi="Arial"/>
                <w:sz w:val="13"/>
                <w:szCs w:val="13"/>
                <w:color w:val="008000"/>
              </w:rPr>
              <w:t>(7)</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(8)</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320" w:firstLine="5"/>
        <w:spacing w:after="0" w:line="241"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The shares are held of record by venBio Global Strategic Fund, L.P. venBio Global Strategic GP, L.P. is the general partner of venBio Global Strategic Fund, L.P. and venBio Global Strategic GP, Ltd. is the general partner of venBio Global Strategic GP, L.P. The reporting person, a director of venBio Global Strategic GP, Ltd., disclaims beneficial ownership of such securities, except to the extent of his indirect pecuniary interest therein.</w:t>
      </w:r>
    </w:p>
    <w:p>
      <w:pPr>
        <w:spacing w:after="0" w:line="35" w:lineRule="exact"/>
        <w:rPr>
          <w:rFonts w:ascii="Arial" w:cs="Arial" w:eastAsia="Arial" w:hAnsi="Arial"/>
          <w:sz w:val="15"/>
          <w:szCs w:val="15"/>
          <w:color w:val="008000"/>
        </w:rPr>
      </w:pPr>
    </w:p>
    <w:p>
      <w:pPr>
        <w:ind w:left="40" w:right="340" w:firstLine="5"/>
        <w:spacing w:after="0" w:line="253"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The shares are held of record by venBio SPV, LLC, which is wholly-owned by venBio Global Strategic Fund, L.P. The reporting person, a managing director of venBio SPV, LLC, disclaims beneficial ownership of such securities, except to the extent of his indirect pecuniary interest therein.</w:t>
      </w:r>
    </w:p>
    <w:p>
      <w:pPr>
        <w:spacing w:after="0" w:line="26" w:lineRule="exact"/>
        <w:rPr>
          <w:rFonts w:ascii="Arial" w:cs="Arial" w:eastAsia="Arial" w:hAnsi="Arial"/>
          <w:sz w:val="15"/>
          <w:szCs w:val="15"/>
          <w:color w:val="008000"/>
        </w:rPr>
      </w:pPr>
    </w:p>
    <w:p>
      <w:pPr>
        <w:ind w:left="40" w:right="440" w:firstLine="5"/>
        <w:spacing w:after="0" w:line="253"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Each share of Series A Convertible Preferred Stock shall automatically convert into Common Stock on a 1:1 basis immediately prior to the completion of the Issuer's initial public offering of Common Stock and has no expiration date.</w:t>
      </w:r>
    </w:p>
    <w:p>
      <w:pPr>
        <w:spacing w:after="0" w:line="26" w:lineRule="exact"/>
        <w:rPr>
          <w:rFonts w:ascii="Arial" w:cs="Arial" w:eastAsia="Arial" w:hAnsi="Arial"/>
          <w:sz w:val="15"/>
          <w:szCs w:val="15"/>
          <w:color w:val="008000"/>
        </w:rPr>
      </w:pPr>
    </w:p>
    <w:p>
      <w:pPr>
        <w:ind w:left="40" w:right="200" w:firstLine="5"/>
        <w:spacing w:after="0" w:line="241"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The shares are held of record by venBio Global Strategic Fund II, L.P. venBio Global Strategic GP II, LP is the sole general partner of venBio Global Strategic Fund II, LP and venBio Global Strategic GP II, Ltd. is the sole general partner of venBio Global Strategic GP II, L.P. The reporting person, a director of venBio Global Strategic GP II, Ltd., disclaims beneficial ownership of such securities, except to the extent of his indirect pecuniary interest therein.</w:t>
      </w:r>
    </w:p>
    <w:p>
      <w:pPr>
        <w:sectPr>
          <w:pgSz w:w="11900" w:h="16846" w:orient="portrait"/>
          <w:cols w:equalWidth="0" w:num="1">
            <w:col w:w="10940"/>
          </w:cols>
          <w:pgMar w:left="480" w:top="236" w:right="479" w:bottom="0" w:gutter="0" w:footer="0" w:header="0"/>
          <w:type w:val="continuous"/>
        </w:sectPr>
      </w:pPr>
    </w:p>
    <w:bookmarkStart w:id="1" w:name="page2"/>
    <w:bookmarkEnd w:id="1"/>
    <w:p>
      <w:pPr>
        <w:ind w:left="160" w:hanging="155"/>
        <w:spacing w:after="0"/>
        <w:tabs>
          <w:tab w:leader="none" w:pos="160" w:val="left"/>
        </w:tabs>
        <w:numPr>
          <w:ilvl w:val="0"/>
          <w:numId w:val="2"/>
        </w:numPr>
        <w:rPr>
          <w:rFonts w:ascii="Arial" w:cs="Arial" w:eastAsia="Arial" w:hAnsi="Arial"/>
          <w:sz w:val="15"/>
          <w:szCs w:val="15"/>
          <w:color w:val="008000"/>
        </w:rPr>
      </w:pPr>
      <w:r>
        <w:rPr>
          <w:rFonts w:ascii="Arial" w:cs="Arial" w:eastAsia="Arial" w:hAnsi="Arial"/>
          <w:sz w:val="15"/>
          <w:szCs w:val="15"/>
          <w:color w:val="008000"/>
        </w:rPr>
        <w:t>The shares are held of record by the Goodman Barinaga Trust for which the reporting person serves as trustee.</w:t>
      </w:r>
    </w:p>
    <w:p>
      <w:pPr>
        <w:spacing w:after="0" w:line="52" w:lineRule="exact"/>
        <w:rPr>
          <w:rFonts w:ascii="Arial" w:cs="Arial" w:eastAsia="Arial" w:hAnsi="Arial"/>
          <w:sz w:val="15"/>
          <w:szCs w:val="15"/>
          <w:color w:val="008000"/>
        </w:rPr>
      </w:pPr>
    </w:p>
    <w:p>
      <w:pPr>
        <w:ind w:right="360" w:firstLine="5"/>
        <w:spacing w:after="0" w:line="253" w:lineRule="auto"/>
        <w:tabs>
          <w:tab w:leader="none" w:pos="150" w:val="left"/>
        </w:tabs>
        <w:numPr>
          <w:ilvl w:val="0"/>
          <w:numId w:val="2"/>
        </w:numPr>
        <w:rPr>
          <w:rFonts w:ascii="Arial" w:cs="Arial" w:eastAsia="Arial" w:hAnsi="Arial"/>
          <w:sz w:val="15"/>
          <w:szCs w:val="15"/>
          <w:color w:val="008000"/>
        </w:rPr>
      </w:pPr>
      <w:r>
        <w:rPr>
          <w:rFonts w:ascii="Arial" w:cs="Arial" w:eastAsia="Arial" w:hAnsi="Arial"/>
          <w:sz w:val="15"/>
          <w:szCs w:val="15"/>
          <w:color w:val="008000"/>
        </w:rPr>
        <w:t>Each share of Series B Convertible Preferred Stock shall automatically convert into Common Stock on a 1:1 basis immediately prior to the completion of the Issuer's initial public offering of Common Stock and has no expiration date.</w:t>
      </w:r>
    </w:p>
    <w:p>
      <w:pPr>
        <w:spacing w:after="0" w:line="26" w:lineRule="exact"/>
        <w:rPr>
          <w:rFonts w:ascii="Arial" w:cs="Arial" w:eastAsia="Arial" w:hAnsi="Arial"/>
          <w:sz w:val="15"/>
          <w:szCs w:val="15"/>
          <w:color w:val="008000"/>
        </w:rPr>
      </w:pPr>
    </w:p>
    <w:p>
      <w:pPr>
        <w:ind w:right="360" w:firstLine="5"/>
        <w:spacing w:after="0" w:line="253" w:lineRule="auto"/>
        <w:tabs>
          <w:tab w:leader="none" w:pos="150" w:val="left"/>
        </w:tabs>
        <w:numPr>
          <w:ilvl w:val="0"/>
          <w:numId w:val="2"/>
        </w:numPr>
        <w:rPr>
          <w:rFonts w:ascii="Arial" w:cs="Arial" w:eastAsia="Arial" w:hAnsi="Arial"/>
          <w:sz w:val="15"/>
          <w:szCs w:val="15"/>
          <w:color w:val="008000"/>
        </w:rPr>
      </w:pPr>
      <w:r>
        <w:rPr>
          <w:rFonts w:ascii="Arial" w:cs="Arial" w:eastAsia="Arial" w:hAnsi="Arial"/>
          <w:sz w:val="15"/>
          <w:szCs w:val="15"/>
          <w:color w:val="008000"/>
        </w:rPr>
        <w:t>Each share of Series C Convertible Preferred Stock shall automatically convert into Common Stock on a 1:1 basis immediately prior to the completion of the Issuer's initial public offering of Common Stock and has no expiration date.</w:t>
      </w:r>
    </w:p>
    <w:p>
      <w:pPr>
        <w:spacing w:after="0" w:line="26" w:lineRule="exact"/>
        <w:rPr>
          <w:rFonts w:ascii="Arial" w:cs="Arial" w:eastAsia="Arial" w:hAnsi="Arial"/>
          <w:sz w:val="15"/>
          <w:szCs w:val="15"/>
          <w:color w:val="008000"/>
        </w:rPr>
      </w:pPr>
    </w:p>
    <w:p>
      <w:pPr>
        <w:ind w:right="120" w:firstLine="5"/>
        <w:spacing w:after="0" w:line="253" w:lineRule="auto"/>
        <w:tabs>
          <w:tab w:leader="none" w:pos="150" w:val="left"/>
        </w:tabs>
        <w:numPr>
          <w:ilvl w:val="0"/>
          <w:numId w:val="2"/>
        </w:numPr>
        <w:rPr>
          <w:rFonts w:ascii="Arial" w:cs="Arial" w:eastAsia="Arial" w:hAnsi="Arial"/>
          <w:sz w:val="15"/>
          <w:szCs w:val="15"/>
          <w:color w:val="008000"/>
        </w:rPr>
      </w:pPr>
      <w:r>
        <w:rPr>
          <w:rFonts w:ascii="Arial" w:cs="Arial" w:eastAsia="Arial" w:hAnsi="Arial"/>
          <w:sz w:val="15"/>
          <w:szCs w:val="15"/>
          <w:color w:val="008000"/>
        </w:rPr>
        <w:t>The shares are held of record by Emaldi Corporation for which the reporting person serves as a director. The reporting person disclaims beneficial ownership of such securities, except to the extent of his indirect pecuniary interest therein.</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color w:val="008000"/>
        </w:rPr>
        <w:t>Exhibit 24 - Power of Attorney</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Peter Garcia, by power</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07/16/2020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9" w:right="559" w:bottom="1440" w:gutter="0" w:footer="0" w:header="0"/>
        </w:sectPr>
      </w:pPr>
    </w:p>
    <w:bookmarkStart w:id="2" w:name="page3"/>
    <w:bookmarkEnd w:id="2"/>
    <w:p>
      <w:pPr>
        <w:jc w:val="right"/>
        <w:ind w:right="619"/>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739" w:firstLine="585"/>
        <w:spacing w:after="0" w:line="237" w:lineRule="auto"/>
        <w:rPr>
          <w:sz w:val="20"/>
          <w:szCs w:val="20"/>
          <w:color w:val="auto"/>
        </w:rPr>
      </w:pPr>
      <w:r>
        <w:rPr>
          <w:rFonts w:ascii="Courier New" w:cs="Courier New" w:eastAsia="Courier New" w:hAnsi="Courier New"/>
          <w:sz w:val="20"/>
          <w:szCs w:val="20"/>
          <w:color w:val="auto"/>
        </w:rPr>
        <w:t>The undersigned, as a Section 16 reporting person of ALX Oncology Holdings Inc. (the "Company"), hereby constitutes and appoints Jaume Pons, Peter Garcia and Steffen Pietzke, and each of them, as the undersigned's true and lawful attorney-in-fact to:</w:t>
      </w:r>
    </w:p>
    <w:p>
      <w:pPr>
        <w:spacing w:after="0" w:line="231" w:lineRule="exact"/>
        <w:rPr>
          <w:sz w:val="20"/>
          <w:szCs w:val="20"/>
          <w:color w:val="auto"/>
        </w:rPr>
      </w:pPr>
    </w:p>
    <w:p>
      <w:pPr>
        <w:ind w:left="1180" w:right="959" w:hanging="595"/>
        <w:spacing w:after="0" w:line="268" w:lineRule="auto"/>
        <w:tabs>
          <w:tab w:leader="none" w:pos="11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00" w:lineRule="exact"/>
        <w:rPr>
          <w:rFonts w:ascii="Courier New" w:cs="Courier New" w:eastAsia="Courier New" w:hAnsi="Courier New"/>
          <w:sz w:val="18"/>
          <w:szCs w:val="18"/>
          <w:color w:val="auto"/>
        </w:rPr>
      </w:pPr>
    </w:p>
    <w:p>
      <w:pPr>
        <w:ind w:left="1180" w:hanging="595"/>
        <w:spacing w:after="0"/>
        <w:tabs>
          <w:tab w:leader="none" w:pos="118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w:t>
      </w:r>
    </w:p>
    <w:p>
      <w:pPr>
        <w:spacing w:after="0" w:line="4" w:lineRule="exact"/>
        <w:rPr>
          <w:rFonts w:ascii="Courier New" w:cs="Courier New" w:eastAsia="Courier New" w:hAnsi="Courier New"/>
          <w:sz w:val="20"/>
          <w:szCs w:val="20"/>
          <w:color w:val="auto"/>
        </w:rPr>
      </w:pPr>
    </w:p>
    <w:p>
      <w:pPr>
        <w:ind w:left="1180" w:right="739"/>
        <w:spacing w:after="0" w:line="236"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any securities exchange or national association, the Company and such other person or agency as the attorneys-in-fact shall deem appropriate.</w:t>
      </w:r>
    </w:p>
    <w:p>
      <w:pPr>
        <w:spacing w:after="0" w:line="232" w:lineRule="exact"/>
        <w:rPr>
          <w:sz w:val="20"/>
          <w:szCs w:val="20"/>
          <w:color w:val="auto"/>
        </w:rPr>
      </w:pPr>
    </w:p>
    <w:p>
      <w:pPr>
        <w:ind w:right="619" w:firstLine="585"/>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3" w:lineRule="exact"/>
        <w:rPr>
          <w:sz w:val="20"/>
          <w:szCs w:val="20"/>
          <w:color w:val="auto"/>
        </w:rPr>
      </w:pPr>
    </w:p>
    <w:p>
      <w:pPr>
        <w:ind w:right="739" w:firstLine="585"/>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619" w:firstLine="585"/>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25th day of June, 2020.</w:t>
      </w:r>
    </w:p>
    <w:p>
      <w:pPr>
        <w:spacing w:after="0" w:line="200" w:lineRule="exact"/>
        <w:rPr>
          <w:sz w:val="20"/>
          <w:szCs w:val="20"/>
          <w:color w:val="auto"/>
        </w:rPr>
      </w:pPr>
    </w:p>
    <w:p>
      <w:pPr>
        <w:spacing w:after="0" w:line="249"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Signature: /s/ Corey Goodman</w:t>
      </w:r>
    </w:p>
    <w:p>
      <w:pPr>
        <w:spacing w:after="0" w:line="5" w:lineRule="exact"/>
        <w:rPr>
          <w:sz w:val="20"/>
          <w:szCs w:val="20"/>
          <w:color w:val="auto"/>
        </w:rPr>
      </w:pPr>
    </w:p>
    <w:p>
      <w:pPr>
        <w:ind w:left="5960"/>
        <w:spacing w:after="0"/>
        <w:rPr>
          <w:sz w:val="20"/>
          <w:szCs w:val="20"/>
          <w:color w:val="auto"/>
        </w:rPr>
      </w:pPr>
      <w:r>
        <w:rPr>
          <w:rFonts w:ascii="Courier New" w:cs="Courier New" w:eastAsia="Courier New" w:hAnsi="Courier New"/>
          <w:sz w:val="18"/>
          <w:szCs w:val="18"/>
          <w:color w:val="auto"/>
        </w:rPr>
        <w:t>-----------------------------</w:t>
      </w:r>
    </w:p>
    <w:p>
      <w:pPr>
        <w:spacing w:after="0" w:line="240"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Print Name: Corey Goodman</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278411" TargetMode="External"/><Relationship Id="rId11"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2020-07-16T17:37:11Z</dcterms:created>
  <dcterms:modified xsi:type="dcterms:W3CDTF">2020-07-16T17:37:11Z</dcterms:modified>
</cp:coreProperties>
</file>