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Redmile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9,214,188.00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9,214,188.00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9,214,188.00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information in Item 4 relating to the shares of the Issuer's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that are or may be deemed beneficially owned by Redmile Group, LLC ("Redmile") is incorporated herein by reference. Percentage based on: (i) 134,540,741 shares of Common Stock outstanding as of March 31, 2026, as reported by the Issuer in its Definitive Proxy Statement on Schedule 14A filed with the SEC on April 20, 2026 (the "Schedule 14A"); plus (ii) 1,250,000 shares of Common Stock issuable upon exercise of the Pre-Funded Warrants to purchase Common Stock (the "Warrants").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Jeremy C. Green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KINGDOM</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9,214,188.00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9,214,188.00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9,214,188.00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information in Item 4 relating to the shares of Common Stock that are or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beneficially owned by Jeremy C. Green is incorporated herein by reference. Percentage based on: (i) 134,540,741 shares of Common Stock outstanding as of March 31, 2026, as reported by the Issuer in the Schedule 14A; plus (ii) 1,250,000 shares of Common Stock issuable upon exercise of the Warrants.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Redmile Biopharma Investments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111"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5,267,838.00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5,267,838.00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5,267,838.00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20"/>
          </w:cols>
          <w:pgMar w:left="320" w:top="111" w:right="399" w:bottom="0" w:gutter="0" w:footer="0" w:header="0"/>
          <w:type w:val="continuous"/>
        </w:sectPr>
      </w:pPr>
    </w:p>
    <w:bookmarkStart w:id="3" w:name="page4"/>
    <w:bookmarkEnd w:id="3"/>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Redmile Biopharma Investments III, L.P. ("RBI III") may be deemed to beneficially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 (i) 4,017,838 shares of Common Stock, and (ii) 1,250,000 shares of Common Stock issuable upon exercise of the Warrants directly held by RBI III. Percentage based on: (i) 134,540,741 shares of Common Stock outstanding as of March 31, 2026, as reported by the Issuer in the Schedule 14A; plus (ii) 1,250,000 shares of Common Stock issuable upon exercise of the Warrants directly held by RBI III.</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ALX Oncology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323 Allerton Avenue, South San Francisco, CA 94080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Redmile Group, LLC Jeremy C. Green Redmile Biopharma Investments III, L.P.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60" w:right="260" w:hanging="912"/>
        <w:spacing w:after="0" w:line="256"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Redmile Group, LLC 900 Larkspur Landing Circle, Suite 270 Larkspur, California 94939 Jeremy C. Green c/o Redmile Group, LLC (NY Office) 45 W. 27th Street, Floor 11 New York, NY 10001 Redmile Biopharma Investments III, L.P. c/o Redmile Group, LLC 900 Larkspur Landing Circle, Suite 270 Larkspur, California 94939 Citizenship:</w:t>
      </w:r>
    </w:p>
    <w:p>
      <w:pPr>
        <w:spacing w:after="0" w:line="189" w:lineRule="exact"/>
        <w:rPr>
          <w:rFonts w:ascii="Times New Roman" w:cs="Times New Roman" w:eastAsia="Times New Roman" w:hAnsi="Times New Roman"/>
          <w:sz w:val="22"/>
          <w:szCs w:val="22"/>
          <w:color w:val="auto"/>
        </w:rPr>
      </w:pPr>
    </w:p>
    <w:p>
      <w:pPr>
        <w:ind w:left="960" w:right="60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Redmile Group, LLC: Delaware Jeremy C. Green: United Kingdom Redmile Biopharma Investments III, L.P.: Delaware</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2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60" w:right="360" w:hanging="912"/>
        <w:spacing w:after="0" w:line="185" w:lineRule="auto"/>
        <w:tabs>
          <w:tab w:leader="none" w:pos="96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Redmile Group, LLC - 9,214,188 (1) Jeremy C. Green - 9,214,188 (1) Redmile Biopharma Investments III, L.P. - 5,267,838 (2)</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1"/>
          <w:szCs w:val="21"/>
          <w:color w:val="auto"/>
        </w:rPr>
        <w:t>Redmile Group, LLC - 6.8% (3) Jeremy C. Green - 6.8% (3) Redmile Biopharma Investments III, L.P. - 3.9% (3) %</w:t>
      </w:r>
    </w:p>
    <w:p>
      <w:pPr>
        <w:spacing w:after="0" w:line="32" w:lineRule="exact"/>
        <w:rPr>
          <w:sz w:val="20"/>
          <w:szCs w:val="20"/>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20" w:top="108" w:right="45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Redmile Group, LLC - 0 Jeremy C. Green - 0 Redmile Biopharma Investments III, L.P.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Redmile Group, LLC - 9,214,188 (1) Jeremy C. Green - 9,214,188 (1) Redmile Biopharma Investments III, L.P. - 5,267,838 (2)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Redmile Group, LLC - 0 Jeremy C. Green - 0 Redmile Biopharma Investments III, L.P.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Redmile Group, LLC - 9,214,188 (1) Jeremy C. Green - 9,214,188 (1) Redmile Biopharma Investments III, L.P. - 5,267,838 (2) (1) As of March 31, 2026, Redmile's and Jeremy C. Green's beneficial ownership of Common Stock is comprised of (i) 7,964,188 shares of Common Stock and (ii) 1,250,000 shares of Common Stock issuable upon exercise of the Warrants. The Warrants are subject to a 9.99% beneficial ownership limitation. All of such shares of Common Stock and the Warrants are directly owned by certain investment vehicles, including RBI III, for which Redmile is the investment manager (the "Redmile Funds"). Redmile may be deemed to beneficially own these securities in its capacity as the investment manager with discretion to vote and dispose of all shares of Common Stock held by the Redmile Funds. Mr. Green also may be deemed to beneficially own these securities as the principal of Redmile. Redmile and Mr. Green each disclaim beneficial ownership of these securities, except to the extent of its or his pecuniary interest in such securities, if any. (2) RBI III may be deemed to beneficially own (i) 4,017,838 shares of Common Stock, and (ii) 1,250,000 shares of Common Stock issuable upon exercise of the Warrants directly held by RBI III. (3) Percentage based on: (i) 134,540,741 shares of Common Stock outstanding as of March 31, 2026, as reported by the Issuer in the Schedule 14A; plus (ii) 1,250,000 shares of Common Stock issuable upon exercise of the Warrants directly held by RBI III.</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 to Item 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Redmile Group, LLC</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C. Green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355" w:right="399" w:bottom="0" w:gutter="0" w:footer="0" w:header="0"/>
          <w:type w:val="continuous"/>
        </w:sectPr>
      </w:pPr>
    </w:p>
    <w:bookmarkStart w:id="5" w:name="page6"/>
    <w:bookmarkEnd w:id="5"/>
    <w:p>
      <w:pPr>
        <w:ind w:left="560"/>
        <w:spacing w:after="0"/>
        <w:rPr>
          <w:sz w:val="20"/>
          <w:szCs w:val="20"/>
          <w:color w:val="auto"/>
        </w:rPr>
      </w:pPr>
      <w:r>
        <w:rPr>
          <w:rFonts w:ascii="Times New Roman" w:cs="Times New Roman" w:eastAsia="Times New Roman" w:hAnsi="Times New Roman"/>
          <w:sz w:val="22"/>
          <w:szCs w:val="22"/>
          <w:color w:val="auto"/>
        </w:rPr>
        <w:t>Jeremy C. Green</w:t>
      </w:r>
    </w:p>
    <w:p>
      <w:pPr>
        <w:spacing w:after="0" w:line="153" w:lineRule="exact"/>
        <w:rPr>
          <w:sz w:val="20"/>
          <w:szCs w:val="20"/>
          <w:color w:val="auto"/>
        </w:rPr>
      </w:pPr>
    </w:p>
    <w:p>
      <w:pPr>
        <w:ind w:left="1920"/>
        <w:spacing w:after="0"/>
        <w:tabs>
          <w:tab w:leader="none" w:pos="3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C. Green</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Jeremy C. Green</w:t>
      </w:r>
    </w:p>
    <w:p>
      <w:pPr>
        <w:spacing w:after="0" w:line="44" w:lineRule="exact"/>
        <w:rPr>
          <w:sz w:val="20"/>
          <w:szCs w:val="20"/>
          <w:color w:val="auto"/>
        </w:rPr>
      </w:pPr>
    </w:p>
    <w:p>
      <w:pPr>
        <w:ind w:left="1920"/>
        <w:spacing w:after="0"/>
        <w:tabs>
          <w:tab w:leader="none" w:pos="3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Redmile Biopharma Investments III,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C. Green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Managing Member of Redmile Biopharma</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Investments III (GP), LLC, general partner of</w:t>
      </w:r>
    </w:p>
    <w:p>
      <w:pPr>
        <w:ind w:left="5660"/>
        <w:spacing w:after="0"/>
        <w:rPr>
          <w:sz w:val="20"/>
          <w:szCs w:val="20"/>
          <w:color w:val="auto"/>
        </w:rPr>
      </w:pPr>
      <w:r>
        <w:rPr>
          <w:rFonts w:ascii="Times New Roman" w:cs="Times New Roman" w:eastAsia="Times New Roman" w:hAnsi="Times New Roman"/>
          <w:sz w:val="22"/>
          <w:szCs w:val="22"/>
          <w:color w:val="auto"/>
        </w:rPr>
        <w:t>Redmile Biopharma Investments III,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620"/>
      </w:cols>
      <w:pgMar w:left="1440" w:top="111"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2026-05-15T15:34:48Z</dcterms:created>
  <dcterms:modified xsi:type="dcterms:W3CDTF">2026-05-15T15:34:48Z</dcterms:modified>
</cp:coreProperties>
</file>