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w:t>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ALX Oncology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00166B105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August 12,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380"/>
              <w:spacing w:after="0"/>
              <w:rPr>
                <w:sz w:val="20"/>
                <w:szCs w:val="20"/>
                <w:color w:val="auto"/>
              </w:rPr>
            </w:pPr>
            <w:r>
              <w:rPr>
                <w:rFonts w:ascii="Times New Roman" w:cs="Times New Roman" w:eastAsia="Times New Roman" w:hAnsi="Times New Roman"/>
                <w:sz w:val="32"/>
                <w:szCs w:val="32"/>
                <w:b w:val="1"/>
                <w:bCs w:val="1"/>
                <w:color w:val="auto"/>
              </w:rPr>
              <w:t>13G</w:t>
            </w: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PARTNERS, LP</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424"/>
        </w:trPr>
        <w:tc>
          <w:tcPr>
            <w:tcW w:w="580" w:type="dxa"/>
            <w:vAlign w:val="bottom"/>
            <w:tcBorders>
              <w:left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w w:val="98"/>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7.7%</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2 of 8 Pages</w:t>
            </w:r>
          </w:p>
        </w:tc>
        <w:tc>
          <w:tcPr>
            <w:tcW w:w="2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380"/>
              <w:spacing w:after="0"/>
              <w:rPr>
                <w:sz w:val="20"/>
                <w:szCs w:val="20"/>
                <w:color w:val="auto"/>
              </w:rPr>
            </w:pPr>
            <w:r>
              <w:rPr>
                <w:rFonts w:ascii="Times New Roman" w:cs="Times New Roman" w:eastAsia="Times New Roman" w:hAnsi="Times New Roman"/>
                <w:sz w:val="32"/>
                <w:szCs w:val="32"/>
                <w:b w:val="1"/>
                <w:bCs w:val="1"/>
                <w:color w:val="auto"/>
              </w:rPr>
              <w:t>13G</w:t>
            </w: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424"/>
        </w:trPr>
        <w:tc>
          <w:tcPr>
            <w:tcW w:w="580" w:type="dxa"/>
            <w:vAlign w:val="bottom"/>
            <w:tcBorders>
              <w:left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w w:val="98"/>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7.7%</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3 of 8 Pages</w:t>
            </w:r>
          </w:p>
        </w:tc>
        <w:tc>
          <w:tcPr>
            <w:tcW w:w="2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340" w:type="dxa"/>
            <w:vAlign w:val="bottom"/>
            <w:vMerge w:val="restart"/>
          </w:tcPr>
          <w:p>
            <w:pPr>
              <w:ind w:left="1380"/>
              <w:spacing w:after="0"/>
              <w:rPr>
                <w:sz w:val="20"/>
                <w:szCs w:val="20"/>
                <w:color w:val="auto"/>
              </w:rPr>
            </w:pPr>
            <w:r>
              <w:rPr>
                <w:rFonts w:ascii="Times New Roman" w:cs="Times New Roman" w:eastAsia="Times New Roman" w:hAnsi="Times New Roman"/>
                <w:sz w:val="32"/>
                <w:szCs w:val="32"/>
                <w:b w:val="1"/>
                <w:bCs w:val="1"/>
                <w:color w:val="auto"/>
              </w:rPr>
              <w:t>13G</w:t>
            </w:r>
          </w:p>
        </w:tc>
        <w:tc>
          <w:tcPr>
            <w:tcW w:w="6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80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Page 4 of 8 Pages</w:t>
            </w:r>
          </w:p>
        </w:tc>
        <w:tc>
          <w:tcPr>
            <w:tcW w:w="0" w:type="dxa"/>
            <w:vAlign w:val="bottom"/>
          </w:tcPr>
          <w:p>
            <w:pPr>
              <w:spacing w:after="0"/>
              <w:rPr>
                <w:sz w:val="1"/>
                <w:szCs w:val="1"/>
                <w:color w:val="auto"/>
              </w:rPr>
            </w:pPr>
          </w:p>
        </w:tc>
      </w:tr>
      <w:tr>
        <w:trPr>
          <w:trHeight w:val="76"/>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8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auto"/>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600" w:type="dxa"/>
            <w:vAlign w:val="bottom"/>
            <w:tcBorders>
              <w:left w:val="single" w:sz="8" w:color="auto"/>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240" w:type="dxa"/>
            <w:vAlign w:val="bottom"/>
            <w:tcBorders>
              <w:right w:val="single" w:sz="8" w:color="auto"/>
            </w:tcBorders>
          </w:tcPr>
          <w:p>
            <w:pPr>
              <w:spacing w:after="0"/>
              <w:rPr>
                <w:sz w:val="16"/>
                <w:szCs w:val="16"/>
                <w:color w:val="auto"/>
              </w:rPr>
            </w:pPr>
          </w:p>
        </w:tc>
        <w:tc>
          <w:tcPr>
            <w:tcW w:w="36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KEVIN TANG</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Borders>
              <w:left w:val="single" w:sz="8" w:color="auto"/>
            </w:tcBorders>
            <w:vMerge w:val="restart"/>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240" w:type="dxa"/>
            <w:vAlign w:val="bottom"/>
            <w:tcBorders>
              <w:right w:val="single" w:sz="8" w:color="auto"/>
            </w:tcBorders>
          </w:tcPr>
          <w:p>
            <w:pPr>
              <w:spacing w:after="0"/>
              <w:rPr>
                <w:sz w:val="16"/>
                <w:szCs w:val="16"/>
                <w:color w:val="auto"/>
              </w:rPr>
            </w:pPr>
          </w:p>
        </w:tc>
        <w:tc>
          <w:tcPr>
            <w:tcW w:w="754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424"/>
        </w:trPr>
        <w:tc>
          <w:tcPr>
            <w:tcW w:w="580" w:type="dxa"/>
            <w:vAlign w:val="bottom"/>
            <w:tcBorders>
              <w:left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90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3"/>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5</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6</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SHARED VOTING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530"/>
              <w:spacing w:after="0" w:line="177" w:lineRule="exact"/>
              <w:rPr>
                <w:sz w:val="20"/>
                <w:szCs w:val="20"/>
                <w:color w:val="auto"/>
              </w:rPr>
            </w:pPr>
            <w:r>
              <w:rPr>
                <w:rFonts w:ascii="Times New Roman" w:cs="Times New Roman" w:eastAsia="Times New Roman" w:hAnsi="Times New Roman"/>
                <w:sz w:val="18"/>
                <w:szCs w:val="18"/>
                <w:color w:val="auto"/>
                <w:w w:val="98"/>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7</w:t>
            </w:r>
          </w:p>
        </w:tc>
        <w:tc>
          <w:tcPr>
            <w:tcW w:w="484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80" w:type="dxa"/>
            <w:vAlign w:val="bottom"/>
            <w:tcBorders>
              <w:left w:val="single" w:sz="8" w:color="auto"/>
            </w:tcBorders>
          </w:tcPr>
          <w:p>
            <w:pPr>
              <w:spacing w:after="0"/>
              <w:rPr>
                <w:sz w:val="21"/>
                <w:szCs w:val="21"/>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right w:val="single" w:sz="8" w:color="auto"/>
            </w:tcBorders>
            <w:vMerge w:val="continue"/>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8</w:t>
            </w: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4,040,800</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106"/>
              <w:spacing w:after="0" w:line="367" w:lineRule="exact"/>
              <w:rPr>
                <w:sz w:val="20"/>
                <w:szCs w:val="20"/>
                <w:color w:val="auto"/>
              </w:rPr>
            </w:pPr>
            <w:r>
              <w:rPr>
                <w:rFonts w:ascii="Times New Roman" w:cs="Times New Roman" w:eastAsia="Times New Roman" w:hAnsi="Times New Roman"/>
                <w:sz w:val="32"/>
                <w:szCs w:val="32"/>
                <w:b w:val="1"/>
                <w:bCs w:val="1"/>
                <w:color w:val="auto"/>
                <w:w w:val="9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8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7.7%</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0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Page 4 of 8 Pages</w:t>
            </w:r>
          </w:p>
        </w:tc>
        <w:tc>
          <w:tcPr>
            <w:tcW w:w="2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ALX Oncology Holdings Inc., a Delaware corporation (the “Issuer”)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323 Allerton Avenue, South San Francisco, CA 94080</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This Statement on Schedule 13G (this “Statement”) is filed by Tang Capital Partners, LP (“Tang Capital Partners”); Tang Capital</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LLC, the general partner of Tang Capital Partners (“Tang Capital Management”); and Kevin Tang, the manager of Tang</w:t>
            </w:r>
          </w:p>
        </w:tc>
      </w:tr>
      <w:tr>
        <w:trPr>
          <w:trHeight w:val="234"/>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Management.</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4747 Executive Drive, Suite 210, San Diego, CA 92121</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Tang Capital Partners is a Delaware limited partnership. Tang Capital Management is a Delaware limited liability company. Mr. Tang is a</w:t>
            </w:r>
          </w:p>
        </w:tc>
      </w:tr>
      <w:tr>
        <w:trPr>
          <w:trHeight w:val="234"/>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citizen.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$0.001 per share (the “Common Stock”)</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CUSIP Number 00166B105</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8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Beneficially Owned:</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Tang Capital Partners. </w:t>
            </w:r>
            <w:r>
              <w:rPr>
                <w:rFonts w:ascii="Times New Roman" w:cs="Times New Roman" w:eastAsia="Times New Roman" w:hAnsi="Times New Roman"/>
                <w:sz w:val="18"/>
                <w:szCs w:val="18"/>
                <w:color w:val="auto"/>
              </w:rPr>
              <w:t>Tang Capital Partners beneficially owns 4,040,800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Tang Capital Partners shares voting and dispositive power over such shares with Tang Capital Management and Kevin Tang.</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Tang Capital Management. </w:t>
            </w:r>
            <w:r>
              <w:rPr>
                <w:rFonts w:ascii="Times New Roman" w:cs="Times New Roman" w:eastAsia="Times New Roman" w:hAnsi="Times New Roman"/>
                <w:sz w:val="18"/>
                <w:szCs w:val="18"/>
                <w:color w:val="auto"/>
              </w:rPr>
              <w:t>Tang Capital Management beneficially owns 4,040,800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Tang Capital Management shares voting and dispositive power over such shares with Tang Capital Partners and Kevin Tang.</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Kevin Tang. </w:t>
            </w:r>
            <w:r>
              <w:rPr>
                <w:rFonts w:ascii="Times New Roman" w:cs="Times New Roman" w:eastAsia="Times New Roman" w:hAnsi="Times New Roman"/>
                <w:sz w:val="18"/>
                <w:szCs w:val="18"/>
                <w:color w:val="auto"/>
              </w:rPr>
              <w:t>Kevin Tang beneficially owns 4,040,800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Tang shares voting and dispositive power over such shares with Tang Capital Partners and Tang Capital Management.</w:t>
            </w:r>
          </w:p>
        </w:tc>
      </w:tr>
      <w:tr>
        <w:trPr>
          <w:trHeight w:val="574"/>
        </w:trPr>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18"/>
                <w:szCs w:val="18"/>
                <w:color w:val="auto"/>
              </w:rPr>
              <w:t>Page 5 of 8 Pages</w:t>
            </w:r>
          </w:p>
        </w:tc>
      </w:tr>
    </w:tbl>
    <w:p>
      <w:pPr>
        <w:sectPr>
          <w:pgSz w:w="11900" w:h="16838" w:orient="portrait"/>
          <w:cols w:equalWidth="0" w:num="1">
            <w:col w:w="11240"/>
          </w:cols>
          <w:pgMar w:left="320" w:top="738" w:right="339" w:bottom="1440" w:gutter="0" w:footer="0" w:header="0"/>
        </w:sectPr>
      </w:pPr>
    </w:p>
    <w:bookmarkStart w:id="5" w:name="page6"/>
    <w:bookmarkEnd w:id="5"/>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The percentages used herein are based on 52,671,790 shares of Common Stock outstanding as of August 5, 2024, as set forth in the Issuer’s Quarterly Report filed on Form 10-Q that was filed with the Securities and Exchange Commission on August 12, 2024.</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   Percent of Class:</w:t>
            </w:r>
          </w:p>
        </w:tc>
        <w:tc>
          <w:tcPr>
            <w:tcW w:w="1360" w:type="dxa"/>
            <w:vAlign w:val="bottom"/>
          </w:tcPr>
          <w:p>
            <w:pPr>
              <w:spacing w:after="0"/>
              <w:rPr>
                <w:sz w:val="20"/>
                <w:szCs w:val="20"/>
                <w:color w:val="auto"/>
              </w:rPr>
            </w:pPr>
          </w:p>
        </w:tc>
      </w:tr>
      <w:tr>
        <w:trPr>
          <w:trHeight w:val="414"/>
        </w:trPr>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Tang Capital Partners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Tang Capital Management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3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Kevin Tang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8" w:lineRule="exact"/>
        <w:rPr>
          <w:sz w:val="20"/>
          <w:szCs w:val="20"/>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ectPr>
          <w:pgSz w:w="11900" w:h="16838" w:orient="portrait"/>
          <w:cols w:equalWidth="0" w:num="1">
            <w:col w:w="10980"/>
          </w:cols>
          <w:pgMar w:left="320" w:top="742" w:right="59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to direct the vote:</w:t>
      </w:r>
    </w:p>
    <w:p>
      <w:pPr>
        <w:sectPr>
          <w:pgSz w:w="11900" w:h="16838" w:orient="portrait"/>
          <w:cols w:equalWidth="0" w:num="1">
            <w:col w:w="10980"/>
          </w:cols>
          <w:pgMar w:left="320" w:top="742" w:right="59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4,040,800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4,040,800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4,040,800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ectPr>
          <w:pgSz w:w="11900" w:h="16838" w:orient="portrait"/>
          <w:cols w:equalWidth="0" w:num="1">
            <w:col w:w="10980"/>
          </w:cols>
          <w:pgMar w:left="320" w:top="742" w:right="59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w:t>
      </w:r>
    </w:p>
    <w:p>
      <w:pPr>
        <w:sectPr>
          <w:pgSz w:w="11900" w:h="16838" w:orient="portrait"/>
          <w:cols w:equalWidth="0" w:num="1">
            <w:col w:w="10980"/>
          </w:cols>
          <w:pgMar w:left="320" w:top="742" w:right="599" w:bottom="1440" w:gutter="0" w:footer="0" w:header="0"/>
          <w:type w:val="continuous"/>
        </w:sectPr>
      </w:pPr>
    </w:p>
    <w:p>
      <w:pPr>
        <w:spacing w:after="0" w:line="2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Tang Capital Partners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Tang Capital Management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4,040,800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4,040,800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4,040,800 shares</w:t>
      </w:r>
    </w:p>
    <w:p>
      <w:pPr>
        <w:spacing w:after="0" w:line="211" w:lineRule="exact"/>
        <w:rPr>
          <w:sz w:val="20"/>
          <w:szCs w:val="20"/>
          <w:color w:val="auto"/>
        </w:rPr>
      </w:pPr>
    </w:p>
    <w:p>
      <w:pPr>
        <w:sectPr>
          <w:pgSz w:w="11900" w:h="16838" w:orient="portrait"/>
          <w:cols w:equalWidth="0" w:num="2">
            <w:col w:w="4480" w:space="720"/>
            <w:col w:w="5780"/>
          </w:cols>
          <w:pgMar w:left="320" w:top="742" w:right="599" w:bottom="1440" w:gutter="0" w:footer="0" w:header="0"/>
          <w:type w:val="continuous"/>
        </w:sectPr>
      </w:pPr>
    </w:p>
    <w:p>
      <w:pPr>
        <w:spacing w:after="0" w:line="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820"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2" w:right="599" w:bottom="1440" w:gutter="0" w:footer="0" w:header="0"/>
          <w:type w:val="continuous"/>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38" w:right="539" w:bottom="1440" w:gutter="0" w:footer="0" w:header="0"/>
        </w:sectPr>
      </w:pPr>
    </w:p>
    <w:bookmarkStart w:id="7" w:name="page8"/>
    <w:bookmarkEnd w:id="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854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Tang Capital Management,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 Kevin Tang</w:t>
            </w:r>
          </w:p>
        </w:tc>
      </w:tr>
      <w:tr>
        <w:trPr>
          <w:trHeight w:val="234"/>
        </w:trPr>
        <w:tc>
          <w:tcPr>
            <w:tcW w:w="460" w:type="dxa"/>
            <w:vAlign w:val="bottom"/>
          </w:tcPr>
          <w:p>
            <w:pPr>
              <w:spacing w:after="0"/>
              <w:rPr>
                <w:sz w:val="20"/>
                <w:szCs w:val="20"/>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Kevin Tang, Manager</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 CAPITAL MANAGEMENT,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 Kevin Tang</w:t>
            </w:r>
          </w:p>
        </w:tc>
      </w:tr>
      <w:tr>
        <w:trPr>
          <w:trHeight w:val="234"/>
        </w:trPr>
        <w:tc>
          <w:tcPr>
            <w:tcW w:w="460" w:type="dxa"/>
            <w:vAlign w:val="bottom"/>
          </w:tcPr>
          <w:p>
            <w:pPr>
              <w:spacing w:after="0"/>
              <w:rPr>
                <w:sz w:val="20"/>
                <w:szCs w:val="20"/>
                <w:color w:val="auto"/>
              </w:rPr>
            </w:pPr>
          </w:p>
        </w:tc>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Kevin Tang, Manager</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Tang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738" w:right="5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$0.001 par value per share, of ALX Oncology Holdings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2024</w:t>
            </w:r>
          </w:p>
        </w:tc>
        <w:tc>
          <w:tcPr>
            <w:tcW w:w="616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r>
      <w:tr>
        <w:trPr>
          <w:trHeight w:val="414"/>
        </w:trPr>
        <w:tc>
          <w:tcPr>
            <w:tcW w:w="340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400" w:type="dxa"/>
            <w:vAlign w:val="bottom"/>
          </w:tcPr>
          <w:p>
            <w:pPr>
              <w:spacing w:after="0"/>
              <w:rPr>
                <w:sz w:val="20"/>
                <w:szCs w:val="20"/>
                <w:color w:val="auto"/>
              </w:rPr>
            </w:pPr>
          </w:p>
        </w:tc>
        <w:tc>
          <w:tcPr>
            <w:tcW w:w="2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40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400" w:type="dxa"/>
            <w:vAlign w:val="bottom"/>
          </w:tcPr>
          <w:p>
            <w:pPr>
              <w:spacing w:after="0"/>
              <w:rPr>
                <w:sz w:val="24"/>
                <w:szCs w:val="24"/>
                <w:color w:val="auto"/>
              </w:rPr>
            </w:pPr>
          </w:p>
        </w:tc>
        <w:tc>
          <w:tcPr>
            <w:tcW w:w="616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tc>
      </w:tr>
      <w:tr>
        <w:trPr>
          <w:trHeight w:val="432"/>
        </w:trPr>
        <w:tc>
          <w:tcPr>
            <w:tcW w:w="3400" w:type="dxa"/>
            <w:vAlign w:val="bottom"/>
          </w:tcPr>
          <w:p>
            <w:pPr>
              <w:spacing w:after="0"/>
              <w:rPr>
                <w:sz w:val="24"/>
                <w:szCs w:val="24"/>
                <w:color w:val="auto"/>
              </w:rPr>
            </w:pPr>
          </w:p>
        </w:tc>
        <w:tc>
          <w:tcPr>
            <w:tcW w:w="2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Kevin Tang</w:t>
            </w:r>
          </w:p>
        </w:tc>
      </w:tr>
      <w:tr>
        <w:trPr>
          <w:trHeight w:val="234"/>
        </w:trPr>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802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3"/>
    </w:lvl>
    <w:lvl w:ilvl="1">
      <w:lvlJc w:val="left"/>
      <w:lvlText w:val="(%2)"/>
      <w:numFmt w:val="lowerLetter"/>
      <w:start w:val="9"/>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2024-08-22T15:04:46Z</dcterms:created>
  <dcterms:modified xsi:type="dcterms:W3CDTF">2024-08-22T15:04:46Z</dcterms:modified>
</cp:coreProperties>
</file>