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460" w:type="dxa"/>
            <w:vAlign w:val="bottom"/>
            <w:gridSpan w:val="8"/>
            <w:vMerge w:val="restart"/>
          </w:tcPr>
          <w:p>
            <w:pPr>
              <w:jc w:val="center"/>
              <w:ind w:right="8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Randolph Sophia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4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ALX ONCOLOGY HOLDINGS INC.</w:t>
            </w:r>
          </w:p>
        </w:tc>
        <w:tc>
          <w:tcPr>
            <w:tcW w:w="380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 ALLERTON AVENUE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-1848485</wp:posOffset>
            </wp:positionV>
            <wp:extent cx="7045325" cy="78263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782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467" w:gutter="0" w:footer="0" w:header="0"/>
        </w:sectPr>
      </w:pP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41" w:hanging="341"/>
        <w:spacing w:after="0"/>
        <w:tabs>
          <w:tab w:leader="none" w:pos="341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8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41" w:right="520"/>
        <w:spacing w:after="0" w:line="257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9" w:space="720"/>
            <w:col w:w="3141"/>
          </w:cols>
          <w:pgMar w:left="460" w:top="223" w:right="359" w:bottom="467" w:gutter="0" w:footer="0" w:header="0"/>
          <w:type w:val="continuous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2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4,027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1.91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274,280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4.08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276,826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283,082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4,027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4,027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09/12/2029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2,546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92,629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6,256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04/27/2030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19,084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Shares subject to the option vest in 48 equal monthly installments beginning on June 16, 2019.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Shares subject to the option vest in 48 equal monthly installments beginning on April 9, 2020.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subject to the option vest in 48 equal monthly installments beginning on May 27,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Peter Garcia,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4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17127" TargetMode="External"/><Relationship Id="rId9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2023-06-13T15:41:52Z</dcterms:created>
  <dcterms:modified xsi:type="dcterms:W3CDTF">2023-06-13T15:41:52Z</dcterms:modified>
</cp:coreProperties>
</file>