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2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446405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66" w:lineRule="exact"/>
        <w:rPr>
          <w:sz w:val="20"/>
          <w:szCs w:val="20"/>
          <w:color w:val="auto"/>
        </w:rPr>
      </w:pPr>
    </w:p>
    <w:p>
      <w:pPr>
        <w:sectPr>
          <w:pgSz w:w="11900" w:h="16838" w:orient="portrait"/>
          <w:cols w:equalWidth="0" w:num="2">
            <w:col w:w="780" w:space="720"/>
            <w:col w:w="9740"/>
          </w:cols>
          <w:pgMar w:left="320" w:top="351" w:right="339" w:bottom="1440" w:gutter="0" w:footer="0" w:header="0"/>
        </w:sectPr>
      </w:pPr>
    </w:p>
    <w:p>
      <w:pPr>
        <w:jc w:val="both"/>
        <w:spacing w:after="0" w:line="257" w:lineRule="auto"/>
        <w:rPr>
          <w:sz w:val="20"/>
          <w:szCs w:val="20"/>
          <w:color w:val="auto"/>
        </w:rPr>
      </w:pPr>
      <w:r>
        <w:rPr>
          <w:rFonts w:ascii="Arial" w:cs="Arial" w:eastAsia="Arial" w:hAnsi="Arial"/>
          <w:sz w:val="18"/>
          <w:szCs w:val="18"/>
          <w:color w:val="auto"/>
        </w:rPr>
        <w:t>On March 22, 2021, Steffen Pietzke, tendered a notice of resignation to ALX Oncology Holdings Inc. (the “Company”) as Vice President, Finance and Chief Accounting Officer with such resignation to be effective on March 31, 2021. Mr. Pietzke serves as the Company’s principal accounting officer in his current position, and Peter Garcia, Chief Financial Officer of the Company, will serve as the principal accounting officer upon Mr. Pietzke’s resignation. Mr. Pietzke’s resignation was not due to any disagreement with the Company on any matter relating to accounting principles or practices, financial statement disclosures or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2021-03-26T22:07:00Z</dcterms:created>
  <dcterms:modified xsi:type="dcterms:W3CDTF">2021-03-26T22:07:00Z</dcterms:modified>
</cp:coreProperties>
</file>