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lxo-20240930.htm"/>
      <w:bookmarkStart w:id="1" w:name="ksalxo20240930"/>
      <w:bookmarkEnd w:id="0"/>
      <w:bookmarkEnd w:id="1"/>
      <w:r>
        <w:rPr/>
        <w:t> </w:t>
      </w:r>
    </w:p>
    <w:p>
      <w:pPr>
        <w:pStyle w:val="TextBody"/>
        <w:bidi w:val="0"/>
        <w:jc w:val="center"/>
        <w:rPr/>
      </w:pPr>
      <w:r>
        <w:rPr/>
        <w:t> </w:t>
      </w:r>
    </w:p>
    <w:p>
      <w:pPr>
        <w:pStyle w:val="TextBody"/>
        <w:pBdr>
          <w:top w:val="double" w:sz="4" w:space="1" w:color="000000"/>
        </w:pBdr>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30"/>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0"/>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spacing w:before="40" w:after="283"/>
        <w:jc w:val="center"/>
        <w:rPr>
          <w:rFonts w:ascii="Times New Roman" w:hAnsi="Times New Roman"/>
          <w:sz w:val="20"/>
        </w:rPr>
      </w:pPr>
      <w:r>
        <w:rPr>
          <w:rFonts w:ascii="Times New Roman" w:hAnsi="Times New Roman"/>
          <w:b/>
          <w:color w:val="000000"/>
          <w:sz w:val="36"/>
        </w:rPr>
        <w:t>FORM 10-Q</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b/>
          <w:color w:val="000000"/>
          <w:sz w:val="20"/>
        </w:rPr>
        <w:t>(Mark One)</w:t>
      </w:r>
      <w:r>
        <w:rPr>
          <w:rFonts w:ascii="Times New Roman" w:hAnsi="Times New Roman"/>
          <w:color w:val="000000"/>
          <w:sz w:val="20"/>
        </w:rPr>
        <w:t xml:space="preserve"> </w:t>
      </w:r>
    </w:p>
    <w:tbl>
      <w:tblPr>
        <w:tblW w:w="9062" w:type="dxa"/>
        <w:jc w:val="left"/>
        <w:tblInd w:w="0" w:type="dxa"/>
        <w:tblLayout w:type="fixed"/>
        <w:tblCellMar>
          <w:top w:w="28" w:type="dxa"/>
          <w:left w:w="28" w:type="dxa"/>
          <w:bottom w:w="28" w:type="dxa"/>
          <w:right w:w="28" w:type="dxa"/>
        </w:tblCellMar>
      </w:tblPr>
      <w:tblGrid>
        <w:gridCol w:w="331"/>
        <w:gridCol w:w="8731"/>
      </w:tblGrid>
      <w:tr>
        <w:trPr/>
        <w:tc>
          <w:tcPr>
            <w:tcW w:w="331" w:type="dxa"/>
            <w:tcBorders/>
            <w:vAlign w:val="center"/>
          </w:tcPr>
          <w:p>
            <w:pPr>
              <w:pStyle w:val="TableContents"/>
              <w:bidi w:val="0"/>
              <w:spacing w:before="0" w:after="283"/>
              <w:jc w:val="left"/>
              <w:rPr>
                <w:sz w:val="4"/>
                <w:szCs w:val="4"/>
              </w:rPr>
            </w:pPr>
            <w:r>
              <w:rPr>
                <w:sz w:val="4"/>
                <w:szCs w:val="4"/>
              </w:rPr>
            </w:r>
          </w:p>
        </w:tc>
        <w:tc>
          <w:tcPr>
            <w:tcW w:w="873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8731" w:type="dxa"/>
            <w:tcBorders/>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QUARTERLY REPORT PURSUANT TO SECTION 13 OR 15(d) OF THE SECURITIES EXCHANGE ACT OF 1934</w:t>
            </w:r>
            <w:r>
              <w:rPr>
                <w:rFonts w:ascii="Times New Roman" w:hAnsi="Times New Roman"/>
                <w:color w:val="000000"/>
                <w:sz w:val="16"/>
              </w:rPr>
              <w:t xml:space="preserve"> </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September 30, 2024</w:t>
      </w:r>
    </w:p>
    <w:p>
      <w:pPr>
        <w:pStyle w:val="TextBody"/>
        <w:bidi w:val="0"/>
        <w:spacing w:before="40" w:after="283"/>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tbl>
      <w:tblPr>
        <w:tblW w:w="9047" w:type="dxa"/>
        <w:jc w:val="left"/>
        <w:tblInd w:w="0" w:type="dxa"/>
        <w:tblLayout w:type="fixed"/>
        <w:tblCellMar>
          <w:top w:w="28" w:type="dxa"/>
          <w:left w:w="28" w:type="dxa"/>
          <w:bottom w:w="28" w:type="dxa"/>
          <w:right w:w="28" w:type="dxa"/>
        </w:tblCellMar>
      </w:tblPr>
      <w:tblGrid>
        <w:gridCol w:w="331"/>
        <w:gridCol w:w="8716"/>
      </w:tblGrid>
      <w:tr>
        <w:trPr/>
        <w:tc>
          <w:tcPr>
            <w:tcW w:w="331" w:type="dxa"/>
            <w:tcBorders/>
            <w:vAlign w:val="center"/>
          </w:tcPr>
          <w:p>
            <w:pPr>
              <w:pStyle w:val="TableContents"/>
              <w:bidi w:val="0"/>
              <w:spacing w:before="0" w:after="283"/>
              <w:jc w:val="left"/>
              <w:rPr>
                <w:sz w:val="4"/>
                <w:szCs w:val="4"/>
              </w:rPr>
            </w:pPr>
            <w:r>
              <w:rPr>
                <w:sz w:val="4"/>
                <w:szCs w:val="4"/>
              </w:rPr>
            </w:r>
          </w:p>
        </w:tc>
        <w:tc>
          <w:tcPr>
            <w:tcW w:w="8716"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60" w:after="283"/>
              <w:jc w:val="left"/>
              <w:rPr>
                <w:color w:val="000000"/>
              </w:rPr>
            </w:pPr>
            <w:r>
              <w:rPr>
                <w:color w:val="000000"/>
              </w:rPr>
              <w:t>☐</w:t>
            </w:r>
          </w:p>
        </w:tc>
        <w:tc>
          <w:tcPr>
            <w:tcW w:w="8716" w:type="dxa"/>
            <w:tcBorders/>
            <w:vAlign w:val="center"/>
          </w:tcPr>
          <w:p>
            <w:pPr>
              <w:pStyle w:val="TableContents"/>
              <w:bidi w:val="0"/>
              <w:spacing w:before="40" w:after="283"/>
              <w:jc w:val="left"/>
              <w:rPr>
                <w:rFonts w:ascii="Times New Roman" w:hAnsi="Times New Roman"/>
                <w:sz w:val="16"/>
              </w:rPr>
            </w:pPr>
            <w:r>
              <w:rPr>
                <w:rFonts w:ascii="Times New Roman" w:hAnsi="Times New Roman"/>
                <w:b/>
                <w:color w:val="000000"/>
                <w:sz w:val="16"/>
              </w:rPr>
              <w:t>TRANSITION REPORT PURSUANT TO SECTION 13 OR 15(d) OF THE SECURITIES EXCHANGE ACT OF 1934</w:t>
            </w:r>
            <w:r>
              <w:rPr>
                <w:rFonts w:ascii="Times New Roman" w:hAnsi="Times New Roman"/>
                <w:color w:val="000000"/>
                <w:sz w:val="16"/>
              </w:rPr>
              <w:t xml:space="preserve"> </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transition period from to</w:t>
      </w:r>
    </w:p>
    <w:p>
      <w:pPr>
        <w:pStyle w:val="TextBody"/>
        <w:bidi w:val="0"/>
        <w:spacing w:before="40" w:after="283"/>
        <w:jc w:val="center"/>
        <w:rPr>
          <w:rFonts w:ascii="Times New Roman" w:hAnsi="Times New Roman"/>
          <w:sz w:val="20"/>
        </w:rPr>
      </w:pPr>
      <w:r>
        <w:rPr>
          <w:rFonts w:ascii="Times New Roman" w:hAnsi="Times New Roman"/>
          <w:b/>
          <w:color w:val="000000"/>
          <w:sz w:val="20"/>
        </w:rPr>
        <w:t>Commission File Number 001-39386</w:t>
      </w:r>
      <w:r>
        <w:rPr>
          <w:rFonts w:ascii="Times New Roman" w:hAnsi="Times New Roman"/>
          <w:color w:val="000000"/>
          <w:sz w:val="20"/>
        </w:rPr>
        <w:t xml:space="preserve"> </w:t>
      </w:r>
    </w:p>
    <w:p>
      <w:pPr>
        <w:pStyle w:val="TextBody"/>
        <w:bidi w:val="0"/>
        <w:spacing w:before="40" w:after="283"/>
        <w:jc w:val="center"/>
        <w:rPr>
          <w:rFonts w:ascii="Times New Roman" w:hAnsi="Times New Roman"/>
          <w:b/>
          <w:color w:val="000000"/>
          <w:sz w:val="36"/>
        </w:rPr>
      </w:pPr>
      <w:r>
        <w:rPr>
          <w:rFonts w:ascii="Times New Roman" w:hAnsi="Times New Roman"/>
          <w:b/>
          <w:color w:val="000000"/>
          <w:sz w:val="36"/>
        </w:rPr>
        <w:t>ALX ONCOLOGY HOLDINGS INC.</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bidi w:val="0"/>
        <w:jc w:val="left"/>
        <w:rPr/>
      </w:pPr>
      <w:r>
        <w:rPr/>
        <w:t> </w:t>
      </w:r>
    </w:p>
    <w:tbl>
      <w:tblPr>
        <w:tblW w:w="4412" w:type="dxa"/>
        <w:jc w:val="left"/>
        <w:tblInd w:w="0" w:type="dxa"/>
        <w:tblLayout w:type="fixed"/>
        <w:tblCellMar>
          <w:top w:w="28" w:type="dxa"/>
          <w:left w:w="28" w:type="dxa"/>
          <w:bottom w:w="28" w:type="dxa"/>
          <w:right w:w="28" w:type="dxa"/>
        </w:tblCellMar>
      </w:tblPr>
      <w:tblGrid>
        <w:gridCol w:w="292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8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85-0642577</w:t>
            </w:r>
          </w:p>
        </w:tc>
      </w:tr>
      <w:tr>
        <w:trPr/>
        <w:tc>
          <w:tcPr>
            <w:tcW w:w="2926"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2926" w:type="dxa"/>
            <w:tcBorders/>
            <w:vAlign w:val="center"/>
          </w:tcPr>
          <w:p>
            <w:pPr>
              <w:pStyle w:val="TableContents"/>
              <w:bidi w:val="0"/>
              <w:spacing w:before="40" w:after="283"/>
              <w:jc w:val="center"/>
              <w:rPr>
                <w:rFonts w:ascii="Times New Roman" w:hAnsi="Times New Roman"/>
                <w:b/>
                <w:color w:val="000000"/>
                <w:sz w:val="20"/>
              </w:rPr>
            </w:pPr>
            <w:r>
              <w:rPr>
                <w:rFonts w:ascii="Times New Roman" w:hAnsi="Times New Roman"/>
                <w:b/>
                <w:color w:val="000000"/>
                <w:sz w:val="20"/>
              </w:rPr>
              <w:t>323 Allerton Avenue</w:t>
            </w:r>
          </w:p>
          <w:p>
            <w:pPr>
              <w:pStyle w:val="TableContents"/>
              <w:bidi w:val="0"/>
              <w:spacing w:before="40" w:after="283"/>
              <w:jc w:val="center"/>
              <w:rPr>
                <w:rFonts w:ascii="Times New Roman" w:hAnsi="Times New Roman"/>
                <w:b/>
                <w:color w:val="000000"/>
                <w:sz w:val="20"/>
              </w:rPr>
            </w:pPr>
            <w:r>
              <w:rPr>
                <w:rFonts w:ascii="Times New Roman" w:hAnsi="Times New Roman"/>
                <w:b/>
                <w:color w:val="000000"/>
                <w:sz w:val="20"/>
              </w:rPr>
              <w:t>South San Francisco, California</w:t>
            </w:r>
          </w:p>
        </w:tc>
        <w:tc>
          <w:tcPr>
            <w:tcW w:w="1486" w:type="dxa"/>
            <w:tcBorders/>
            <w:vAlign w:val="center"/>
          </w:tcPr>
          <w:p>
            <w:pPr>
              <w:pStyle w:val="TableContents"/>
              <w:bidi w:val="0"/>
              <w:spacing w:before="40" w:after="283"/>
              <w:jc w:val="center"/>
              <w:rPr>
                <w:rFonts w:ascii="Times New Roman" w:hAnsi="Times New Roman"/>
                <w:b/>
                <w:color w:val="000000"/>
                <w:sz w:val="20"/>
              </w:rPr>
            </w:pPr>
            <w:r>
              <w:rPr>
                <w:rFonts w:ascii="Times New Roman" w:hAnsi="Times New Roman"/>
                <w:b/>
                <w:color w:val="000000"/>
                <w:sz w:val="20"/>
              </w:rPr>
              <w:t>94080</w:t>
            </w:r>
          </w:p>
        </w:tc>
      </w:tr>
      <w:tr>
        <w:trPr/>
        <w:tc>
          <w:tcPr>
            <w:tcW w:w="292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650-466-7125</w:t>
      </w:r>
    </w:p>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(Registrant’s telephone number, including area code)</w:t>
      </w:r>
    </w:p>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Not applicable</w:t>
      </w:r>
    </w:p>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(Former name, former address and former fiscal year, if changed since last report)</w:t>
      </w:r>
    </w:p>
    <w:p>
      <w:pPr>
        <w:pStyle w:val="TextBody"/>
        <w:bidi w:val="0"/>
        <w:spacing w:before="40" w:after="283"/>
        <w:jc w:val="left"/>
        <w:rPr>
          <w:rFonts w:ascii="Times New Roman" w:hAnsi="Times New Roman"/>
          <w:sz w:val="20"/>
        </w:rPr>
      </w:pPr>
      <w:r>
        <w:rPr>
          <w:rFonts w:ascii="Times New Roman" w:hAnsi="Times New Roman"/>
          <w:color w:val="000000"/>
          <w:sz w:val="16"/>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585" w:type="dxa"/>
        <w:jc w:val="left"/>
        <w:tblInd w:w="0" w:type="dxa"/>
        <w:tblLayout w:type="fixed"/>
        <w:tblCellMar>
          <w:top w:w="28" w:type="dxa"/>
          <w:left w:w="28" w:type="dxa"/>
          <w:bottom w:w="28" w:type="dxa"/>
          <w:right w:w="28" w:type="dxa"/>
        </w:tblCellMar>
      </w:tblPr>
      <w:tblGrid>
        <w:gridCol w:w="3151"/>
        <w:gridCol w:w="146"/>
        <w:gridCol w:w="826"/>
        <w:gridCol w:w="146"/>
        <w:gridCol w:w="3316"/>
      </w:tblGrid>
      <w:tr>
        <w:trPr/>
        <w:tc>
          <w:tcPr>
            <w:tcW w:w="3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51" w:type="dxa"/>
            <w:tcBorders/>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 Stock, par value $0.001 per share</w:t>
            </w:r>
          </w:p>
        </w:tc>
        <w:tc>
          <w:tcPr>
            <w:tcW w:w="146" w:type="dxa"/>
            <w:tcBorders/>
            <w:vAlign w:val="center"/>
          </w:tcPr>
          <w:p>
            <w:pPr>
              <w:pStyle w:val="TableContents"/>
              <w:bidi w:val="0"/>
              <w:spacing w:before="0" w:after="283"/>
              <w:jc w:val="center"/>
              <w:rPr/>
            </w:pPr>
            <w:r>
              <w:rPr/>
              <w:t> </w:t>
            </w:r>
          </w:p>
        </w:tc>
        <w:tc>
          <w:tcPr>
            <w:tcW w:w="826" w:type="dxa"/>
            <w:tcBorders/>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ALXO</w:t>
            </w:r>
          </w:p>
        </w:tc>
        <w:tc>
          <w:tcPr>
            <w:tcW w:w="146" w:type="dxa"/>
            <w:tcBorders/>
            <w:vAlign w:val="center"/>
          </w:tcPr>
          <w:p>
            <w:pPr>
              <w:pStyle w:val="TableContents"/>
              <w:bidi w:val="0"/>
              <w:spacing w:before="0" w:after="283"/>
              <w:jc w:val="center"/>
              <w:rPr/>
            </w:pPr>
            <w:r>
              <w:rPr/>
              <w:t> </w:t>
            </w:r>
          </w:p>
        </w:tc>
        <w:tc>
          <w:tcPr>
            <w:tcW w:w="3316" w:type="dxa"/>
            <w:tcBorders/>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The Nasdaq Global Select Market</w:t>
            </w:r>
          </w:p>
        </w:tc>
      </w:tr>
    </w:tbl>
    <w:p>
      <w:pPr>
        <w:pStyle w:val="TextBody"/>
        <w:bidi w:val="0"/>
        <w:spacing w:before="40" w:after="283"/>
        <w:jc w:val="left"/>
        <w:rPr/>
      </w:pPr>
      <w:r>
        <w:rPr/>
        <w:t> </w:t>
      </w:r>
    </w:p>
    <w:p>
      <w:pPr>
        <w:pStyle w:val="TextBody"/>
        <w:bidi w:val="0"/>
        <w:spacing w:before="80" w:after="283"/>
        <w:jc w:val="left"/>
        <w:rPr>
          <w:rFonts w:ascii="Times New Roman" w:hAnsi="Times New Roman"/>
          <w:sz w:val="20"/>
        </w:rPr>
      </w:pPr>
      <w:r>
        <w:rPr>
          <w:rFonts w:ascii="Times New Roman" w:hAnsi="Times New Roman"/>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07" w:type="dxa"/>
        <w:jc w:val="left"/>
        <w:tblInd w:w="0" w:type="dxa"/>
        <w:tblLayout w:type="fixed"/>
        <w:tblCellMar>
          <w:top w:w="28" w:type="dxa"/>
          <w:left w:w="28" w:type="dxa"/>
          <w:bottom w:w="28" w:type="dxa"/>
          <w:right w:w="28" w:type="dxa"/>
        </w:tblCellMar>
      </w:tblPr>
      <w:tblGrid>
        <w:gridCol w:w="1666"/>
        <w:gridCol w:w="146"/>
        <w:gridCol w:w="316"/>
        <w:gridCol w:w="146"/>
        <w:gridCol w:w="2026"/>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color w:val="000000"/>
          <w:sz w:val="16"/>
        </w:rPr>
        <w:t>As of October 31, 2024, the registrant had 52,743,104</w:t>
      </w:r>
      <w:r>
        <w:rPr>
          <w:rFonts w:ascii="Times New Roman" w:hAnsi="Times New Roman"/>
          <w:color w:val="000000"/>
          <w:sz w:val="20"/>
        </w:rPr>
        <w:t xml:space="preserve"> </w:t>
      </w:r>
      <w:r>
        <w:rPr>
          <w:rFonts w:ascii="Times New Roman" w:hAnsi="Times New Roman"/>
          <w:color w:val="000000"/>
          <w:sz w:val="16"/>
        </w:rPr>
        <w:t>shares of common stock outstanding, $0.001 par value per share.</w:t>
      </w:r>
    </w:p>
    <w:p>
      <w:pPr>
        <w:pStyle w:val="TextBody"/>
        <w:pBdr>
          <w:bottom w:val="double" w:sz="4"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Quarterly Report on Form 10-Q contains forward-looking statements. All statements other than statements of historical facts contained in this report, including statements regarding our future results of operations and financial position, business strategy, product candidates, planned preclinical studies and clinical trials, results of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Quarterly Report include, but are not limited to, statements about: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financial performance;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sufficiency of our existing cash to fund our future operating expenses and capital expenditure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accuracy of our estimates regarding expenses, future revenue, capital requirements, and needs for additional financing;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plans relating to commercializing our product candidates, if approved, including the geographic areas of focus and our ability to grow a sales team;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implementation of our strategic plans for our business and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and maintain regulatory approval of our product candidates and the timing or likelihood of regulatory filings and approvals, including our expectation to seek special designations, such as orphan drug designation, for our product candidates for various diseases;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reliance on third parties to conduct preclinical research activities, and for the manufacture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beneficial characteristics, mechanisms of action, safety profile, efficacy and therapeutic effects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progress and focus of our current and future clinical trials, and the reporting of data from those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advance product candidates into and successfully complete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of our clinical trials, including collaborations and investigator sponsored trials, to demonstrate the safety and efficacy of our product candidates, and other positive results;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competing therapies that are or may become available;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developments relating to our competitors and our industry, including competing product candidates and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plans relating to the further development and manufacturing of our product candidates, including additional indications that we may pursue;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existing regulations and regulatory developments in the United States and other jurisdictions;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potential and ability to successfully manufacture and supply our product candidates for clinical trials and for commercial use,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continued reliance on third parties to conduct clinical trials of our product candidates, and for the manufacture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plans and ability to obtain or protect intellectual property rights, including extensions of existing patent terms where available;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of protection we are able to establish and maintain for intellectual property rights, including our technology platform and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retain the continued service of our key personnel, the impacts of any executive officer changes, and to identify, hire, and then retain additional qualified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impact of the COVID-19 pandemic, interest rate changes, bank failures or instability in the financial services sector, or geopolitical risks on our business;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plans for and prospects of our acquisitions and other business development activities, and our ability to successfully capitalize on these opportunities;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our financial and internal controls;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anticipated use of our existing cash and cash equivalents, short-term and long-term investments, and the funds available from our term loan.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on Form 10-Q and are subject to a number of risks, uncertainties and assumptions described in the section titled “Risk Factors” and elsewhere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toc_page"/>
      <w:bookmarkEnd w:id="2"/>
      <w:r>
        <w:rPr>
          <w:rFonts w:ascii="Times New Roman" w:hAnsi="Times New Roman"/>
          <w:b/>
          <w:color w:val="000000"/>
          <w:sz w:val="20"/>
        </w:rPr>
        <w:t>Table of Contents</w:t>
      </w:r>
    </w:p>
    <w:p>
      <w:pPr>
        <w:pStyle w:val="TextBody"/>
        <w:bidi w:val="0"/>
        <w:jc w:val="left"/>
        <w:rPr/>
      </w:pPr>
      <w:r>
        <w:rPr/>
        <w:t> </w:t>
      </w:r>
    </w:p>
    <w:tbl>
      <w:tblPr>
        <w:tblW w:w="8780" w:type="dxa"/>
        <w:jc w:val="left"/>
        <w:tblInd w:w="0" w:type="dxa"/>
        <w:tblLayout w:type="fixed"/>
        <w:tblCellMar>
          <w:top w:w="28" w:type="dxa"/>
          <w:left w:w="28" w:type="dxa"/>
          <w:bottom w:w="28" w:type="dxa"/>
          <w:right w:w="28" w:type="dxa"/>
        </w:tblCellMar>
      </w:tblPr>
      <w:tblGrid>
        <w:gridCol w:w="903"/>
        <w:gridCol w:w="7366"/>
        <w:gridCol w:w="511"/>
      </w:tblGrid>
      <w:tr>
        <w:trPr/>
        <w:tc>
          <w:tcPr>
            <w:tcW w:w="903"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center"/>
              <w:rPr/>
            </w:pPr>
            <w:hyperlink w:anchor="part1">
              <w:r>
                <w:rPr>
                  <w:rStyle w:val="InternetLink"/>
                  <w:rFonts w:ascii="Times New Roman" w:hAnsi="Times New Roman"/>
                  <w:color w:val="0000FF"/>
                  <w:sz w:val="20"/>
                  <w:u w:val="single"/>
                </w:rPr>
                <w:t>FINANCIAL INFORMATION</w:t>
              </w:r>
            </w:hyperlink>
            <w:r>
              <w:rPr>
                <w:rFonts w:ascii="Times New Roman" w:hAnsi="Times New Roman"/>
                <w:color w:val="000000"/>
                <w:sz w:val="20"/>
              </w:rPr>
              <w:t xml:space="preserve">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1_item1_fs">
              <w:r>
                <w:rPr>
                  <w:rStyle w:val="InternetLink"/>
                  <w:rFonts w:ascii="Times New Roman" w:hAnsi="Times New Roman"/>
                  <w:color w:val="0000FF"/>
                  <w:sz w:val="20"/>
                  <w:u w:val="single"/>
                </w:rPr>
                <w:t>Financial Statements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1_item1_bs">
              <w:r>
                <w:rPr>
                  <w:rStyle w:val="InternetLink"/>
                  <w:rFonts w:ascii="Times New Roman" w:hAnsi="Times New Roman"/>
                  <w:color w:val="0000FF"/>
                  <w:sz w:val="20"/>
                  <w:u w:val="single"/>
                </w:rPr>
                <w:t>Condensed Consolidated Balance Sheets</w:t>
              </w:r>
            </w:hyperlink>
            <w:r>
              <w:rPr>
                <w:rFonts w:ascii="Times New Roman" w:hAnsi="Times New Roman"/>
                <w:color w:val="000000"/>
                <w:sz w:val="20"/>
              </w:rPr>
              <w:t xml:space="preserve">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1_item1_is">
              <w:r>
                <w:rPr>
                  <w:rStyle w:val="InternetLink"/>
                  <w:rFonts w:ascii="Times New Roman" w:hAnsi="Times New Roman"/>
                  <w:color w:val="0000FF"/>
                  <w:sz w:val="20"/>
                  <w:u w:val="single"/>
                </w:rPr>
                <w:t>Condensed Consolidated Statements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1_item1_cl">
              <w:r>
                <w:rPr>
                  <w:rStyle w:val="InternetLink"/>
                  <w:rFonts w:ascii="Times New Roman" w:hAnsi="Times New Roman"/>
                  <w:color w:val="0000FF"/>
                  <w:sz w:val="20"/>
                  <w:u w:val="single"/>
                </w:rPr>
                <w:t>Condensed Consolidated Statements of Comprehensive Loss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1_item1_se">
              <w:r>
                <w:rPr>
                  <w:rStyle w:val="InternetLink"/>
                  <w:rFonts w:ascii="Times New Roman" w:hAnsi="Times New Roman"/>
                  <w:color w:val="0000FF"/>
                  <w:sz w:val="20"/>
                  <w:u w:val="single"/>
                </w:rPr>
                <w:t>Condensed Consolidated Statements of Stockholders’ Equity</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1_item1_cf">
              <w:r>
                <w:rPr>
                  <w:rStyle w:val="InternetLink"/>
                  <w:rFonts w:ascii="Times New Roman" w:hAnsi="Times New Roman"/>
                  <w:color w:val="0000FF"/>
                  <w:sz w:val="20"/>
                  <w:u w:val="single"/>
                </w:rPr>
                <w:t>Condensed Consolidated Statements of Cash Flows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1_item1_notes">
              <w:r>
                <w:rPr>
                  <w:rStyle w:val="InternetLink"/>
                  <w:rFonts w:ascii="Times New Roman" w:hAnsi="Times New Roman"/>
                  <w:color w:val="0000FF"/>
                  <w:sz w:val="20"/>
                  <w:u w:val="single"/>
                </w:rPr>
                <w:t>Notes to Condensed Consolidated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11</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1_item2_mda">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21</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1_item3_risk">
              <w:r>
                <w:rPr>
                  <w:rStyle w:val="InternetLink"/>
                  <w:rFonts w:ascii="Times New Roman" w:hAnsi="Times New Roman"/>
                  <w:color w:val="0000FF"/>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32</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1_item4_controls">
              <w:r>
                <w:rPr>
                  <w:rStyle w:val="InternetLink"/>
                  <w:rFonts w:ascii="Times New Roman" w:hAnsi="Times New Roman"/>
                  <w:color w:val="0000FF"/>
                  <w:sz w:val="20"/>
                  <w:u w:val="single"/>
                </w:rPr>
                <w:t>Controls and Procedures</w:t>
              </w:r>
            </w:hyperlink>
            <w:hyperlink w:anchor="part1_item4_controls">
              <w:r>
                <w:rPr>
                  <w:rStyle w:val="InternetLink"/>
                  <w:rFonts w:ascii="Times New Roman" w:hAnsi="Times New Roman"/>
                  <w:color w:val="0000FF"/>
                  <w:sz w:val="20"/>
                </w:rPr>
                <w:t xml:space="preserve"> </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center"/>
              <w:rPr/>
            </w:pPr>
            <w:hyperlink w:anchor="part2">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2_item1_legal">
              <w:r>
                <w:rPr>
                  <w:rStyle w:val="InternetLink"/>
                  <w:rFonts w:ascii="Times New Roman" w:hAnsi="Times New Roman"/>
                  <w:color w:val="0000FF"/>
                  <w:sz w:val="20"/>
                  <w:u w:val="single"/>
                </w:rPr>
                <w:t>Legal Proceedings</w:t>
              </w:r>
            </w:hyperlink>
            <w:r>
              <w:rPr>
                <w:rFonts w:ascii="Times New Roman" w:hAnsi="Times New Roman"/>
                <w:color w:val="0000EE"/>
                <w:sz w:val="20"/>
              </w:rPr>
              <w:t xml:space="preserve">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34</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2_item1a_rf">
              <w:r>
                <w:rPr>
                  <w:rStyle w:val="InternetLink"/>
                  <w:rFonts w:ascii="Times New Roman" w:hAnsi="Times New Roman"/>
                  <w:color w:val="0000FF"/>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34</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2_item2_unreg">
              <w:r>
                <w:rPr>
                  <w:rStyle w:val="InternetLink"/>
                  <w:rFonts w:ascii="Times New Roman" w:hAnsi="Times New Roman"/>
                  <w:color w:val="0000FF"/>
                  <w:sz w:val="20"/>
                  <w:u w:val="single"/>
                </w:rPr>
                <w:t>Unregistered Sales of Equity Securities and Use of Proceeds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81</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2_item3_defaults">
              <w:r>
                <w:rPr>
                  <w:rStyle w:val="InternetLink"/>
                  <w:rFonts w:ascii="Times New Roman" w:hAnsi="Times New Roman"/>
                  <w:color w:val="0000FF"/>
                  <w:sz w:val="20"/>
                  <w:u w:val="single"/>
                </w:rPr>
                <w:t>Defaults Upon Senior Securities</w:t>
              </w:r>
            </w:hyperlink>
            <w:hyperlink w:anchor="part2_item3_defaults">
              <w:r>
                <w:rPr>
                  <w:rStyle w:val="InternetLink"/>
                  <w:rFonts w:ascii="Times New Roman" w:hAnsi="Times New Roman"/>
                  <w:color w:val="0000FF"/>
                  <w:sz w:val="20"/>
                </w:rPr>
                <w:t xml:space="preserve"> </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81</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2_item4_mine">
              <w:r>
                <w:rPr>
                  <w:rStyle w:val="InternetLink"/>
                  <w:rFonts w:ascii="Times New Roman" w:hAnsi="Times New Roman"/>
                  <w:color w:val="0000FF"/>
                  <w:sz w:val="20"/>
                  <w:u w:val="single"/>
                </w:rPr>
                <w:t>Mine Safety Disclosures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81</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2_item5_other">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81</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2_item6_exhibits">
              <w:r>
                <w:rPr>
                  <w:rStyle w:val="InternetLink"/>
                  <w:rFonts w:ascii="Times New Roman" w:hAnsi="Times New Roman"/>
                  <w:color w:val="0000FF"/>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 w:name="part1"/>
      <w:bookmarkEnd w:id="3"/>
      <w:r>
        <w:rPr>
          <w:rFonts w:ascii="Times New Roman" w:hAnsi="Times New Roman"/>
          <w:b/>
          <w:color w:val="000000"/>
          <w:sz w:val="20"/>
        </w:rPr>
        <w:t>PART I — FINANCIAL INFORMATION</w:t>
      </w:r>
    </w:p>
    <w:p>
      <w:pPr>
        <w:pStyle w:val="TextBody"/>
        <w:bidi w:val="0"/>
        <w:jc w:val="left"/>
        <w:rPr>
          <w:rFonts w:ascii="Times New Roman" w:hAnsi="Times New Roman"/>
          <w:sz w:val="20"/>
        </w:rPr>
      </w:pPr>
      <w:bookmarkStart w:id="4" w:name="part1_item1_fs"/>
      <w:bookmarkEnd w:id="4"/>
      <w:r>
        <w:rPr>
          <w:rFonts w:ascii="Times New Roman" w:hAnsi="Times New Roman"/>
          <w:b/>
          <w:color w:val="000000"/>
          <w:sz w:val="20"/>
        </w:rPr>
        <w:t>Item 1. Financial Statements</w:t>
      </w:r>
      <w:r>
        <w:rPr>
          <w:rFonts w:ascii="Times New Roman" w:hAnsi="Times New Roman"/>
          <w:color w:val="000000"/>
          <w:sz w:val="20"/>
        </w:rPr>
        <w:t xml:space="preserve"> </w:t>
      </w: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ALX ONCOLOGY HOLDINGS INC.</w:t>
      </w:r>
    </w:p>
    <w:p>
      <w:pPr>
        <w:pStyle w:val="TextBody"/>
        <w:bidi w:val="0"/>
        <w:jc w:val="center"/>
        <w:rPr>
          <w:rFonts w:ascii="Times New Roman" w:hAnsi="Times New Roman"/>
          <w:b/>
          <w:color w:val="000000"/>
          <w:sz w:val="20"/>
        </w:rPr>
      </w:pPr>
      <w:bookmarkStart w:id="5" w:name="part1_item1_bs"/>
      <w:bookmarkEnd w:id="5"/>
      <w:r>
        <w:rPr>
          <w:rFonts w:ascii="Times New Roman" w:hAnsi="Times New Roman"/>
          <w:b/>
          <w:color w:val="000000"/>
          <w:sz w:val="20"/>
        </w:rPr>
        <w:t>Condensed Consolidated Balance Sheets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(in thousands, except share and per share amounts)</w:t>
      </w:r>
    </w:p>
    <w:p>
      <w:pPr>
        <w:pStyle w:val="TextBody"/>
        <w:bidi w:val="0"/>
        <w:jc w:val="left"/>
        <w:rPr/>
      </w:pPr>
      <w:r>
        <w:rPr/>
        <w:t> </w:t>
      </w:r>
    </w:p>
    <w:tbl>
      <w:tblPr>
        <w:tblW w:w="9655" w:type="dxa"/>
        <w:jc w:val="left"/>
        <w:tblInd w:w="0" w:type="dxa"/>
        <w:tblLayout w:type="fixed"/>
        <w:tblCellMar>
          <w:top w:w="28" w:type="dxa"/>
          <w:left w:w="28" w:type="dxa"/>
          <w:bottom w:w="28" w:type="dxa"/>
          <w:right w:w="28" w:type="dxa"/>
        </w:tblCellMar>
      </w:tblPr>
      <w:tblGrid>
        <w:gridCol w:w="6021"/>
        <w:gridCol w:w="146"/>
        <w:gridCol w:w="261"/>
        <w:gridCol w:w="1044"/>
        <w:gridCol w:w="166"/>
        <w:gridCol w:w="146"/>
        <w:gridCol w:w="252"/>
        <w:gridCol w:w="1008"/>
        <w:gridCol w:w="611"/>
      </w:tblGrid>
      <w:tr>
        <w:trPr/>
        <w:tc>
          <w:tcPr>
            <w:tcW w:w="6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0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611" w:type="dxa"/>
            <w:tcBorders/>
            <w:shd w:fill="FFFFFF" w:val="clear"/>
            <w:vAlign w:val="center"/>
          </w:tcPr>
          <w:p>
            <w:pPr>
              <w:pStyle w:val="TableContents"/>
              <w:bidi w:val="0"/>
              <w:spacing w:before="0" w:after="283"/>
              <w:jc w:val="center"/>
              <w:rPr/>
            </w:pPr>
            <w:r>
              <w:rPr/>
              <w:t> </w:t>
            </w:r>
          </w:p>
        </w:tc>
      </w:tr>
      <w:tr>
        <w:trPr/>
        <w:tc>
          <w:tcPr>
            <w:tcW w:w="60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2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30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60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60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22,406</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0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132,472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160,330</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0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2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155,895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188,659</w:t>
            </w:r>
          </w:p>
        </w:tc>
        <w:tc>
          <w:tcPr>
            <w:tcW w:w="611" w:type="dxa"/>
            <w:tcBorders/>
            <w:shd w:fill="FFFFFF" w:val="clear"/>
            <w:vAlign w:val="center"/>
          </w:tcPr>
          <w:p>
            <w:pPr>
              <w:pStyle w:val="TableContents"/>
              <w:bidi w:val="0"/>
              <w:spacing w:before="0" w:after="283"/>
              <w:jc w:val="left"/>
              <w:rPr/>
            </w:pPr>
            <w:r>
              <w:rPr/>
              <w:t> </w:t>
            </w:r>
          </w:p>
        </w:tc>
      </w:tr>
      <w:tr>
        <w:trPr/>
        <w:tc>
          <w:tcPr>
            <w:tcW w:w="60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10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3,589</w:t>
            </w:r>
          </w:p>
        </w:tc>
        <w:tc>
          <w:tcPr>
            <w:tcW w:w="611" w:type="dxa"/>
            <w:tcBorders/>
            <w:shd w:fill="CFF0FC" w:val="clear"/>
            <w:vAlign w:val="center"/>
          </w:tcPr>
          <w:p>
            <w:pPr>
              <w:pStyle w:val="TableContents"/>
              <w:bidi w:val="0"/>
              <w:spacing w:before="0" w:after="283"/>
              <w:jc w:val="left"/>
              <w:rPr/>
            </w:pPr>
            <w:r>
              <w:rPr/>
              <w:t> </w:t>
            </w:r>
          </w:p>
        </w:tc>
      </w:tr>
      <w:tr>
        <w:trPr/>
        <w:tc>
          <w:tcPr>
            <w:tcW w:w="60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35,411</w:t>
            </w:r>
          </w:p>
        </w:tc>
        <w:tc>
          <w:tcPr>
            <w:tcW w:w="611" w:type="dxa"/>
            <w:tcBorders/>
            <w:shd w:fill="FFFFFF" w:val="clear"/>
            <w:vAlign w:val="center"/>
          </w:tcPr>
          <w:p>
            <w:pPr>
              <w:pStyle w:val="TableContents"/>
              <w:bidi w:val="0"/>
              <w:spacing w:before="0" w:after="283"/>
              <w:jc w:val="left"/>
              <w:rPr/>
            </w:pPr>
            <w:r>
              <w:rPr/>
              <w:t> </w:t>
            </w:r>
          </w:p>
        </w:tc>
      </w:tr>
      <w:tr>
        <w:trPr/>
        <w:tc>
          <w:tcPr>
            <w:tcW w:w="60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2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185,715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242,553</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2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30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602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60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vAlign w:val="center"/>
          </w:tcPr>
          <w:p>
            <w:pPr>
              <w:pStyle w:val="TableContents"/>
              <w:bidi w:val="0"/>
              <w:spacing w:before="0" w:after="283"/>
              <w:jc w:val="left"/>
              <w:rPr/>
            </w:pPr>
            <w:r>
              <w:rPr/>
              <w:t> </w:t>
            </w:r>
          </w:p>
        </w:tc>
        <w:tc>
          <w:tcPr>
            <w:tcW w:w="130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60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8,591</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0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Payable and accrued liabilities due to related party</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10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0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2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10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32,340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36,001</w:t>
            </w:r>
          </w:p>
        </w:tc>
        <w:tc>
          <w:tcPr>
            <w:tcW w:w="611" w:type="dxa"/>
            <w:tcBorders/>
            <w:shd w:fill="CFF0FC" w:val="clear"/>
            <w:vAlign w:val="center"/>
          </w:tcPr>
          <w:p>
            <w:pPr>
              <w:pStyle w:val="TableContents"/>
              <w:bidi w:val="0"/>
              <w:spacing w:before="0" w:after="283"/>
              <w:jc w:val="left"/>
              <w:rPr/>
            </w:pPr>
            <w:r>
              <w:rPr/>
              <w:t> </w:t>
            </w:r>
          </w:p>
        </w:tc>
      </w:tr>
      <w:tr>
        <w:trPr/>
        <w:tc>
          <w:tcPr>
            <w:tcW w:w="60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 non-current</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9,639</w:t>
            </w:r>
          </w:p>
        </w:tc>
        <w:tc>
          <w:tcPr>
            <w:tcW w:w="611" w:type="dxa"/>
            <w:tcBorders/>
            <w:shd w:fill="FFFFFF" w:val="clear"/>
            <w:vAlign w:val="center"/>
          </w:tcPr>
          <w:p>
            <w:pPr>
              <w:pStyle w:val="TableContents"/>
              <w:bidi w:val="0"/>
              <w:spacing w:before="0" w:after="283"/>
              <w:jc w:val="left"/>
              <w:rPr/>
            </w:pPr>
            <w:r>
              <w:rPr/>
              <w:t> </w:t>
            </w:r>
          </w:p>
        </w:tc>
      </w:tr>
      <w:tr>
        <w:trPr/>
        <w:tc>
          <w:tcPr>
            <w:tcW w:w="60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2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52,841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11)</w:t>
            </w:r>
          </w:p>
        </w:tc>
        <w:tc>
          <w:tcPr>
            <w:tcW w:w="146" w:type="dxa"/>
            <w:tcBorders/>
            <w:shd w:fill="CFF0FC" w:val="clear"/>
            <w:vAlign w:val="center"/>
          </w:tcPr>
          <w:p>
            <w:pPr>
              <w:pStyle w:val="TableContents"/>
              <w:bidi w:val="0"/>
              <w:spacing w:before="0" w:after="283"/>
              <w:jc w:val="left"/>
              <w:rPr/>
            </w:pPr>
            <w:r>
              <w:rPr/>
              <w:t> </w:t>
            </w:r>
          </w:p>
        </w:tc>
        <w:tc>
          <w:tcPr>
            <w:tcW w:w="130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60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60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xml:space="preserve">Common stock, $0.001 par value; 1,000,000,000 shares authorized </w:t>
              <w:br/>
              <w:t xml:space="preserve">     as of September 30, 2024 and December 31, 2023; 52,743,104 and </w:t>
              <w:br/>
              <w:t>     49,951,989 shares issued and outstanding as of September 30, 2024</w:t>
              <w:br/>
              <w:t>     and December 31, 2023, respectively</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10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0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728,150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675,678</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0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other comprehensive income (loss)</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10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0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(591,959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(486,272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02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189,712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2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185,715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242,553</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See accompanying notes to these condensed consolidated financial statements (unaudited).</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ALX ONCOLOGY HOLDINGS INC.</w:t>
      </w:r>
    </w:p>
    <w:p>
      <w:pPr>
        <w:pStyle w:val="TextBody"/>
        <w:bidi w:val="0"/>
        <w:jc w:val="center"/>
        <w:rPr>
          <w:rFonts w:ascii="Times New Roman" w:hAnsi="Times New Roman"/>
          <w:b/>
          <w:color w:val="000000"/>
          <w:sz w:val="20"/>
        </w:rPr>
      </w:pPr>
      <w:bookmarkStart w:id="6" w:name="part1_item1_is"/>
      <w:bookmarkEnd w:id="6"/>
      <w:r>
        <w:rPr>
          <w:rFonts w:ascii="Times New Roman" w:hAnsi="Times New Roman"/>
          <w:b/>
          <w:color w:val="000000"/>
          <w:sz w:val="20"/>
        </w:rPr>
        <w:t>Condensed Consolidated Statements of Operations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(in thousands, except share and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44"/>
        <w:gridCol w:w="146"/>
        <w:gridCol w:w="211"/>
        <w:gridCol w:w="1036"/>
        <w:gridCol w:w="166"/>
        <w:gridCol w:w="146"/>
        <w:gridCol w:w="211"/>
        <w:gridCol w:w="1036"/>
        <w:gridCol w:w="166"/>
        <w:gridCol w:w="146"/>
        <w:gridCol w:w="211"/>
        <w:gridCol w:w="1036"/>
        <w:gridCol w:w="166"/>
        <w:gridCol w:w="146"/>
        <w:gridCol w:w="211"/>
        <w:gridCol w:w="1036"/>
        <w:gridCol w:w="591"/>
      </w:tblGrid>
      <w:tr>
        <w:trPr/>
        <w:tc>
          <w:tcPr>
            <w:tcW w:w="3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4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r>
          </w:p>
        </w:tc>
        <w:tc>
          <w:tcPr>
            <w:tcW w:w="591" w:type="dxa"/>
            <w:tcBorders/>
            <w:shd w:fill="FFFFFF" w:val="clear"/>
            <w:vAlign w:val="center"/>
          </w:tcPr>
          <w:p>
            <w:pPr>
              <w:pStyle w:val="TableContents"/>
              <w:bidi w:val="0"/>
              <w:spacing w:before="0" w:after="283"/>
              <w:jc w:val="center"/>
              <w:rPr/>
            </w:pPr>
            <w:r>
              <w:rPr/>
              <w:t> </w:t>
            </w:r>
          </w:p>
        </w:tc>
      </w:tr>
      <w:tr>
        <w:trPr/>
        <w:tc>
          <w:tcPr>
            <w:tcW w:w="354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354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100,011</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354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22,244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44"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122,255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(32,567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(53,275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(111,854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(122,255</w:t>
            </w:r>
          </w:p>
        </w:tc>
        <w:tc>
          <w:tcPr>
            <w:tcW w:w="59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7,654</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354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w:t>
            </w:r>
          </w:p>
        </w:tc>
        <w:tc>
          <w:tcPr>
            <w:tcW w:w="59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591" w:type="dxa"/>
            <w:tcBorders/>
            <w:shd w:fill="FFFFFF" w:val="clear"/>
            <w:vAlign w:val="center"/>
          </w:tcPr>
          <w:p>
            <w:pPr>
              <w:pStyle w:val="TableContents"/>
              <w:bidi w:val="0"/>
              <w:spacing w:before="0" w:after="283"/>
              <w:jc w:val="left"/>
              <w:rPr/>
            </w:pPr>
            <w:r>
              <w:rPr/>
              <w:t> </w:t>
            </w:r>
          </w:p>
        </w:tc>
      </w:tr>
      <w:tr>
        <w:trPr/>
        <w:tc>
          <w:tcPr>
            <w:tcW w:w="35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(30,707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(50,990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(105,687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(115,333</w:t>
            </w:r>
          </w:p>
        </w:tc>
        <w:tc>
          <w:tcPr>
            <w:tcW w:w="5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Weighted-average shares of common stock used to </w:t>
              <w:br/>
              <w:t>    compute net loss per share,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52,693,878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41,147,938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51,544,501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40,963,015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See accompanying notes to these condensed consolidated financial statements (unaudited).</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ALX ONCOLOGY HOLDINGS INC.</w:t>
      </w:r>
    </w:p>
    <w:p>
      <w:pPr>
        <w:pStyle w:val="TextBody"/>
        <w:bidi w:val="0"/>
        <w:jc w:val="center"/>
        <w:rPr>
          <w:rFonts w:ascii="Times New Roman" w:hAnsi="Times New Roman"/>
          <w:b/>
          <w:color w:val="000000"/>
          <w:sz w:val="20"/>
        </w:rPr>
      </w:pPr>
      <w:bookmarkStart w:id="7" w:name="part1_item1_cl"/>
      <w:bookmarkEnd w:id="7"/>
      <w:r>
        <w:rPr>
          <w:rFonts w:ascii="Times New Roman" w:hAnsi="Times New Roman"/>
          <w:b/>
          <w:color w:val="000000"/>
          <w:sz w:val="20"/>
        </w:rPr>
        <w:t>Condensed Consolidated Statements of Comprehensive Loss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(in thousands)</w:t>
      </w:r>
    </w:p>
    <w:p>
      <w:pPr>
        <w:pStyle w:val="TextBody"/>
        <w:bidi w:val="0"/>
        <w:jc w:val="center"/>
        <w:rPr/>
      </w:pPr>
      <w:r>
        <w:rPr/>
        <w:t> </w:t>
      </w:r>
    </w:p>
    <w:tbl>
      <w:tblPr>
        <w:tblW w:w="9812" w:type="dxa"/>
        <w:jc w:val="left"/>
        <w:tblInd w:w="0" w:type="dxa"/>
        <w:tblLayout w:type="fixed"/>
        <w:tblCellMar>
          <w:top w:w="28" w:type="dxa"/>
          <w:left w:w="28" w:type="dxa"/>
          <w:bottom w:w="28" w:type="dxa"/>
          <w:right w:w="28" w:type="dxa"/>
        </w:tblCellMar>
      </w:tblPr>
      <w:tblGrid>
        <w:gridCol w:w="4341"/>
        <w:gridCol w:w="146"/>
        <w:gridCol w:w="211"/>
        <w:gridCol w:w="736"/>
        <w:gridCol w:w="166"/>
        <w:gridCol w:w="146"/>
        <w:gridCol w:w="211"/>
        <w:gridCol w:w="736"/>
        <w:gridCol w:w="166"/>
        <w:gridCol w:w="146"/>
        <w:gridCol w:w="211"/>
        <w:gridCol w:w="841"/>
        <w:gridCol w:w="166"/>
        <w:gridCol w:w="146"/>
        <w:gridCol w:w="211"/>
        <w:gridCol w:w="841"/>
        <w:gridCol w:w="391"/>
      </w:tblGrid>
      <w:tr>
        <w:trPr/>
        <w:tc>
          <w:tcPr>
            <w:tcW w:w="4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1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r>
          </w:p>
        </w:tc>
        <w:tc>
          <w:tcPr>
            <w:tcW w:w="391" w:type="dxa"/>
            <w:tcBorders/>
            <w:shd w:fill="FFFFFF" w:val="clear"/>
            <w:vAlign w:val="center"/>
          </w:tcPr>
          <w:p>
            <w:pPr>
              <w:pStyle w:val="TableContents"/>
              <w:bidi w:val="0"/>
              <w:spacing w:before="0" w:after="283"/>
              <w:jc w:val="center"/>
              <w:rPr/>
            </w:pPr>
            <w:r>
              <w:rPr/>
              <w:t> </w:t>
            </w:r>
          </w:p>
        </w:tc>
      </w:tr>
      <w:tr>
        <w:trPr/>
        <w:tc>
          <w:tcPr>
            <w:tcW w:w="43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(30,707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(50,990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(105,687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(115,333</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gain, net of tax:</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43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Unrealized gain on available-for-sale investments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comprehensive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(114,714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See accompanying notes to these condensed consolidated financial statements (unaudited).</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ALX ONCOLOGY HOLDINGS INC.</w:t>
      </w:r>
    </w:p>
    <w:p>
      <w:pPr>
        <w:pStyle w:val="TextBody"/>
        <w:bidi w:val="0"/>
        <w:jc w:val="center"/>
        <w:rPr>
          <w:rFonts w:ascii="Times New Roman" w:hAnsi="Times New Roman"/>
          <w:sz w:val="20"/>
        </w:rPr>
      </w:pPr>
      <w:bookmarkStart w:id="8" w:name="part1_item1_se"/>
      <w:bookmarkEnd w:id="8"/>
      <w:r>
        <w:rPr>
          <w:rFonts w:ascii="Times New Roman" w:hAnsi="Times New Roman"/>
          <w:b/>
          <w:color w:val="000000"/>
          <w:sz w:val="20"/>
        </w:rPr>
        <w:t>Condensed Consolidated Statements of Stockholders’ Equity</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(in thousands, except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177"/>
        <w:gridCol w:w="146"/>
        <w:gridCol w:w="146"/>
        <w:gridCol w:w="916"/>
        <w:gridCol w:w="146"/>
        <w:gridCol w:w="146"/>
        <w:gridCol w:w="249"/>
        <w:gridCol w:w="442"/>
        <w:gridCol w:w="146"/>
        <w:gridCol w:w="146"/>
        <w:gridCol w:w="196"/>
        <w:gridCol w:w="691"/>
        <w:gridCol w:w="146"/>
        <w:gridCol w:w="146"/>
        <w:gridCol w:w="377"/>
        <w:gridCol w:w="839"/>
        <w:gridCol w:w="166"/>
        <w:gridCol w:w="146"/>
        <w:gridCol w:w="217"/>
        <w:gridCol w:w="834"/>
        <w:gridCol w:w="166"/>
        <w:gridCol w:w="146"/>
        <w:gridCol w:w="234"/>
        <w:gridCol w:w="829"/>
        <w:gridCol w:w="412"/>
      </w:tblGrid>
      <w:tr>
        <w:trPr/>
        <w:tc>
          <w:tcPr>
            <w:tcW w:w="21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217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3"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412" w:type="dxa"/>
            <w:tcBorders/>
            <w:shd w:fill="FFFFFF" w:val="clear"/>
            <w:vAlign w:val="center"/>
          </w:tcPr>
          <w:p>
            <w:pPr>
              <w:pStyle w:val="TableContents"/>
              <w:bidi w:val="0"/>
              <w:spacing w:before="0" w:after="283"/>
              <w:jc w:val="center"/>
              <w:rPr/>
            </w:pPr>
            <w:r>
              <w:rPr/>
              <w:t> </w:t>
            </w:r>
          </w:p>
        </w:tc>
      </w:tr>
      <w:tr>
        <w:trPr/>
        <w:tc>
          <w:tcPr>
            <w:tcW w:w="217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77"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49,951,989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675,678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(486,272</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189,712</w:t>
            </w:r>
          </w:p>
        </w:tc>
        <w:tc>
          <w:tcPr>
            <w:tcW w:w="412" w:type="dxa"/>
            <w:tcBorders/>
            <w:shd w:fill="CFF0FC" w:val="clear"/>
            <w:vAlign w:val="center"/>
          </w:tcPr>
          <w:p>
            <w:pPr>
              <w:pStyle w:val="TableContents"/>
              <w:bidi w:val="0"/>
              <w:spacing w:before="0" w:after="283"/>
              <w:ind w:left="0" w:right="0" w:firstLine="200"/>
              <w:jc w:val="left"/>
              <w:rPr/>
            </w:pPr>
            <w:r>
              <w:rPr/>
              <w:t> </w:t>
            </w:r>
          </w:p>
        </w:tc>
      </w:tr>
      <w:tr>
        <w:trPr/>
        <w:tc>
          <w:tcPr>
            <w:tcW w:w="217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Issuance of common stock under</w:t>
              <w:br/>
              <w:t>   equity incentive plans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113,385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w:t>
            </w:r>
          </w:p>
        </w:tc>
        <w:tc>
          <w:tcPr>
            <w:tcW w:w="412" w:type="dxa"/>
            <w:tcBorders/>
            <w:shd w:fill="FFFFFF" w:val="clear"/>
            <w:vAlign w:val="center"/>
          </w:tcPr>
          <w:p>
            <w:pPr>
              <w:pStyle w:val="TableContents"/>
              <w:bidi w:val="0"/>
              <w:spacing w:before="0" w:after="283"/>
              <w:ind w:left="0" w:right="0" w:firstLine="200"/>
              <w:jc w:val="left"/>
              <w:rPr/>
            </w:pPr>
            <w:r>
              <w:rPr/>
              <w:t> </w:t>
            </w:r>
          </w:p>
        </w:tc>
      </w:tr>
      <w:tr>
        <w:trPr/>
        <w:tc>
          <w:tcPr>
            <w:tcW w:w="2177"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6"/>
              </w:rPr>
              <w:t xml:space="preserve">Issuance of common stock through </w:t>
              <w:br/>
              <w:t xml:space="preserve">   ATM offering, net of commissions </w:t>
              <w:br/>
              <w:t>   and offering costs of $0.1</w:t>
            </w:r>
            <w:r>
              <w:rPr>
                <w:rFonts w:ascii="Times New Roman" w:hAnsi="Times New Roman"/>
                <w:color w:val="000000"/>
                <w:sz w:val="20"/>
              </w:rPr>
              <w:t> </w:t>
            </w:r>
            <w:r>
              <w:rPr>
                <w:rFonts w:ascii="Times New Roman" w:hAnsi="Times New Roman"/>
                <w:color w:val="000000"/>
                <w:sz w:val="16"/>
              </w:rPr>
              <w:t>million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211,819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7" w:type="dxa"/>
            <w:tcBorders/>
            <w:shd w:fill="CFF0FC" w:val="clear"/>
            <w:vAlign w:val="center"/>
          </w:tcPr>
          <w:p>
            <w:pPr>
              <w:pStyle w:val="TableContents"/>
              <w:bidi w:val="0"/>
              <w:spacing w:before="0" w:after="283"/>
              <w:jc w:val="left"/>
              <w:rPr/>
            </w:pPr>
            <w:r>
              <w:rPr/>
              <w:t> </w:t>
            </w:r>
          </w:p>
        </w:tc>
        <w:tc>
          <w:tcPr>
            <w:tcW w:w="83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82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3,024</w:t>
            </w:r>
          </w:p>
        </w:tc>
        <w:tc>
          <w:tcPr>
            <w:tcW w:w="412" w:type="dxa"/>
            <w:tcBorders/>
            <w:shd w:fill="CFF0FC" w:val="clear"/>
            <w:vAlign w:val="center"/>
          </w:tcPr>
          <w:p>
            <w:pPr>
              <w:pStyle w:val="TableContents"/>
              <w:bidi w:val="0"/>
              <w:spacing w:before="0" w:after="283"/>
              <w:ind w:left="0" w:right="0" w:firstLine="200"/>
              <w:jc w:val="left"/>
              <w:rPr/>
            </w:pPr>
            <w:r>
              <w:rPr/>
              <w:t> </w:t>
            </w:r>
          </w:p>
        </w:tc>
      </w:tr>
      <w:tr>
        <w:trPr/>
        <w:tc>
          <w:tcPr>
            <w:tcW w:w="217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7,031</w:t>
            </w:r>
          </w:p>
        </w:tc>
        <w:tc>
          <w:tcPr>
            <w:tcW w:w="412" w:type="dxa"/>
            <w:tcBorders/>
            <w:shd w:fill="FFFFFF" w:val="clear"/>
            <w:vAlign w:val="center"/>
          </w:tcPr>
          <w:p>
            <w:pPr>
              <w:pStyle w:val="TableContents"/>
              <w:bidi w:val="0"/>
              <w:spacing w:before="0" w:after="283"/>
              <w:ind w:left="0" w:right="0" w:firstLine="200"/>
              <w:jc w:val="left"/>
              <w:rPr/>
            </w:pPr>
            <w:r>
              <w:rPr/>
              <w:t> </w:t>
            </w:r>
          </w:p>
        </w:tc>
      </w:tr>
      <w:tr>
        <w:trPr/>
        <w:tc>
          <w:tcPr>
            <w:tcW w:w="217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Unrealized loss on available-for-sale</w:t>
              <w:br/>
              <w:t>   investments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7" w:type="dxa"/>
            <w:tcBorders/>
            <w:shd w:fill="CFF0FC" w:val="clear"/>
            <w:vAlign w:val="center"/>
          </w:tcPr>
          <w:p>
            <w:pPr>
              <w:pStyle w:val="TableContents"/>
              <w:bidi w:val="0"/>
              <w:spacing w:before="0" w:after="283"/>
              <w:jc w:val="left"/>
              <w:rPr/>
            </w:pPr>
            <w:r>
              <w:rPr/>
              <w:t> </w:t>
            </w:r>
          </w:p>
        </w:tc>
        <w:tc>
          <w:tcPr>
            <w:tcW w:w="83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82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w:t>
            </w:r>
          </w:p>
        </w:tc>
        <w:tc>
          <w:tcPr>
            <w:tcW w:w="412" w:type="dxa"/>
            <w:tcBorders/>
            <w:shd w:fill="CFF0FC"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17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(35,581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(35,581</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177"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March 31,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50,277,193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685,970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(521,853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164,195</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17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Issuance of common stock under</w:t>
              <w:br/>
              <w:t>   equity incentive plans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321,753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861</w:t>
            </w:r>
          </w:p>
        </w:tc>
        <w:tc>
          <w:tcPr>
            <w:tcW w:w="412" w:type="dxa"/>
            <w:tcBorders/>
            <w:shd w:fill="FFFFFF" w:val="clear"/>
            <w:vAlign w:val="center"/>
          </w:tcPr>
          <w:p>
            <w:pPr>
              <w:pStyle w:val="TableContents"/>
              <w:bidi w:val="0"/>
              <w:spacing w:before="0" w:after="283"/>
              <w:ind w:left="0" w:right="0" w:firstLine="200"/>
              <w:jc w:val="left"/>
              <w:rPr/>
            </w:pPr>
            <w:r>
              <w:rPr/>
              <w:t> </w:t>
            </w:r>
          </w:p>
        </w:tc>
      </w:tr>
      <w:tr>
        <w:trPr/>
        <w:tc>
          <w:tcPr>
            <w:tcW w:w="217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Issuance of common stock under</w:t>
              <w:br/>
              <w:t>   employee stock purchase plan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59,712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7" w:type="dxa"/>
            <w:tcBorders/>
            <w:shd w:fill="CFF0FC" w:val="clear"/>
            <w:vAlign w:val="center"/>
          </w:tcPr>
          <w:p>
            <w:pPr>
              <w:pStyle w:val="TableContents"/>
              <w:bidi w:val="0"/>
              <w:spacing w:before="0" w:after="283"/>
              <w:jc w:val="left"/>
              <w:rPr/>
            </w:pPr>
            <w:r>
              <w:rPr/>
              <w:t> </w:t>
            </w:r>
          </w:p>
        </w:tc>
        <w:tc>
          <w:tcPr>
            <w:tcW w:w="83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82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w:t>
            </w:r>
          </w:p>
        </w:tc>
        <w:tc>
          <w:tcPr>
            <w:tcW w:w="412" w:type="dxa"/>
            <w:tcBorders/>
            <w:shd w:fill="CFF0FC" w:val="clear"/>
            <w:vAlign w:val="center"/>
          </w:tcPr>
          <w:p>
            <w:pPr>
              <w:pStyle w:val="TableContents"/>
              <w:bidi w:val="0"/>
              <w:spacing w:before="0" w:after="283"/>
              <w:ind w:left="0" w:right="0" w:firstLine="200"/>
              <w:jc w:val="left"/>
              <w:rPr/>
            </w:pPr>
            <w:r>
              <w:rPr/>
              <w:t> </w:t>
            </w:r>
          </w:p>
        </w:tc>
      </w:tr>
      <w:tr>
        <w:trPr/>
        <w:tc>
          <w:tcPr>
            <w:tcW w:w="2177"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6"/>
              </w:rPr>
              <w:t xml:space="preserve">Issuance of common stock through </w:t>
              <w:br/>
              <w:t xml:space="preserve">   ATM offering, net of commissions </w:t>
              <w:br/>
              <w:t>   and offering costs of $0.8</w:t>
            </w:r>
            <w:r>
              <w:rPr>
                <w:rFonts w:ascii="Times New Roman" w:hAnsi="Times New Roman"/>
                <w:color w:val="000000"/>
                <w:sz w:val="20"/>
              </w:rPr>
              <w:t> </w:t>
            </w:r>
            <w:r>
              <w:rPr>
                <w:rFonts w:ascii="Times New Roman" w:hAnsi="Times New Roman"/>
                <w:color w:val="000000"/>
                <w:sz w:val="16"/>
              </w:rPr>
              <w:t>million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1,794,091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26,203</w:t>
            </w:r>
          </w:p>
        </w:tc>
        <w:tc>
          <w:tcPr>
            <w:tcW w:w="412" w:type="dxa"/>
            <w:tcBorders/>
            <w:shd w:fill="FFFFFF" w:val="clear"/>
            <w:vAlign w:val="center"/>
          </w:tcPr>
          <w:p>
            <w:pPr>
              <w:pStyle w:val="TableContents"/>
              <w:bidi w:val="0"/>
              <w:spacing w:before="0" w:after="283"/>
              <w:ind w:left="0" w:right="0" w:firstLine="200"/>
              <w:jc w:val="left"/>
              <w:rPr/>
            </w:pPr>
            <w:r>
              <w:rPr/>
              <w:t> </w:t>
            </w:r>
          </w:p>
        </w:tc>
      </w:tr>
      <w:tr>
        <w:trPr/>
        <w:tc>
          <w:tcPr>
            <w:tcW w:w="217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7" w:type="dxa"/>
            <w:tcBorders/>
            <w:shd w:fill="CFF0FC" w:val="clear"/>
            <w:vAlign w:val="center"/>
          </w:tcPr>
          <w:p>
            <w:pPr>
              <w:pStyle w:val="TableContents"/>
              <w:bidi w:val="0"/>
              <w:spacing w:before="0" w:after="283"/>
              <w:jc w:val="left"/>
              <w:rPr/>
            </w:pPr>
            <w:r>
              <w:rPr/>
              <w:t> </w:t>
            </w:r>
          </w:p>
        </w:tc>
        <w:tc>
          <w:tcPr>
            <w:tcW w:w="83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82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7,252</w:t>
            </w:r>
          </w:p>
        </w:tc>
        <w:tc>
          <w:tcPr>
            <w:tcW w:w="412" w:type="dxa"/>
            <w:tcBorders/>
            <w:shd w:fill="CFF0FC" w:val="clear"/>
            <w:vAlign w:val="center"/>
          </w:tcPr>
          <w:p>
            <w:pPr>
              <w:pStyle w:val="TableContents"/>
              <w:bidi w:val="0"/>
              <w:spacing w:before="0" w:after="283"/>
              <w:ind w:left="0" w:right="0" w:firstLine="200"/>
              <w:jc w:val="left"/>
              <w:rPr/>
            </w:pPr>
            <w:r>
              <w:rPr/>
              <w:t> </w:t>
            </w:r>
          </w:p>
        </w:tc>
      </w:tr>
      <w:tr>
        <w:trPr/>
        <w:tc>
          <w:tcPr>
            <w:tcW w:w="217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Unrealized loss on available-for-sale</w:t>
              <w:br/>
              <w:t>   investments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w:t>
            </w:r>
          </w:p>
        </w:tc>
        <w:tc>
          <w:tcPr>
            <w:tcW w:w="412"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17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(39,399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(39,399</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177"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June 30, 2024</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52,452,749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720,590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(561,252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159,317</w:t>
            </w:r>
          </w:p>
        </w:tc>
        <w:tc>
          <w:tcPr>
            <w:tcW w:w="412"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17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Issuance of common stock under</w:t>
              <w:br/>
              <w:t>   equity incentive plans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290,355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7" w:type="dxa"/>
            <w:tcBorders/>
            <w:shd w:fill="CFF0FC" w:val="clear"/>
            <w:vAlign w:val="center"/>
          </w:tcPr>
          <w:p>
            <w:pPr>
              <w:pStyle w:val="TableContents"/>
              <w:bidi w:val="0"/>
              <w:spacing w:before="0" w:after="283"/>
              <w:jc w:val="left"/>
              <w:rPr/>
            </w:pPr>
            <w:r>
              <w:rPr/>
              <w:t> </w:t>
            </w:r>
          </w:p>
        </w:tc>
        <w:tc>
          <w:tcPr>
            <w:tcW w:w="83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82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534</w:t>
            </w:r>
          </w:p>
        </w:tc>
        <w:tc>
          <w:tcPr>
            <w:tcW w:w="412" w:type="dxa"/>
            <w:tcBorders/>
            <w:shd w:fill="CFF0FC" w:val="clear"/>
            <w:vAlign w:val="center"/>
          </w:tcPr>
          <w:p>
            <w:pPr>
              <w:pStyle w:val="TableContents"/>
              <w:bidi w:val="0"/>
              <w:spacing w:before="0" w:after="283"/>
              <w:ind w:left="0" w:right="0" w:firstLine="200"/>
              <w:jc w:val="left"/>
              <w:rPr/>
            </w:pPr>
            <w:r>
              <w:rPr/>
              <w:t> </w:t>
            </w:r>
          </w:p>
        </w:tc>
      </w:tr>
      <w:tr>
        <w:trPr/>
        <w:tc>
          <w:tcPr>
            <w:tcW w:w="217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 xml:space="preserve">Issuance of common stock through </w:t>
              <w:br/>
              <w:t xml:space="preserve">   ATM offering, net of commissions </w:t>
              <w:br/>
              <w:t>   and offering costs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w:t>
            </w:r>
          </w:p>
        </w:tc>
        <w:tc>
          <w:tcPr>
            <w:tcW w:w="412" w:type="dxa"/>
            <w:tcBorders/>
            <w:shd w:fill="FFFFFF" w:val="clear"/>
            <w:vAlign w:val="center"/>
          </w:tcPr>
          <w:p>
            <w:pPr>
              <w:pStyle w:val="TableContents"/>
              <w:bidi w:val="0"/>
              <w:spacing w:before="0" w:after="283"/>
              <w:ind w:left="0" w:right="0" w:firstLine="200"/>
              <w:jc w:val="left"/>
              <w:rPr/>
            </w:pPr>
            <w:r>
              <w:rPr/>
              <w:t> </w:t>
            </w:r>
          </w:p>
        </w:tc>
      </w:tr>
      <w:tr>
        <w:trPr/>
        <w:tc>
          <w:tcPr>
            <w:tcW w:w="217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7" w:type="dxa"/>
            <w:tcBorders/>
            <w:shd w:fill="CFF0FC" w:val="clear"/>
            <w:vAlign w:val="center"/>
          </w:tcPr>
          <w:p>
            <w:pPr>
              <w:pStyle w:val="TableContents"/>
              <w:bidi w:val="0"/>
              <w:spacing w:before="0" w:after="283"/>
              <w:jc w:val="left"/>
              <w:rPr/>
            </w:pPr>
            <w:r>
              <w:rPr/>
              <w:t> </w:t>
            </w:r>
          </w:p>
        </w:tc>
        <w:tc>
          <w:tcPr>
            <w:tcW w:w="83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82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6,952</w:t>
            </w:r>
          </w:p>
        </w:tc>
        <w:tc>
          <w:tcPr>
            <w:tcW w:w="412" w:type="dxa"/>
            <w:tcBorders/>
            <w:shd w:fill="CFF0FC" w:val="clear"/>
            <w:vAlign w:val="center"/>
          </w:tcPr>
          <w:p>
            <w:pPr>
              <w:pStyle w:val="TableContents"/>
              <w:bidi w:val="0"/>
              <w:spacing w:before="0" w:after="283"/>
              <w:ind w:left="0" w:right="0" w:firstLine="200"/>
              <w:jc w:val="left"/>
              <w:rPr/>
            </w:pPr>
            <w:r>
              <w:rPr/>
              <w:t> </w:t>
            </w:r>
          </w:p>
        </w:tc>
      </w:tr>
      <w:tr>
        <w:trPr/>
        <w:tc>
          <w:tcPr>
            <w:tcW w:w="217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Unrealized gain on available-for-sale</w:t>
              <w:br/>
              <w:t>   investments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636</w:t>
            </w:r>
          </w:p>
        </w:tc>
        <w:tc>
          <w:tcPr>
            <w:tcW w:w="412" w:type="dxa"/>
            <w:tcBorders/>
            <w:shd w:fill="FFFFFF" w:val="clear"/>
            <w:vAlign w:val="center"/>
          </w:tcPr>
          <w:p>
            <w:pPr>
              <w:pStyle w:val="TableContents"/>
              <w:bidi w:val="0"/>
              <w:spacing w:before="0" w:after="283"/>
              <w:ind w:left="0" w:right="0" w:firstLine="200"/>
              <w:jc w:val="left"/>
              <w:rPr/>
            </w:pPr>
            <w:r>
              <w:rPr/>
              <w:t> </w:t>
            </w:r>
          </w:p>
        </w:tc>
      </w:tr>
      <w:tr>
        <w:trPr/>
        <w:tc>
          <w:tcPr>
            <w:tcW w:w="217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(30,707</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177"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September 30, 2024</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52,743,104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728,150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(591,959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136,807</w:t>
            </w:r>
          </w:p>
        </w:tc>
        <w:tc>
          <w:tcPr>
            <w:tcW w:w="4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76"/>
        <w:gridCol w:w="146"/>
        <w:gridCol w:w="146"/>
        <w:gridCol w:w="916"/>
        <w:gridCol w:w="146"/>
        <w:gridCol w:w="146"/>
        <w:gridCol w:w="249"/>
        <w:gridCol w:w="442"/>
        <w:gridCol w:w="146"/>
        <w:gridCol w:w="146"/>
        <w:gridCol w:w="196"/>
        <w:gridCol w:w="691"/>
        <w:gridCol w:w="146"/>
        <w:gridCol w:w="146"/>
        <w:gridCol w:w="377"/>
        <w:gridCol w:w="839"/>
        <w:gridCol w:w="166"/>
        <w:gridCol w:w="146"/>
        <w:gridCol w:w="217"/>
        <w:gridCol w:w="834"/>
        <w:gridCol w:w="166"/>
        <w:gridCol w:w="146"/>
        <w:gridCol w:w="234"/>
        <w:gridCol w:w="830"/>
        <w:gridCol w:w="412"/>
      </w:tblGrid>
      <w:tr>
        <w:trPr/>
        <w:tc>
          <w:tcPr>
            <w:tcW w:w="2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21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4"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412" w:type="dxa"/>
            <w:tcBorders/>
            <w:shd w:fill="FFFFFF" w:val="clear"/>
            <w:vAlign w:val="center"/>
          </w:tcPr>
          <w:p>
            <w:pPr>
              <w:pStyle w:val="TableContents"/>
              <w:bidi w:val="0"/>
              <w:spacing w:before="0" w:after="283"/>
              <w:jc w:val="center"/>
              <w:rPr/>
            </w:pPr>
            <w:r>
              <w:rPr/>
              <w:t> </w:t>
            </w:r>
          </w:p>
        </w:tc>
      </w:tr>
      <w:tr>
        <w:trPr/>
        <w:tc>
          <w:tcPr>
            <w:tcW w:w="21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7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40,861,386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589,735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(845</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(325,467</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263,464</w:t>
            </w:r>
          </w:p>
        </w:tc>
        <w:tc>
          <w:tcPr>
            <w:tcW w:w="412" w:type="dxa"/>
            <w:tcBorders/>
            <w:shd w:fill="CFF0FC" w:val="clear"/>
            <w:vAlign w:val="center"/>
          </w:tcPr>
          <w:p>
            <w:pPr>
              <w:pStyle w:val="TableContents"/>
              <w:bidi w:val="0"/>
              <w:spacing w:before="0" w:after="283"/>
              <w:ind w:left="0" w:right="0" w:firstLine="200"/>
              <w:jc w:val="left"/>
              <w:rPr/>
            </w:pPr>
            <w:r>
              <w:rPr/>
              <w:t> </w:t>
            </w:r>
          </w:p>
        </w:tc>
      </w:tr>
      <w:tr>
        <w:trPr/>
        <w:tc>
          <w:tcPr>
            <w:tcW w:w="21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Issuance of common stock under</w:t>
              <w:br/>
              <w:t>   equity incentive plans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7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color w:val="000000"/>
              </w:rPr>
            </w:pPr>
            <w:r>
              <w:rPr>
                <w:color w:val="000000"/>
              </w:rPr>
              <w:t>—</w:t>
            </w:r>
          </w:p>
        </w:tc>
        <w:tc>
          <w:tcPr>
            <w:tcW w:w="412" w:type="dxa"/>
            <w:tcBorders/>
            <w:shd w:fill="FFFFFF" w:val="clear"/>
            <w:vAlign w:val="center"/>
          </w:tcPr>
          <w:p>
            <w:pPr>
              <w:pStyle w:val="TableContents"/>
              <w:bidi w:val="0"/>
              <w:spacing w:before="0" w:after="283"/>
              <w:ind w:left="0" w:right="0" w:firstLine="200"/>
              <w:jc w:val="left"/>
              <w:rPr/>
            </w:pPr>
            <w:r>
              <w:rPr/>
              <w:t> </w:t>
            </w:r>
          </w:p>
        </w:tc>
      </w:tr>
      <w:tr>
        <w:trPr/>
        <w:tc>
          <w:tcPr>
            <w:tcW w:w="217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77" w:type="dxa"/>
            <w:tcBorders/>
            <w:shd w:fill="CFF0FC" w:val="clear"/>
            <w:vAlign w:val="center"/>
          </w:tcPr>
          <w:p>
            <w:pPr>
              <w:pStyle w:val="TableContents"/>
              <w:bidi w:val="0"/>
              <w:spacing w:before="0" w:after="283"/>
              <w:jc w:val="left"/>
              <w:rPr/>
            </w:pPr>
            <w:r>
              <w:rPr/>
              <w:t> </w:t>
            </w:r>
          </w:p>
        </w:tc>
        <w:tc>
          <w:tcPr>
            <w:tcW w:w="83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83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6,351</w:t>
            </w:r>
          </w:p>
        </w:tc>
        <w:tc>
          <w:tcPr>
            <w:tcW w:w="412" w:type="dxa"/>
            <w:tcBorders/>
            <w:shd w:fill="CFF0FC" w:val="clear"/>
            <w:vAlign w:val="center"/>
          </w:tcPr>
          <w:p>
            <w:pPr>
              <w:pStyle w:val="TableContents"/>
              <w:bidi w:val="0"/>
              <w:spacing w:before="0" w:after="283"/>
              <w:ind w:left="0" w:right="0" w:firstLine="200"/>
              <w:jc w:val="left"/>
              <w:rPr/>
            </w:pPr>
            <w:r>
              <w:rPr/>
              <w:t> </w:t>
            </w:r>
          </w:p>
        </w:tc>
      </w:tr>
      <w:tr>
        <w:trPr/>
        <w:tc>
          <w:tcPr>
            <w:tcW w:w="21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Unrealized gain on available-for-sale</w:t>
              <w:br/>
              <w:t>   investments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7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757</w:t>
            </w:r>
          </w:p>
        </w:tc>
        <w:tc>
          <w:tcPr>
            <w:tcW w:w="412" w:type="dxa"/>
            <w:tcBorders/>
            <w:shd w:fill="FFFFFF" w:val="clear"/>
            <w:vAlign w:val="center"/>
          </w:tcPr>
          <w:p>
            <w:pPr>
              <w:pStyle w:val="TableContents"/>
              <w:bidi w:val="0"/>
              <w:spacing w:before="0" w:after="283"/>
              <w:ind w:left="0" w:right="0" w:firstLine="200"/>
              <w:jc w:val="left"/>
              <w:rPr/>
            </w:pPr>
            <w:r>
              <w:rPr/>
              <w:t> </w:t>
            </w:r>
          </w:p>
        </w:tc>
      </w:tr>
      <w:tr>
        <w:trPr/>
        <w:tc>
          <w:tcPr>
            <w:tcW w:w="217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(30,184</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17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March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40,863,049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596,086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(355,651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240,388</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17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Issuance of common stock under</w:t>
              <w:br/>
              <w:t>   equity incentive plans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76,210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77" w:type="dxa"/>
            <w:tcBorders/>
            <w:shd w:fill="CFF0FC" w:val="clear"/>
            <w:vAlign w:val="center"/>
          </w:tcPr>
          <w:p>
            <w:pPr>
              <w:pStyle w:val="TableContents"/>
              <w:bidi w:val="0"/>
              <w:spacing w:before="0" w:after="283"/>
              <w:jc w:val="left"/>
              <w:rPr/>
            </w:pPr>
            <w:r>
              <w:rPr/>
              <w:t> </w:t>
            </w:r>
          </w:p>
        </w:tc>
        <w:tc>
          <w:tcPr>
            <w:tcW w:w="83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83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w:t>
            </w:r>
          </w:p>
        </w:tc>
        <w:tc>
          <w:tcPr>
            <w:tcW w:w="412" w:type="dxa"/>
            <w:tcBorders/>
            <w:shd w:fill="CFF0FC" w:val="clear"/>
            <w:vAlign w:val="center"/>
          </w:tcPr>
          <w:p>
            <w:pPr>
              <w:pStyle w:val="TableContents"/>
              <w:bidi w:val="0"/>
              <w:spacing w:before="0" w:after="283"/>
              <w:ind w:left="0" w:right="0" w:firstLine="200"/>
              <w:jc w:val="left"/>
              <w:rPr/>
            </w:pPr>
            <w:r>
              <w:rPr/>
              <w:t> </w:t>
            </w:r>
          </w:p>
        </w:tc>
      </w:tr>
      <w:tr>
        <w:trPr/>
        <w:tc>
          <w:tcPr>
            <w:tcW w:w="21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Issuance of common stock under</w:t>
              <w:br/>
              <w:t>   employee stock purchase plan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52,920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7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338</w:t>
            </w:r>
          </w:p>
        </w:tc>
        <w:tc>
          <w:tcPr>
            <w:tcW w:w="412" w:type="dxa"/>
            <w:tcBorders/>
            <w:shd w:fill="FFFFFF" w:val="clear"/>
            <w:vAlign w:val="center"/>
          </w:tcPr>
          <w:p>
            <w:pPr>
              <w:pStyle w:val="TableContents"/>
              <w:bidi w:val="0"/>
              <w:spacing w:before="0" w:after="283"/>
              <w:ind w:left="0" w:right="0" w:firstLine="200"/>
              <w:jc w:val="left"/>
              <w:rPr/>
            </w:pPr>
            <w:r>
              <w:rPr/>
              <w:t> </w:t>
            </w:r>
          </w:p>
        </w:tc>
      </w:tr>
      <w:tr>
        <w:trPr/>
        <w:tc>
          <w:tcPr>
            <w:tcW w:w="217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77" w:type="dxa"/>
            <w:tcBorders/>
            <w:shd w:fill="CFF0FC" w:val="clear"/>
            <w:vAlign w:val="center"/>
          </w:tcPr>
          <w:p>
            <w:pPr>
              <w:pStyle w:val="TableContents"/>
              <w:bidi w:val="0"/>
              <w:spacing w:before="0" w:after="283"/>
              <w:jc w:val="left"/>
              <w:rPr/>
            </w:pPr>
            <w:r>
              <w:rPr/>
              <w:t> </w:t>
            </w:r>
          </w:p>
        </w:tc>
        <w:tc>
          <w:tcPr>
            <w:tcW w:w="83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83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6,237</w:t>
            </w:r>
          </w:p>
        </w:tc>
        <w:tc>
          <w:tcPr>
            <w:tcW w:w="412" w:type="dxa"/>
            <w:tcBorders/>
            <w:shd w:fill="CFF0FC" w:val="clear"/>
            <w:vAlign w:val="center"/>
          </w:tcPr>
          <w:p>
            <w:pPr>
              <w:pStyle w:val="TableContents"/>
              <w:bidi w:val="0"/>
              <w:spacing w:before="0" w:after="283"/>
              <w:ind w:left="0" w:right="0" w:firstLine="200"/>
              <w:jc w:val="left"/>
              <w:rPr/>
            </w:pPr>
            <w:r>
              <w:rPr/>
              <w:t> </w:t>
            </w:r>
          </w:p>
        </w:tc>
      </w:tr>
      <w:tr>
        <w:trPr/>
        <w:tc>
          <w:tcPr>
            <w:tcW w:w="21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Unrealized loss on available-for-sale</w:t>
              <w:br/>
              <w:t>   investments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7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w:t>
            </w:r>
          </w:p>
        </w:tc>
        <w:tc>
          <w:tcPr>
            <w:tcW w:w="412"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17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(34,159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(34,159</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17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June 30,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40,992,179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602,773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(389,810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212,692</w:t>
            </w:r>
          </w:p>
        </w:tc>
        <w:tc>
          <w:tcPr>
            <w:tcW w:w="412"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17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Issuance of common stock under</w:t>
              <w:br/>
              <w:t>   equity incentive plans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159,640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77" w:type="dxa"/>
            <w:tcBorders/>
            <w:shd w:fill="CFF0FC" w:val="clear"/>
            <w:vAlign w:val="center"/>
          </w:tcPr>
          <w:p>
            <w:pPr>
              <w:pStyle w:val="TableContents"/>
              <w:bidi w:val="0"/>
              <w:spacing w:before="0" w:after="283"/>
              <w:jc w:val="left"/>
              <w:rPr/>
            </w:pPr>
            <w:r>
              <w:rPr/>
              <w:t> </w:t>
            </w:r>
          </w:p>
        </w:tc>
        <w:tc>
          <w:tcPr>
            <w:tcW w:w="83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830" w:type="dxa"/>
            <w:tcBorders/>
            <w:shd w:fill="CFF0FC" w:val="clear"/>
            <w:vAlign w:val="center"/>
          </w:tcPr>
          <w:p>
            <w:pPr>
              <w:pStyle w:val="TableContents"/>
              <w:bidi w:val="0"/>
              <w:spacing w:before="0" w:after="283"/>
              <w:jc w:val="right"/>
              <w:rPr>
                <w:color w:val="000000"/>
              </w:rPr>
            </w:pPr>
            <w:r>
              <w:rPr>
                <w:color w:val="000000"/>
              </w:rPr>
              <w:t>—</w:t>
            </w:r>
          </w:p>
        </w:tc>
        <w:tc>
          <w:tcPr>
            <w:tcW w:w="412" w:type="dxa"/>
            <w:tcBorders/>
            <w:shd w:fill="CFF0FC" w:val="clear"/>
            <w:vAlign w:val="center"/>
          </w:tcPr>
          <w:p>
            <w:pPr>
              <w:pStyle w:val="TableContents"/>
              <w:bidi w:val="0"/>
              <w:spacing w:before="0" w:after="283"/>
              <w:ind w:left="0" w:right="0" w:firstLine="200"/>
              <w:jc w:val="left"/>
              <w:rPr/>
            </w:pPr>
            <w:r>
              <w:rPr/>
              <w:t> </w:t>
            </w:r>
          </w:p>
        </w:tc>
      </w:tr>
      <w:tr>
        <w:trPr/>
        <w:tc>
          <w:tcPr>
            <w:tcW w:w="21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7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6,964</w:t>
            </w:r>
          </w:p>
        </w:tc>
        <w:tc>
          <w:tcPr>
            <w:tcW w:w="412" w:type="dxa"/>
            <w:tcBorders/>
            <w:shd w:fill="FFFFFF" w:val="clear"/>
            <w:vAlign w:val="center"/>
          </w:tcPr>
          <w:p>
            <w:pPr>
              <w:pStyle w:val="TableContents"/>
              <w:bidi w:val="0"/>
              <w:spacing w:before="0" w:after="283"/>
              <w:ind w:left="0" w:right="0" w:firstLine="200"/>
              <w:jc w:val="left"/>
              <w:rPr/>
            </w:pPr>
            <w:r>
              <w:rPr/>
              <w:t> </w:t>
            </w:r>
          </w:p>
        </w:tc>
      </w:tr>
      <w:tr>
        <w:trPr/>
        <w:tc>
          <w:tcPr>
            <w:tcW w:w="217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Unrealized gain on available-for-sale</w:t>
              <w:br/>
              <w:t>   investments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77" w:type="dxa"/>
            <w:tcBorders/>
            <w:shd w:fill="CFF0FC" w:val="clear"/>
            <w:vAlign w:val="center"/>
          </w:tcPr>
          <w:p>
            <w:pPr>
              <w:pStyle w:val="TableContents"/>
              <w:bidi w:val="0"/>
              <w:spacing w:before="0" w:after="283"/>
              <w:jc w:val="left"/>
              <w:rPr/>
            </w:pPr>
            <w:r>
              <w:rPr/>
              <w:t> </w:t>
            </w:r>
          </w:p>
        </w:tc>
        <w:tc>
          <w:tcPr>
            <w:tcW w:w="83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83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w:t>
            </w:r>
          </w:p>
        </w:tc>
        <w:tc>
          <w:tcPr>
            <w:tcW w:w="412" w:type="dxa"/>
            <w:tcBorders/>
            <w:shd w:fill="CFF0FC" w:val="clear"/>
            <w:vAlign w:val="center"/>
          </w:tcPr>
          <w:p>
            <w:pPr>
              <w:pStyle w:val="TableContents"/>
              <w:bidi w:val="0"/>
              <w:spacing w:before="0" w:after="283"/>
              <w:ind w:left="0" w:right="0" w:firstLine="200"/>
              <w:jc w:val="left"/>
              <w:rPr/>
            </w:pPr>
            <w:r>
              <w:rPr/>
              <w:t> </w:t>
            </w:r>
          </w:p>
        </w:tc>
      </w:tr>
      <w:tr>
        <w:trPr/>
        <w:tc>
          <w:tcPr>
            <w:tcW w:w="21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(50,990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(50,990</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17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September 30,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41,151,819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609,737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(440,800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168,752</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See accompanying notes to these condensed consolidated financial statements (unaudited).</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ALX ONCOLOGY HOLDINGS INC.</w:t>
      </w:r>
    </w:p>
    <w:p>
      <w:pPr>
        <w:pStyle w:val="TextBody"/>
        <w:bidi w:val="0"/>
        <w:jc w:val="center"/>
        <w:rPr>
          <w:rFonts w:ascii="Times New Roman" w:hAnsi="Times New Roman"/>
          <w:b/>
          <w:color w:val="000000"/>
          <w:sz w:val="20"/>
        </w:rPr>
      </w:pPr>
      <w:bookmarkStart w:id="9" w:name="part1_item1_cf"/>
      <w:bookmarkEnd w:id="9"/>
      <w:r>
        <w:rPr>
          <w:rFonts w:ascii="Times New Roman" w:hAnsi="Times New Roman"/>
          <w:b/>
          <w:color w:val="000000"/>
          <w:sz w:val="20"/>
        </w:rPr>
        <w:t>Condensed Consolidated Statements of Cash Flows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(in thousands)</w:t>
      </w:r>
    </w:p>
    <w:p>
      <w:pPr>
        <w:pStyle w:val="TextBody"/>
        <w:bidi w:val="0"/>
        <w:jc w:val="left"/>
        <w:rPr/>
      </w:pPr>
      <w:r>
        <w:rPr/>
        <w:t> </w:t>
      </w:r>
    </w:p>
    <w:tbl>
      <w:tblPr>
        <w:tblW w:w="9334" w:type="dxa"/>
        <w:jc w:val="left"/>
        <w:tblInd w:w="0" w:type="dxa"/>
        <w:tblLayout w:type="fixed"/>
        <w:tblCellMar>
          <w:top w:w="28" w:type="dxa"/>
          <w:left w:w="28" w:type="dxa"/>
          <w:bottom w:w="28" w:type="dxa"/>
          <w:right w:w="28" w:type="dxa"/>
        </w:tblCellMar>
      </w:tblPr>
      <w:tblGrid>
        <w:gridCol w:w="6171"/>
        <w:gridCol w:w="146"/>
        <w:gridCol w:w="196"/>
        <w:gridCol w:w="751"/>
        <w:gridCol w:w="166"/>
        <w:gridCol w:w="146"/>
        <w:gridCol w:w="196"/>
        <w:gridCol w:w="751"/>
        <w:gridCol w:w="811"/>
      </w:tblGrid>
      <w:tr>
        <w:trPr/>
        <w:tc>
          <w:tcPr>
            <w:tcW w:w="6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1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811" w:type="dxa"/>
            <w:tcBorders/>
            <w:shd w:fill="FFFFFF" w:val="clear"/>
            <w:vAlign w:val="center"/>
          </w:tcPr>
          <w:p>
            <w:pPr>
              <w:pStyle w:val="TableContents"/>
              <w:bidi w:val="0"/>
              <w:spacing w:before="0" w:after="283"/>
              <w:jc w:val="center"/>
              <w:rPr/>
            </w:pPr>
            <w:r>
              <w:rPr/>
              <w:t> </w:t>
            </w:r>
          </w:p>
        </w:tc>
      </w:tr>
      <w:tr>
        <w:trPr/>
        <w:tc>
          <w:tcPr>
            <w:tcW w:w="61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71"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Operating activities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jc w:val="right"/>
              <w:rPr/>
            </w:pPr>
            <w:r>
              <w:rPr/>
              <w:t> </w:t>
            </w:r>
          </w:p>
        </w:tc>
      </w:tr>
      <w:tr>
        <w:trPr/>
        <w:tc>
          <w:tcPr>
            <w:tcW w:w="61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(105,687</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(115,333</w:t>
            </w:r>
          </w:p>
        </w:tc>
        <w:tc>
          <w:tcPr>
            <w:tcW w:w="8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1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Adjustments to reconcile net loss to 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ind w:left="0" w:right="0" w:firstLine="200"/>
              <w:jc w:val="right"/>
              <w:rPr/>
            </w:pPr>
            <w:r>
              <w:rPr/>
              <w:t> </w:t>
            </w:r>
          </w:p>
        </w:tc>
      </w:tr>
      <w:tr>
        <w:trPr/>
        <w:tc>
          <w:tcPr>
            <w:tcW w:w="61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629</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61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Non-cash lease costs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920</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61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19,552</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61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accretion of discounts on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(3,920</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(4,606</w:t>
            </w:r>
          </w:p>
        </w:tc>
        <w:tc>
          <w:tcPr>
            <w:tcW w:w="8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1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Accretion of term loan discount and issuance costs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61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Loss on disposal of fixed asset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61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Changes in operating assets and liabilities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ind w:left="0" w:right="0" w:firstLine="400"/>
              <w:jc w:val="right"/>
              <w:rPr/>
            </w:pPr>
            <w:r>
              <w:rPr/>
              <w:t> </w:t>
            </w:r>
          </w:p>
        </w:tc>
      </w:tr>
      <w:tr>
        <w:trPr/>
        <w:tc>
          <w:tcPr>
            <w:tcW w:w="617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(1,418</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(4,310</w:t>
            </w:r>
          </w:p>
        </w:tc>
        <w:tc>
          <w:tcPr>
            <w:tcW w:w="811" w:type="dxa"/>
            <w:tcBorders/>
            <w:shd w:fill="CFF0FC"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17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Other assets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4,215</w:t>
            </w:r>
          </w:p>
        </w:tc>
        <w:tc>
          <w:tcPr>
            <w:tcW w:w="811" w:type="dxa"/>
            <w:tcBorders/>
            <w:shd w:fill="FFFFFF" w:val="clear"/>
            <w:vAlign w:val="center"/>
          </w:tcPr>
          <w:p>
            <w:pPr>
              <w:pStyle w:val="TableContents"/>
              <w:bidi w:val="0"/>
              <w:spacing w:before="0" w:after="283"/>
              <w:ind w:left="0" w:right="0" w:firstLine="400"/>
              <w:jc w:val="left"/>
              <w:rPr/>
            </w:pPr>
            <w:r>
              <w:rPr/>
              <w:t> </w:t>
            </w:r>
          </w:p>
        </w:tc>
      </w:tr>
      <w:tr>
        <w:trPr/>
        <w:tc>
          <w:tcPr>
            <w:tcW w:w="617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(637</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4,942</w:t>
            </w:r>
          </w:p>
        </w:tc>
        <w:tc>
          <w:tcPr>
            <w:tcW w:w="811" w:type="dxa"/>
            <w:tcBorders/>
            <w:shd w:fill="CFF0FC" w:val="clear"/>
            <w:vAlign w:val="center"/>
          </w:tcPr>
          <w:p>
            <w:pPr>
              <w:pStyle w:val="TableContents"/>
              <w:bidi w:val="0"/>
              <w:spacing w:before="0" w:after="283"/>
              <w:ind w:left="0" w:right="0" w:firstLine="400"/>
              <w:jc w:val="left"/>
              <w:rPr/>
            </w:pPr>
            <w:r>
              <w:rPr/>
              <w:t> </w:t>
            </w:r>
          </w:p>
        </w:tc>
      </w:tr>
      <w:tr>
        <w:trPr/>
        <w:tc>
          <w:tcPr>
            <w:tcW w:w="617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Payable and accrued liabilities due to related party</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(480</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(1,385</w:t>
            </w:r>
          </w:p>
        </w:tc>
        <w:tc>
          <w:tcPr>
            <w:tcW w:w="811" w:type="dxa"/>
            <w:tcBorders/>
            <w:shd w:fill="FFFFFF"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17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Accrued expenses and other current liabilities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(1,730</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6,491</w:t>
            </w:r>
          </w:p>
        </w:tc>
        <w:tc>
          <w:tcPr>
            <w:tcW w:w="811" w:type="dxa"/>
            <w:tcBorders/>
            <w:shd w:fill="CFF0FC" w:val="clear"/>
            <w:vAlign w:val="center"/>
          </w:tcPr>
          <w:p>
            <w:pPr>
              <w:pStyle w:val="TableContents"/>
              <w:bidi w:val="0"/>
              <w:spacing w:before="0" w:after="283"/>
              <w:ind w:left="0" w:right="0" w:firstLine="400"/>
              <w:jc w:val="left"/>
              <w:rPr/>
            </w:pPr>
            <w:r>
              <w:rPr/>
              <w:t> </w:t>
            </w:r>
          </w:p>
        </w:tc>
      </w:tr>
      <w:tr>
        <w:trPr/>
        <w:tc>
          <w:tcPr>
            <w:tcW w:w="617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Other non-current liabilities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(1,987</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6171"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6"/>
              </w:rPr>
            </w:pPr>
            <w:r>
              <w:rPr>
                <w:rFonts w:ascii="Times New Roman" w:hAnsi="Times New Roman"/>
                <w:color w:val="000000"/>
                <w:sz w:val="16"/>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(89,866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(90,686</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17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Investing activities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ind w:left="0" w:right="0" w:firstLine="200"/>
              <w:jc w:val="right"/>
              <w:rPr/>
            </w:pPr>
            <w:r>
              <w:rPr/>
              <w:t> </w:t>
            </w:r>
          </w:p>
        </w:tc>
      </w:tr>
      <w:tr>
        <w:trPr/>
        <w:tc>
          <w:tcPr>
            <w:tcW w:w="61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Purchase of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(102,962</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(171,619</w:t>
            </w:r>
          </w:p>
        </w:tc>
        <w:tc>
          <w:tcPr>
            <w:tcW w:w="8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1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Maturities of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156,422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234,068</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61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Purchase of property and equipment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(387</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(1,126</w:t>
            </w:r>
          </w:p>
        </w:tc>
        <w:tc>
          <w:tcPr>
            <w:tcW w:w="8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1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cash provided by investing activities</w:t>
            </w:r>
          </w:p>
        </w:tc>
        <w:tc>
          <w:tcPr>
            <w:tcW w:w="146" w:type="dxa"/>
            <w:tcBorders/>
            <w:shd w:fill="FFFFFF" w:val="cle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53,073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61,323</w:t>
            </w:r>
          </w:p>
        </w:tc>
        <w:tc>
          <w:tcPr>
            <w:tcW w:w="8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6171"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Financing activities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ind w:left="0" w:right="0" w:firstLine="200"/>
              <w:jc w:val="right"/>
              <w:rPr/>
            </w:pPr>
            <w:r>
              <w:rPr/>
              <w:t> </w:t>
            </w:r>
          </w:p>
        </w:tc>
      </w:tr>
      <w:tr>
        <w:trPr/>
        <w:tc>
          <w:tcPr>
            <w:tcW w:w="6171"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6"/>
              </w:rPr>
              <w:t>Proceeds from ATM offering, net of commissions and offering costs of $0.8</w:t>
            </w:r>
            <w:r>
              <w:rPr>
                <w:rFonts w:ascii="Times New Roman" w:hAnsi="Times New Roman"/>
                <w:color w:val="000000"/>
                <w:sz w:val="20"/>
              </w:rPr>
              <w:t> </w:t>
            </w:r>
            <w:r>
              <w:rPr>
                <w:rFonts w:ascii="Times New Roman" w:hAnsi="Times New Roman"/>
                <w:color w:val="000000"/>
                <w:sz w:val="16"/>
              </w:rPr>
              <w:t>million</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61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Proceeds from exercise of stock options under equity incentive plan</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61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Proceeds from issuance of common stock under employee stock purchase plan</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338</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61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Principal payments on finance leases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(751</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w:t>
            </w:r>
          </w:p>
        </w:tc>
        <w:tc>
          <w:tcPr>
            <w:tcW w:w="8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1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cash provided by financing activities</w:t>
            </w:r>
          </w:p>
        </w:tc>
        <w:tc>
          <w:tcPr>
            <w:tcW w:w="146" w:type="dxa"/>
            <w:tcBorders/>
            <w:shd w:fill="FFFFFF" w:val="cle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30,489</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w:t>
            </w:r>
          </w:p>
        </w:tc>
        <w:tc>
          <w:tcPr>
            <w:tcW w:w="8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61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decrease in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(6,304</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(29,238</w:t>
            </w:r>
          </w:p>
        </w:tc>
        <w:tc>
          <w:tcPr>
            <w:tcW w:w="8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1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cash equivalents and restricted cash at beginning of year</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48,888</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cash equivalents and restricted cash at end of period</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19,650</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jc w:val="right"/>
              <w:rPr/>
            </w:pPr>
            <w:r>
              <w:rPr/>
              <w:t> </w:t>
            </w:r>
          </w:p>
        </w:tc>
      </w:tr>
      <w:tr>
        <w:trPr/>
        <w:tc>
          <w:tcPr>
            <w:tcW w:w="6171"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disclosure of non-cash investing and financing activities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ind w:left="0" w:right="0" w:firstLine="200"/>
              <w:jc w:val="right"/>
              <w:rPr/>
            </w:pPr>
            <w:r>
              <w:rPr/>
              <w:t> </w:t>
            </w:r>
          </w:p>
        </w:tc>
      </w:tr>
      <w:tr>
        <w:trPr/>
        <w:tc>
          <w:tcPr>
            <w:tcW w:w="61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Purchase of property and equipment in accounts payable and accrued expenses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1,376</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61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Right-of-use asset acquired under finance leases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1,187</w:t>
            </w:r>
          </w:p>
        </w:tc>
        <w:tc>
          <w:tcPr>
            <w:tcW w:w="811" w:type="dxa"/>
            <w:tcBorders/>
            <w:shd w:fill="CFF0FC" w:val="clear"/>
            <w:vAlign w:val="center"/>
          </w:tcPr>
          <w:p>
            <w:pPr>
              <w:pStyle w:val="TableContents"/>
              <w:bidi w:val="0"/>
              <w:spacing w:before="0" w:after="283"/>
              <w:jc w:val="left"/>
              <w:rPr/>
            </w:pPr>
            <w:r>
              <w:rPr/>
              <w:t> </w:t>
            </w:r>
          </w:p>
        </w:tc>
      </w:tr>
      <w:tr>
        <w:trPr/>
        <w:tc>
          <w:tcPr>
            <w:tcW w:w="61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left"/>
              <w:rPr/>
            </w:pPr>
            <w:r>
              <w:rPr/>
              <w:t> </w:t>
            </w:r>
          </w:p>
        </w:tc>
      </w:tr>
      <w:tr>
        <w:trPr/>
        <w:tc>
          <w:tcPr>
            <w:tcW w:w="6171"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Reconciliation of cash and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61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19,584</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61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Restricted cash (included in other assets)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7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cash and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19,650</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See accompanying notes to these condensed consolidated financial statements (unaudited).</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ALX ONCOLOGY HOLDINGS INC.</w:t>
      </w:r>
    </w:p>
    <w:p>
      <w:pPr>
        <w:pStyle w:val="TextBody"/>
        <w:bidi w:val="0"/>
        <w:jc w:val="center"/>
        <w:rPr>
          <w:rFonts w:ascii="Times New Roman" w:hAnsi="Times New Roman"/>
          <w:b/>
          <w:color w:val="000000"/>
          <w:sz w:val="20"/>
        </w:rPr>
      </w:pPr>
      <w:bookmarkStart w:id="10" w:name="part1_item1_notes"/>
      <w:bookmarkEnd w:id="10"/>
      <w:r>
        <w:rPr>
          <w:rFonts w:ascii="Times New Roman" w:hAnsi="Times New Roman"/>
          <w:b/>
          <w:color w:val="000000"/>
          <w:sz w:val="20"/>
        </w:rPr>
        <w:t>Notes to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 ORGANIZATION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Organization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ALX Oncology Holdings Inc., or the Company, was formed as a Delaware corporation on April 1, 2020, or Inception. The Company was formed for the purpose of completing the Company’s initial public offering of its common stock and related transactions in order to carry on the business of ALX Oncology Limited. The Company is a clinical-stage immuno-oncology company focused on helping patients fight cancer by developing therapies that block the CD47 checkpoint pathway and bridge the innate and adaptive immune system.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ALX Oncology Holdings Inc. is incorporated in Delaware. ALX Oncology Limited, incorporated in Ireland, is a wholly-owned subsidiary of ALX Oncology Holdings Inc. ALX Oncology Inc., incorporated in Delaware, is a wholly-owned subsidiary of ALX Oncology Limited. All the companies, except for ALX Oncology Holdings Inc., are collectively known as the Subsidiaries.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2024, the Company has devoted substantially all of its efforts to the formation and financing of the Company, as well as product development, and has not realized product revenues from its planned principal operations. The Company does not have manufacturing facilities and all manufacturing related activities are contracted out to third-party service providers.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expects to incur additional losses in the future to conduct product candidate research and development and to conduct pre-commercialization activities and recognizes that the Company will likely raise additional capital to fully implement its business plan. The Company intends to raise such capital through the sale of additional equity, debt financings and/or strategic alliances with third parties. However, there can be no assurance that the Company will be successful in acquiring additional funding at levels sufficient to fund its operations or on terms acceptable to the Company. If the Company is unsuccessful in its efforts to raise additional financing, the Company could be required to significantly reduce operating expenses and delay, reduce the scope of or eliminate some of its development programs or its future commercialization efforts, out-license intellectual property rights to its product candidates and sell unsecured assets, or a combination of the above, any of which may have a material adverse effect on the Company’s business, results of operations, financial condition and/or its ability to fund its scheduled obligations on a timely basis or at all. The Company believes that the existing capital resources will be sufficient to fund the projected operating requirements for at least the next twelve months.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 SIGNIFICANT ACCOUNTING POLICIES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Basis of Preparation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unaudited condensed consolidated financial statements have been prepared in accordance with generally accepted accounting principles in the United States, or U.S. GAAP, and applicable rules and regulations of the Securities and Exchange Commission, or SEC, regarding interim financial reporting. Certain information and note disclosures normally included in the financial statements prepared in accordance with U.S. GAAP have been condensed or omitted pursuant to such rules and regulations. As such, the information included in this Quarterly Report on Form 10-Q should be read in conjunction with the consolidated financial statements and accompanying notes included in the Annual Report on Form 10-K for the year ended December 31, 2023 filed with the SEC on March 7,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condensed consolidated balance sheet as of September 30, 2024 included herein was derived from the audited financial statements as of that date, but does not include all disclosures including notes required by U.S. GAAP.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condensed consolidated financial statements reflect all normal recurring adjustments that are necessary to present fairly the results for the interim periods presented. Interim results are not necessarily indicative of the results for the full year ending December 31, 2024.</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Principles of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intercompany balances and transactions have been eliminated in consolidation.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the condensed consolidated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periods. On an ongoing basis, management evaluates its estimates, including, but not limited to, those related to the estimated useful lives of long-lived assets, clinical trial accruals, fair value of assets and liabilities, fair value of investments and stock-based compensation. Management bases its estimates on historical experience and on various other market-specific and relevant assumptions that management believes to be reasonable under the circumstances. Actual results could differ from those estimates.</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Significant Accounting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new or material changes to the significant accounting policies discussed in the Company’s Annual Report on Form 10-K for the year ended December 31, 2023.</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August 2020, the FASB issued ASU 2020-06, Debt - Debt with Conversion and Other Options (Subtopic 470-20) and Derivatives and Hedging - Contracts in Entity’s Own Equity (Subtopic 815-40) (ASU 2020-06). ASU 2020-06 eliminates the beneficial conversion and cash conversion accounting models for convertible instruments. It also amends the accounting for certain contracts in an entity’s own equity that are currently accounted for as derivatives because of specific settlement provisions. The new guidance also modifies how particular convertible instruments and certain contracts that may be settled in cash or shares impact the diluted EPS computation. ASU 2020-06 is effective for annual periods beginning after December 15, 2023, including interim periods within those annual periods. Early adoption is permitted. ASU 2020-06 allows companies to adopt the guidance through either a modified retrospective method of transition or a fully retrospective method of transition. The Company’s adoption of ASU 2020-06 on January 1, 2024 did not have an impact on its condensed consolidated financial statements and related disclosures.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November 2023, the FASB issued ASU 2023-07, Segment Reporting (Topic 280): Improvements to Reportable Segment Disclosures (ASU 2023-07). The amendments in ASU 2023-07 are intended to improve reportable segment disclosure, primarily through enhanced disclosures about significant segment expenses. ASU 2023-07 is effective for annual periods beginning after December 15, 2023, and interim periods beginning after December 15, 2024. The amendments in this ASU should be applied retrospectively to all prior periods presented in the financial statements. Early adoption is permitted. The Company is evaluating the impact of this guidance on its consolidated financial statements and related disclosures.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2023, the FASB issued ASU 2023-09, Income Taxes (Topic 740): Improvements to Income Tax Disclosures (ASU 2023-09). ASU 2023-09 requires enhanced annual disclosures regarding the rate reconciliation and income taxes paid information. ASU 2023-09 is effective for annual periods beginning after December 15, 2024 and may be adopted on a prospective or retrospective basis. Early adoption is permitted. The Company is evaluating the impact of this guidance on its consolidated financial statements and related disclosures.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(3) FAIR VALUE OF FINANCIAL INSTRUMENTS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of the Company’s financial assets and liabilities are determined in accordance with the fair value hierarchy established in ASC 820, Fair Value Measurements and Disclosures.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presents the Company’s investments, which consist of cash equivalents and investments classified as available-for-sale investments, that are measured at fair value on a recurring basis by level within the fair value hierarchy as of September 30, 2024 and December 31, 2023 (in thousands):</w:t>
      </w:r>
    </w:p>
    <w:tbl>
      <w:tblPr>
        <w:tblW w:w="10205" w:type="dxa"/>
        <w:jc w:val="left"/>
        <w:tblInd w:w="0" w:type="dxa"/>
        <w:tblLayout w:type="fixed"/>
        <w:tblCellMar>
          <w:top w:w="28" w:type="dxa"/>
          <w:left w:w="28" w:type="dxa"/>
          <w:bottom w:w="28" w:type="dxa"/>
          <w:right w:w="28" w:type="dxa"/>
        </w:tblCellMar>
      </w:tblPr>
      <w:tblGrid>
        <w:gridCol w:w="2513"/>
        <w:gridCol w:w="146"/>
        <w:gridCol w:w="1010"/>
        <w:gridCol w:w="146"/>
        <w:gridCol w:w="270"/>
        <w:gridCol w:w="1008"/>
        <w:gridCol w:w="146"/>
        <w:gridCol w:w="146"/>
        <w:gridCol w:w="461"/>
        <w:gridCol w:w="925"/>
        <w:gridCol w:w="146"/>
        <w:gridCol w:w="146"/>
        <w:gridCol w:w="539"/>
        <w:gridCol w:w="886"/>
        <w:gridCol w:w="166"/>
        <w:gridCol w:w="146"/>
        <w:gridCol w:w="214"/>
        <w:gridCol w:w="795"/>
        <w:gridCol w:w="396"/>
      </w:tblGrid>
      <w:tr>
        <w:trPr/>
        <w:tc>
          <w:tcPr>
            <w:tcW w:w="25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251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50"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2024</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br/>
              <w:t>Hierarchy</w:t>
              <w:br/>
              <w:t>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278"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8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2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9" w:type="dxa"/>
            <w:gridSpan w:val="2"/>
            <w:tcBorders/>
            <w:shd w:fill="CFF0FC" w:val="clear"/>
            <w:vAlign w:val="center"/>
          </w:tcPr>
          <w:p>
            <w:pPr>
              <w:pStyle w:val="TableContents"/>
              <w:bidi w:val="0"/>
              <w:spacing w:before="0" w:after="283"/>
              <w:jc w:val="right"/>
              <w:rPr/>
            </w:pPr>
            <w:r>
              <w:rPr/>
              <w:t> </w:t>
            </w:r>
          </w:p>
        </w:tc>
        <w:tc>
          <w:tcPr>
            <w:tcW w:w="396" w:type="dxa"/>
            <w:tcBorders/>
            <w:shd w:fill="CFF0FC" w:val="clear"/>
            <w:vAlign w:val="center"/>
          </w:tcPr>
          <w:p>
            <w:pPr>
              <w:pStyle w:val="TableContents"/>
              <w:bidi w:val="0"/>
              <w:spacing w:before="0" w:after="283"/>
              <w:ind w:left="0" w:right="0" w:firstLine="200"/>
              <w:jc w:val="right"/>
              <w:rPr/>
            </w:pPr>
            <w:r>
              <w:rPr/>
              <w:t> </w:t>
            </w:r>
          </w:p>
        </w:tc>
      </w:tr>
      <w:tr>
        <w:trPr/>
        <w:tc>
          <w:tcPr>
            <w:tcW w:w="251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15,013</w:t>
            </w:r>
          </w:p>
        </w:tc>
        <w:tc>
          <w:tcPr>
            <w:tcW w:w="396" w:type="dxa"/>
            <w:tcBorders/>
            <w:shd w:fill="FFFFFF" w:val="clear"/>
            <w:vAlign w:val="center"/>
          </w:tcPr>
          <w:p>
            <w:pPr>
              <w:pStyle w:val="TableContents"/>
              <w:bidi w:val="0"/>
              <w:spacing w:before="0" w:after="283"/>
              <w:jc w:val="left"/>
              <w:rPr/>
            </w:pPr>
            <w:r>
              <w:rPr/>
              <w:t> </w:t>
            </w:r>
          </w:p>
        </w:tc>
      </w:tr>
      <w:tr>
        <w:trPr/>
        <w:tc>
          <w:tcPr>
            <w:tcW w:w="25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278"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8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2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9" w:type="dxa"/>
            <w:gridSpan w:val="2"/>
            <w:tcBorders/>
            <w:shd w:fill="CFF0FC" w:val="clear"/>
            <w:vAlign w:val="center"/>
          </w:tcPr>
          <w:p>
            <w:pPr>
              <w:pStyle w:val="TableContents"/>
              <w:bidi w:val="0"/>
              <w:spacing w:before="0" w:after="283"/>
              <w:jc w:val="right"/>
              <w:rPr/>
            </w:pPr>
            <w:r>
              <w:rPr/>
              <w:t> </w:t>
            </w:r>
          </w:p>
        </w:tc>
        <w:tc>
          <w:tcPr>
            <w:tcW w:w="396" w:type="dxa"/>
            <w:tcBorders/>
            <w:shd w:fill="CFF0FC" w:val="clear"/>
            <w:vAlign w:val="center"/>
          </w:tcPr>
          <w:p>
            <w:pPr>
              <w:pStyle w:val="TableContents"/>
              <w:bidi w:val="0"/>
              <w:spacing w:before="0" w:after="283"/>
              <w:ind w:left="0" w:right="0" w:firstLine="200"/>
              <w:jc w:val="right"/>
              <w:rPr/>
            </w:pPr>
            <w:r>
              <w:rPr/>
              <w:t> </w:t>
            </w:r>
          </w:p>
        </w:tc>
      </w:tr>
      <w:tr>
        <w:trPr/>
        <w:tc>
          <w:tcPr>
            <w:tcW w:w="251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9"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66,147</w:t>
            </w:r>
          </w:p>
        </w:tc>
        <w:tc>
          <w:tcPr>
            <w:tcW w:w="396" w:type="dxa"/>
            <w:tcBorders/>
            <w:shd w:fill="FFFFFF" w:val="clear"/>
            <w:vAlign w:val="center"/>
          </w:tcPr>
          <w:p>
            <w:pPr>
              <w:pStyle w:val="TableContents"/>
              <w:bidi w:val="0"/>
              <w:spacing w:before="0" w:after="283"/>
              <w:ind w:left="0" w:right="0" w:firstLine="200"/>
              <w:jc w:val="left"/>
              <w:rPr/>
            </w:pPr>
            <w:r>
              <w:rPr/>
              <w:t> </w:t>
            </w:r>
          </w:p>
        </w:tc>
      </w:tr>
      <w:tr>
        <w:trPr/>
        <w:tc>
          <w:tcPr>
            <w:tcW w:w="251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10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1" w:type="dxa"/>
            <w:tcBorders/>
            <w:shd w:fill="CFF0FC" w:val="clear"/>
            <w:vAlign w:val="center"/>
          </w:tcPr>
          <w:p>
            <w:pPr>
              <w:pStyle w:val="TableContents"/>
              <w:bidi w:val="0"/>
              <w:spacing w:before="0" w:after="283"/>
              <w:jc w:val="left"/>
              <w:rPr/>
            </w:pPr>
            <w:r>
              <w:rPr/>
              <w:t> </w:t>
            </w:r>
          </w:p>
        </w:tc>
        <w:tc>
          <w:tcPr>
            <w:tcW w:w="92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39"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3,090</w:t>
            </w:r>
          </w:p>
        </w:tc>
        <w:tc>
          <w:tcPr>
            <w:tcW w:w="396" w:type="dxa"/>
            <w:tcBorders/>
            <w:shd w:fill="CFF0FC" w:val="clear"/>
            <w:vAlign w:val="center"/>
          </w:tcPr>
          <w:p>
            <w:pPr>
              <w:pStyle w:val="TableContents"/>
              <w:bidi w:val="0"/>
              <w:spacing w:before="0" w:after="283"/>
              <w:ind w:left="0" w:right="0" w:firstLine="200"/>
              <w:jc w:val="left"/>
              <w:rPr/>
            </w:pPr>
            <w:r>
              <w:rPr/>
              <w:t> </w:t>
            </w:r>
          </w:p>
        </w:tc>
      </w:tr>
      <w:tr>
        <w:trPr/>
        <w:tc>
          <w:tcPr>
            <w:tcW w:w="251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9"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61,270</w:t>
            </w:r>
          </w:p>
        </w:tc>
        <w:tc>
          <w:tcPr>
            <w:tcW w:w="396" w:type="dxa"/>
            <w:tcBorders/>
            <w:shd w:fill="FFFFFF" w:val="clear"/>
            <w:vAlign w:val="center"/>
          </w:tcPr>
          <w:p>
            <w:pPr>
              <w:pStyle w:val="TableContents"/>
              <w:bidi w:val="0"/>
              <w:spacing w:before="0" w:after="283"/>
              <w:ind w:left="0" w:right="0" w:firstLine="200"/>
              <w:jc w:val="left"/>
              <w:rPr/>
            </w:pPr>
            <w:r>
              <w:rPr/>
              <w:t> </w:t>
            </w:r>
          </w:p>
        </w:tc>
      </w:tr>
      <w:tr>
        <w:trPr/>
        <w:tc>
          <w:tcPr>
            <w:tcW w:w="251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10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1" w:type="dxa"/>
            <w:tcBorders/>
            <w:shd w:fill="CFF0FC" w:val="clear"/>
            <w:vAlign w:val="center"/>
          </w:tcPr>
          <w:p>
            <w:pPr>
              <w:pStyle w:val="TableContents"/>
              <w:bidi w:val="0"/>
              <w:spacing w:before="0" w:after="283"/>
              <w:jc w:val="left"/>
              <w:rPr/>
            </w:pPr>
            <w:r>
              <w:rPr/>
              <w:t> </w:t>
            </w:r>
          </w:p>
        </w:tc>
        <w:tc>
          <w:tcPr>
            <w:tcW w:w="92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39"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1,965</w:t>
            </w:r>
          </w:p>
        </w:tc>
        <w:tc>
          <w:tcPr>
            <w:tcW w:w="396" w:type="dxa"/>
            <w:tcBorders/>
            <w:shd w:fill="CFF0FC" w:val="clear"/>
            <w:vAlign w:val="center"/>
          </w:tcPr>
          <w:p>
            <w:pPr>
              <w:pStyle w:val="TableContents"/>
              <w:bidi w:val="0"/>
              <w:spacing w:before="0" w:after="283"/>
              <w:ind w:left="0" w:right="0" w:firstLine="200"/>
              <w:jc w:val="left"/>
              <w:rPr/>
            </w:pPr>
            <w:r>
              <w:rPr/>
              <w:t> </w:t>
            </w:r>
          </w:p>
        </w:tc>
      </w:tr>
      <w:tr>
        <w:trPr/>
        <w:tc>
          <w:tcPr>
            <w:tcW w:w="251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Asset-backed securities</w:t>
            </w:r>
          </w:p>
        </w:tc>
        <w:tc>
          <w:tcPr>
            <w:tcW w:w="146"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9"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color w:val="000000"/>
              </w:rPr>
            </w:pPr>
            <w:r>
              <w:rPr>
                <w:color w:val="000000"/>
              </w:rPr>
              <w:t>—</w:t>
            </w:r>
          </w:p>
        </w:tc>
        <w:tc>
          <w:tcPr>
            <w:tcW w:w="396" w:type="dxa"/>
            <w:tcBorders/>
            <w:shd w:fill="FFFFFF" w:val="clear"/>
            <w:vAlign w:val="center"/>
          </w:tcPr>
          <w:p>
            <w:pPr>
              <w:pStyle w:val="TableContents"/>
              <w:bidi w:val="0"/>
              <w:spacing w:before="0" w:after="283"/>
              <w:jc w:val="left"/>
              <w:rPr/>
            </w:pPr>
            <w:r>
              <w:rPr/>
              <w:t> </w:t>
            </w:r>
          </w:p>
        </w:tc>
      </w:tr>
      <w:tr>
        <w:trPr/>
        <w:tc>
          <w:tcPr>
            <w:tcW w:w="25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278"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8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2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9" w:type="dxa"/>
            <w:gridSpan w:val="2"/>
            <w:tcBorders/>
            <w:shd w:fill="CFF0FC" w:val="clear"/>
            <w:vAlign w:val="center"/>
          </w:tcPr>
          <w:p>
            <w:pPr>
              <w:pStyle w:val="TableContents"/>
              <w:bidi w:val="0"/>
              <w:spacing w:before="0" w:after="283"/>
              <w:jc w:val="right"/>
              <w:rPr/>
            </w:pPr>
            <w:r>
              <w:rPr/>
              <w:t> </w:t>
            </w:r>
          </w:p>
        </w:tc>
        <w:tc>
          <w:tcPr>
            <w:tcW w:w="396" w:type="dxa"/>
            <w:tcBorders/>
            <w:shd w:fill="CFF0FC" w:val="clear"/>
            <w:vAlign w:val="center"/>
          </w:tcPr>
          <w:p>
            <w:pPr>
              <w:pStyle w:val="TableContents"/>
              <w:bidi w:val="0"/>
              <w:spacing w:before="0" w:after="283"/>
              <w:ind w:left="0" w:right="0" w:firstLine="200"/>
              <w:jc w:val="right"/>
              <w:rPr/>
            </w:pPr>
            <w:r>
              <w:rPr/>
              <w:t> </w:t>
            </w:r>
          </w:p>
        </w:tc>
      </w:tr>
      <w:tr>
        <w:trPr/>
        <w:tc>
          <w:tcPr>
            <w:tcW w:w="251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9"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4,983</w:t>
            </w:r>
          </w:p>
        </w:tc>
        <w:tc>
          <w:tcPr>
            <w:tcW w:w="396" w:type="dxa"/>
            <w:tcBorders/>
            <w:shd w:fill="FFFFFF" w:val="clear"/>
            <w:vAlign w:val="center"/>
          </w:tcPr>
          <w:p>
            <w:pPr>
              <w:pStyle w:val="TableContents"/>
              <w:bidi w:val="0"/>
              <w:spacing w:before="0" w:after="283"/>
              <w:ind w:left="0" w:right="0" w:firstLine="200"/>
              <w:jc w:val="left"/>
              <w:rPr/>
            </w:pPr>
            <w:r>
              <w:rPr/>
              <w:t> </w:t>
            </w:r>
          </w:p>
        </w:tc>
      </w:tr>
      <w:tr>
        <w:trPr/>
        <w:tc>
          <w:tcPr>
            <w:tcW w:w="251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10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1" w:type="dxa"/>
            <w:tcBorders/>
            <w:shd w:fill="CFF0FC" w:val="clear"/>
            <w:vAlign w:val="center"/>
          </w:tcPr>
          <w:p>
            <w:pPr>
              <w:pStyle w:val="TableContents"/>
              <w:bidi w:val="0"/>
              <w:spacing w:before="0" w:after="283"/>
              <w:jc w:val="left"/>
              <w:rPr/>
            </w:pPr>
            <w:r>
              <w:rPr/>
              <w:t> </w:t>
            </w:r>
          </w:p>
        </w:tc>
        <w:tc>
          <w:tcPr>
            <w:tcW w:w="92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39"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3,499</w:t>
            </w:r>
          </w:p>
        </w:tc>
        <w:tc>
          <w:tcPr>
            <w:tcW w:w="396" w:type="dxa"/>
            <w:tcBorders/>
            <w:shd w:fill="CFF0FC" w:val="clear"/>
            <w:vAlign w:val="center"/>
          </w:tcPr>
          <w:p>
            <w:pPr>
              <w:pStyle w:val="TableContents"/>
              <w:bidi w:val="0"/>
              <w:spacing w:before="0" w:after="283"/>
              <w:ind w:left="0" w:right="0" w:firstLine="200"/>
              <w:jc w:val="left"/>
              <w:rPr/>
            </w:pPr>
            <w:r>
              <w:rPr/>
              <w:t> </w:t>
            </w:r>
          </w:p>
        </w:tc>
      </w:tr>
      <w:tr>
        <w:trPr/>
        <w:tc>
          <w:tcPr>
            <w:tcW w:w="251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5,554</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160,958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161,521</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13"/>
        <w:gridCol w:w="146"/>
        <w:gridCol w:w="1010"/>
        <w:gridCol w:w="146"/>
        <w:gridCol w:w="270"/>
        <w:gridCol w:w="1008"/>
        <w:gridCol w:w="146"/>
        <w:gridCol w:w="146"/>
        <w:gridCol w:w="461"/>
        <w:gridCol w:w="925"/>
        <w:gridCol w:w="146"/>
        <w:gridCol w:w="146"/>
        <w:gridCol w:w="511"/>
        <w:gridCol w:w="913"/>
        <w:gridCol w:w="166"/>
        <w:gridCol w:w="146"/>
        <w:gridCol w:w="214"/>
        <w:gridCol w:w="795"/>
        <w:gridCol w:w="397"/>
      </w:tblGrid>
      <w:tr>
        <w:trPr/>
        <w:tc>
          <w:tcPr>
            <w:tcW w:w="25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251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9"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2023</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2513" w:type="dxa"/>
            <w:tcBorders/>
            <w:shd w:fill="FFFFFF" w:val="clear"/>
            <w:vAlign w:val="center"/>
          </w:tcPr>
          <w:p>
            <w:pPr>
              <w:pStyle w:val="TableContents"/>
              <w:bidi w:val="0"/>
              <w:spacing w:before="0" w:after="283"/>
              <w:ind w:left="200" w:right="0" w:firstLine="2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br/>
              <w:t>Hierarchy</w:t>
              <w:br/>
              <w:t>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278"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8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2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9" w:type="dxa"/>
            <w:gridSpan w:val="2"/>
            <w:tcBorders/>
            <w:shd w:fill="CFF0FC" w:val="clear"/>
            <w:vAlign w:val="center"/>
          </w:tcPr>
          <w:p>
            <w:pPr>
              <w:pStyle w:val="TableContents"/>
              <w:bidi w:val="0"/>
              <w:spacing w:before="0" w:after="283"/>
              <w:jc w:val="left"/>
              <w:rPr/>
            </w:pPr>
            <w:r>
              <w:rPr/>
              <w:t> </w:t>
            </w:r>
          </w:p>
        </w:tc>
        <w:tc>
          <w:tcPr>
            <w:tcW w:w="397" w:type="dxa"/>
            <w:tcBorders/>
            <w:shd w:fill="CFF0FC" w:val="clear"/>
            <w:vAlign w:val="center"/>
          </w:tcPr>
          <w:p>
            <w:pPr>
              <w:pStyle w:val="TableContents"/>
              <w:bidi w:val="0"/>
              <w:spacing w:before="0" w:after="283"/>
              <w:ind w:left="0" w:right="0" w:firstLine="200"/>
              <w:jc w:val="left"/>
              <w:rPr/>
            </w:pPr>
            <w:r>
              <w:rPr/>
              <w:t> </w:t>
            </w:r>
          </w:p>
        </w:tc>
      </w:tr>
      <w:tr>
        <w:trPr/>
        <w:tc>
          <w:tcPr>
            <w:tcW w:w="251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15,591</w:t>
            </w:r>
          </w:p>
        </w:tc>
        <w:tc>
          <w:tcPr>
            <w:tcW w:w="397" w:type="dxa"/>
            <w:tcBorders/>
            <w:shd w:fill="FFFFFF" w:val="clear"/>
            <w:vAlign w:val="center"/>
          </w:tcPr>
          <w:p>
            <w:pPr>
              <w:pStyle w:val="TableContents"/>
              <w:bidi w:val="0"/>
              <w:spacing w:before="0" w:after="283"/>
              <w:ind w:left="0" w:right="0" w:firstLine="200"/>
              <w:jc w:val="left"/>
              <w:rPr/>
            </w:pPr>
            <w:r>
              <w:rPr/>
              <w:t> </w:t>
            </w:r>
          </w:p>
        </w:tc>
      </w:tr>
      <w:tr>
        <w:trPr/>
        <w:tc>
          <w:tcPr>
            <w:tcW w:w="251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10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1" w:type="dxa"/>
            <w:tcBorders/>
            <w:shd w:fill="CFF0FC" w:val="clear"/>
            <w:vAlign w:val="center"/>
          </w:tcPr>
          <w:p>
            <w:pPr>
              <w:pStyle w:val="TableContents"/>
              <w:bidi w:val="0"/>
              <w:spacing w:before="0" w:after="283"/>
              <w:jc w:val="left"/>
              <w:rPr/>
            </w:pPr>
            <w:r>
              <w:rPr/>
              <w:t> </w:t>
            </w:r>
          </w:p>
        </w:tc>
        <w:tc>
          <w:tcPr>
            <w:tcW w:w="92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left"/>
              <w:rPr/>
            </w:pPr>
            <w:r>
              <w:rPr/>
              <w:t> </w:t>
            </w:r>
          </w:p>
        </w:tc>
        <w:tc>
          <w:tcPr>
            <w:tcW w:w="91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4,490</w:t>
            </w:r>
          </w:p>
        </w:tc>
        <w:tc>
          <w:tcPr>
            <w:tcW w:w="397" w:type="dxa"/>
            <w:tcBorders/>
            <w:shd w:fill="CFF0FC" w:val="clear"/>
            <w:vAlign w:val="center"/>
          </w:tcPr>
          <w:p>
            <w:pPr>
              <w:pStyle w:val="TableContents"/>
              <w:bidi w:val="0"/>
              <w:spacing w:before="0" w:after="283"/>
              <w:jc w:val="left"/>
              <w:rPr/>
            </w:pPr>
            <w:r>
              <w:rPr/>
              <w:t> </w:t>
            </w:r>
          </w:p>
        </w:tc>
      </w:tr>
      <w:tr>
        <w:trPr/>
        <w:tc>
          <w:tcPr>
            <w:tcW w:w="25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7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8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2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9" w:type="dxa"/>
            <w:gridSpan w:val="2"/>
            <w:tcBorders/>
            <w:shd w:fill="FFFFFF" w:val="clear"/>
            <w:vAlign w:val="center"/>
          </w:tcPr>
          <w:p>
            <w:pPr>
              <w:pStyle w:val="TableContents"/>
              <w:bidi w:val="0"/>
              <w:spacing w:before="0" w:after="283"/>
              <w:jc w:val="left"/>
              <w:rPr/>
            </w:pPr>
            <w:r>
              <w:rPr/>
              <w:t> </w:t>
            </w:r>
          </w:p>
        </w:tc>
        <w:tc>
          <w:tcPr>
            <w:tcW w:w="397" w:type="dxa"/>
            <w:tcBorders/>
            <w:shd w:fill="FFFFFF" w:val="clear"/>
            <w:vAlign w:val="center"/>
          </w:tcPr>
          <w:p>
            <w:pPr>
              <w:pStyle w:val="TableContents"/>
              <w:bidi w:val="0"/>
              <w:spacing w:before="0" w:after="283"/>
              <w:ind w:left="0" w:right="0" w:firstLine="200"/>
              <w:jc w:val="left"/>
              <w:rPr/>
            </w:pPr>
            <w:r>
              <w:rPr/>
              <w:t> </w:t>
            </w:r>
          </w:p>
        </w:tc>
      </w:tr>
      <w:tr>
        <w:trPr/>
        <w:tc>
          <w:tcPr>
            <w:tcW w:w="251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10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1" w:type="dxa"/>
            <w:tcBorders/>
            <w:shd w:fill="CFF0FC" w:val="clear"/>
            <w:vAlign w:val="center"/>
          </w:tcPr>
          <w:p>
            <w:pPr>
              <w:pStyle w:val="TableContents"/>
              <w:bidi w:val="0"/>
              <w:spacing w:before="0" w:after="283"/>
              <w:jc w:val="left"/>
              <w:rPr/>
            </w:pPr>
            <w:r>
              <w:rPr/>
              <w:t> </w:t>
            </w:r>
          </w:p>
        </w:tc>
        <w:tc>
          <w:tcPr>
            <w:tcW w:w="92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left"/>
              <w:rPr/>
            </w:pPr>
            <w:r>
              <w:rPr/>
              <w:t> </w:t>
            </w:r>
          </w:p>
        </w:tc>
        <w:tc>
          <w:tcPr>
            <w:tcW w:w="91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74,850</w:t>
            </w:r>
          </w:p>
        </w:tc>
        <w:tc>
          <w:tcPr>
            <w:tcW w:w="397" w:type="dxa"/>
            <w:tcBorders/>
            <w:shd w:fill="CFF0FC" w:val="clear"/>
            <w:vAlign w:val="center"/>
          </w:tcPr>
          <w:p>
            <w:pPr>
              <w:pStyle w:val="TableContents"/>
              <w:bidi w:val="0"/>
              <w:spacing w:before="0" w:after="283"/>
              <w:ind w:left="0" w:right="0" w:firstLine="200"/>
              <w:jc w:val="left"/>
              <w:rPr/>
            </w:pPr>
            <w:r>
              <w:rPr/>
              <w:t> </w:t>
            </w:r>
          </w:p>
        </w:tc>
      </w:tr>
      <w:tr>
        <w:trPr/>
        <w:tc>
          <w:tcPr>
            <w:tcW w:w="251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28,177</w:t>
            </w:r>
          </w:p>
        </w:tc>
        <w:tc>
          <w:tcPr>
            <w:tcW w:w="397" w:type="dxa"/>
            <w:tcBorders/>
            <w:shd w:fill="FFFFFF" w:val="clear"/>
            <w:vAlign w:val="center"/>
          </w:tcPr>
          <w:p>
            <w:pPr>
              <w:pStyle w:val="TableContents"/>
              <w:bidi w:val="0"/>
              <w:spacing w:before="0" w:after="283"/>
              <w:ind w:left="0" w:right="0" w:firstLine="200"/>
              <w:jc w:val="left"/>
              <w:rPr/>
            </w:pPr>
            <w:r>
              <w:rPr/>
              <w:t> </w:t>
            </w:r>
          </w:p>
        </w:tc>
      </w:tr>
      <w:tr>
        <w:trPr/>
        <w:tc>
          <w:tcPr>
            <w:tcW w:w="251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10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1" w:type="dxa"/>
            <w:tcBorders/>
            <w:shd w:fill="CFF0FC" w:val="clear"/>
            <w:vAlign w:val="center"/>
          </w:tcPr>
          <w:p>
            <w:pPr>
              <w:pStyle w:val="TableContents"/>
              <w:bidi w:val="0"/>
              <w:spacing w:before="0" w:after="283"/>
              <w:jc w:val="left"/>
              <w:rPr/>
            </w:pPr>
            <w:r>
              <w:rPr/>
              <w:t> </w:t>
            </w:r>
          </w:p>
        </w:tc>
        <w:tc>
          <w:tcPr>
            <w:tcW w:w="92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left"/>
              <w:rPr/>
            </w:pPr>
            <w:r>
              <w:rPr/>
              <w:t> </w:t>
            </w:r>
          </w:p>
        </w:tc>
        <w:tc>
          <w:tcPr>
            <w:tcW w:w="91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21,902</w:t>
            </w:r>
          </w:p>
        </w:tc>
        <w:tc>
          <w:tcPr>
            <w:tcW w:w="397" w:type="dxa"/>
            <w:tcBorders/>
            <w:shd w:fill="CFF0FC" w:val="clear"/>
            <w:vAlign w:val="center"/>
          </w:tcPr>
          <w:p>
            <w:pPr>
              <w:pStyle w:val="TableContents"/>
              <w:bidi w:val="0"/>
              <w:spacing w:before="0" w:after="283"/>
              <w:ind w:left="0" w:right="0" w:firstLine="200"/>
              <w:jc w:val="left"/>
              <w:rPr/>
            </w:pPr>
            <w:r>
              <w:rPr/>
              <w:t> </w:t>
            </w:r>
          </w:p>
        </w:tc>
      </w:tr>
      <w:tr>
        <w:trPr/>
        <w:tc>
          <w:tcPr>
            <w:tcW w:w="251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34,980</w:t>
            </w:r>
          </w:p>
        </w:tc>
        <w:tc>
          <w:tcPr>
            <w:tcW w:w="397" w:type="dxa"/>
            <w:tcBorders/>
            <w:shd w:fill="FFFFFF" w:val="clear"/>
            <w:vAlign w:val="center"/>
          </w:tcPr>
          <w:p>
            <w:pPr>
              <w:pStyle w:val="TableContents"/>
              <w:bidi w:val="0"/>
              <w:spacing w:before="0" w:after="283"/>
              <w:ind w:left="0" w:right="0" w:firstLine="200"/>
              <w:jc w:val="left"/>
              <w:rPr/>
            </w:pPr>
            <w:r>
              <w:rPr/>
              <w:t> </w:t>
            </w:r>
          </w:p>
        </w:tc>
      </w:tr>
      <w:tr>
        <w:trPr/>
        <w:tc>
          <w:tcPr>
            <w:tcW w:w="251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Asset-backed securities</w:t>
            </w:r>
          </w:p>
        </w:tc>
        <w:tc>
          <w:tcPr>
            <w:tcW w:w="146"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10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1" w:type="dxa"/>
            <w:tcBorders/>
            <w:shd w:fill="CFF0FC" w:val="clear"/>
            <w:vAlign w:val="center"/>
          </w:tcPr>
          <w:p>
            <w:pPr>
              <w:pStyle w:val="TableContents"/>
              <w:bidi w:val="0"/>
              <w:spacing w:before="0" w:after="283"/>
              <w:jc w:val="left"/>
              <w:rPr/>
            </w:pPr>
            <w:r>
              <w:rPr/>
              <w:t> </w:t>
            </w:r>
          </w:p>
        </w:tc>
        <w:tc>
          <w:tcPr>
            <w:tcW w:w="92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left"/>
              <w:rPr/>
            </w:pPr>
            <w:r>
              <w:rPr/>
              <w:t> </w:t>
            </w:r>
          </w:p>
        </w:tc>
        <w:tc>
          <w:tcPr>
            <w:tcW w:w="91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397" w:type="dxa"/>
            <w:tcBorders/>
            <w:shd w:fill="CFF0FC" w:val="clear"/>
            <w:vAlign w:val="center"/>
          </w:tcPr>
          <w:p>
            <w:pPr>
              <w:pStyle w:val="TableContents"/>
              <w:bidi w:val="0"/>
              <w:spacing w:before="0" w:after="283"/>
              <w:jc w:val="left"/>
              <w:rPr/>
            </w:pPr>
            <w:r>
              <w:rPr/>
              <w:t> </w:t>
            </w:r>
          </w:p>
        </w:tc>
      </w:tr>
      <w:tr>
        <w:trPr/>
        <w:tc>
          <w:tcPr>
            <w:tcW w:w="25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7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8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2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9" w:type="dxa"/>
            <w:gridSpan w:val="2"/>
            <w:tcBorders/>
            <w:shd w:fill="FFFFFF" w:val="clear"/>
            <w:vAlign w:val="center"/>
          </w:tcPr>
          <w:p>
            <w:pPr>
              <w:pStyle w:val="TableContents"/>
              <w:bidi w:val="0"/>
              <w:spacing w:before="0" w:after="283"/>
              <w:jc w:val="left"/>
              <w:rPr/>
            </w:pPr>
            <w:r>
              <w:rPr/>
              <w:t> </w:t>
            </w:r>
          </w:p>
        </w:tc>
        <w:tc>
          <w:tcPr>
            <w:tcW w:w="397" w:type="dxa"/>
            <w:tcBorders/>
            <w:shd w:fill="FFFFFF" w:val="clear"/>
            <w:vAlign w:val="center"/>
          </w:tcPr>
          <w:p>
            <w:pPr>
              <w:pStyle w:val="TableContents"/>
              <w:bidi w:val="0"/>
              <w:spacing w:before="0" w:after="283"/>
              <w:ind w:left="0" w:right="0" w:firstLine="200"/>
              <w:jc w:val="left"/>
              <w:rPr/>
            </w:pPr>
            <w:r>
              <w:rPr/>
              <w:t> </w:t>
            </w:r>
          </w:p>
        </w:tc>
      </w:tr>
      <w:tr>
        <w:trPr/>
        <w:tc>
          <w:tcPr>
            <w:tcW w:w="251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10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1" w:type="dxa"/>
            <w:tcBorders/>
            <w:shd w:fill="CFF0FC" w:val="clear"/>
            <w:vAlign w:val="center"/>
          </w:tcPr>
          <w:p>
            <w:pPr>
              <w:pStyle w:val="TableContents"/>
              <w:bidi w:val="0"/>
              <w:spacing w:before="0" w:after="283"/>
              <w:jc w:val="left"/>
              <w:rPr/>
            </w:pPr>
            <w:r>
              <w:rPr/>
              <w:t> </w:t>
            </w:r>
          </w:p>
        </w:tc>
        <w:tc>
          <w:tcPr>
            <w:tcW w:w="92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left"/>
              <w:rPr/>
            </w:pPr>
            <w:r>
              <w:rPr/>
              <w:t> </w:t>
            </w:r>
          </w:p>
        </w:tc>
        <w:tc>
          <w:tcPr>
            <w:tcW w:w="91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14,812</w:t>
            </w:r>
          </w:p>
        </w:tc>
        <w:tc>
          <w:tcPr>
            <w:tcW w:w="397" w:type="dxa"/>
            <w:tcBorders/>
            <w:shd w:fill="CFF0FC" w:val="clear"/>
            <w:vAlign w:val="center"/>
          </w:tcPr>
          <w:p>
            <w:pPr>
              <w:pStyle w:val="TableContents"/>
              <w:bidi w:val="0"/>
              <w:spacing w:before="0" w:after="283"/>
              <w:ind w:left="0" w:right="0" w:firstLine="200"/>
              <w:jc w:val="left"/>
              <w:rPr/>
            </w:pPr>
            <w:r>
              <w:rPr/>
              <w:t> </w:t>
            </w:r>
          </w:p>
        </w:tc>
      </w:tr>
      <w:tr>
        <w:trPr/>
        <w:tc>
          <w:tcPr>
            <w:tcW w:w="251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3,040</w:t>
            </w:r>
          </w:p>
        </w:tc>
        <w:tc>
          <w:tcPr>
            <w:tcW w:w="397" w:type="dxa"/>
            <w:tcBorders/>
            <w:shd w:fill="FFFFFF" w:val="clear"/>
            <w:vAlign w:val="center"/>
          </w:tcPr>
          <w:p>
            <w:pPr>
              <w:pStyle w:val="TableContents"/>
              <w:bidi w:val="0"/>
              <w:spacing w:before="0" w:after="283"/>
              <w:ind w:left="0" w:right="0" w:firstLine="200"/>
              <w:jc w:val="left"/>
              <w:rPr/>
            </w:pPr>
            <w:r>
              <w:rPr/>
              <w:t> </w:t>
            </w:r>
          </w:p>
        </w:tc>
      </w:tr>
      <w:tr>
        <w:trPr/>
        <w:tc>
          <w:tcPr>
            <w:tcW w:w="251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Asset-backed securities</w:t>
            </w:r>
          </w:p>
        </w:tc>
        <w:tc>
          <w:tcPr>
            <w:tcW w:w="146"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17,559</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215,566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215,822</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fair value of cash equivalents and available-for-sale investments by classification included in the condensed consolidated balance sheets was as follows as of September 30, 2024 and December 31, 2023 (in thousands):</w:t>
      </w:r>
    </w:p>
    <w:tbl>
      <w:tblPr>
        <w:tblW w:w="5190" w:type="dxa"/>
        <w:jc w:val="left"/>
        <w:tblInd w:w="0" w:type="dxa"/>
        <w:tblLayout w:type="fixed"/>
        <w:tblCellMar>
          <w:top w:w="28" w:type="dxa"/>
          <w:left w:w="28" w:type="dxa"/>
          <w:bottom w:w="28" w:type="dxa"/>
          <w:right w:w="28" w:type="dxa"/>
        </w:tblCellMar>
      </w:tblPr>
      <w:tblGrid>
        <w:gridCol w:w="1996"/>
        <w:gridCol w:w="146"/>
        <w:gridCol w:w="276"/>
        <w:gridCol w:w="1029"/>
        <w:gridCol w:w="146"/>
        <w:gridCol w:w="146"/>
        <w:gridCol w:w="268"/>
        <w:gridCol w:w="992"/>
        <w:gridCol w:w="191"/>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vAlign w:val="center"/>
          </w:tcPr>
          <w:p>
            <w:pPr>
              <w:pStyle w:val="TableContents"/>
              <w:bidi w:val="0"/>
              <w:spacing w:before="0" w:after="283"/>
              <w:jc w:val="center"/>
              <w:rPr/>
            </w:pPr>
            <w:r>
              <w:rPr/>
              <w:t> </w:t>
            </w:r>
          </w:p>
        </w:tc>
      </w:tr>
      <w:tr>
        <w:trPr/>
        <w:tc>
          <w:tcPr>
            <w:tcW w:w="19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20,081</w:t>
            </w:r>
          </w:p>
        </w:tc>
        <w:tc>
          <w:tcPr>
            <w:tcW w:w="191" w:type="dxa"/>
            <w:tcBorders/>
            <w:shd w:fill="CFF0FC" w:val="clear"/>
            <w:vAlign w:val="center"/>
          </w:tcPr>
          <w:p>
            <w:pPr>
              <w:pStyle w:val="TableContents"/>
              <w:bidi w:val="0"/>
              <w:spacing w:before="0" w:after="283"/>
              <w:jc w:val="left"/>
              <w:rPr/>
            </w:pPr>
            <w:r>
              <w:rPr/>
              <w:t> </w:t>
            </w:r>
          </w:p>
        </w:tc>
      </w:tr>
      <w:tr>
        <w:trPr/>
        <w:tc>
          <w:tcPr>
            <w:tcW w:w="19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160,330</w:t>
            </w:r>
          </w:p>
        </w:tc>
        <w:tc>
          <w:tcPr>
            <w:tcW w:w="191" w:type="dxa"/>
            <w:tcBorders/>
            <w:shd w:fill="FFFFFF" w:val="clear"/>
            <w:vAlign w:val="center"/>
          </w:tcPr>
          <w:p>
            <w:pPr>
              <w:pStyle w:val="TableContents"/>
              <w:bidi w:val="0"/>
              <w:spacing w:before="0" w:after="283"/>
              <w:jc w:val="left"/>
              <w:rPr/>
            </w:pPr>
            <w:r>
              <w:rPr/>
              <w:t> </w:t>
            </w:r>
          </w:p>
        </w:tc>
      </w:tr>
      <w:tr>
        <w:trPr/>
        <w:tc>
          <w:tcPr>
            <w:tcW w:w="19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CFF0FC" w:val="cle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35,411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161,521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215,822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and cash equivalents in the above table excludes bank account cash of $1.1 million and $2.3 million as of September 30, 2024 and December 31, 2023, respectively.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fair value of cash equivalents and available-for-sale investments by contractual maturity was as follows as of September 30, 2024 and December 31, 2023 (in thousands):</w:t>
      </w:r>
    </w:p>
    <w:tbl>
      <w:tblPr>
        <w:tblW w:w="6735" w:type="dxa"/>
        <w:jc w:val="left"/>
        <w:tblInd w:w="0" w:type="dxa"/>
        <w:tblLayout w:type="fixed"/>
        <w:tblCellMar>
          <w:top w:w="28" w:type="dxa"/>
          <w:left w:w="28" w:type="dxa"/>
          <w:bottom w:w="28" w:type="dxa"/>
          <w:right w:w="28" w:type="dxa"/>
        </w:tblCellMar>
      </w:tblPr>
      <w:tblGrid>
        <w:gridCol w:w="3541"/>
        <w:gridCol w:w="146"/>
        <w:gridCol w:w="276"/>
        <w:gridCol w:w="1029"/>
        <w:gridCol w:w="146"/>
        <w:gridCol w:w="146"/>
        <w:gridCol w:w="268"/>
        <w:gridCol w:w="992"/>
        <w:gridCol w:w="19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vAlign w:val="center"/>
          </w:tcPr>
          <w:p>
            <w:pPr>
              <w:pStyle w:val="TableContents"/>
              <w:bidi w:val="0"/>
              <w:spacing w:before="0" w:after="283"/>
              <w:jc w:val="center"/>
              <w:rPr/>
            </w:pPr>
            <w:r>
              <w:rPr/>
              <w:t> </w:t>
            </w:r>
          </w:p>
        </w:tc>
      </w:tr>
      <w:tr>
        <w:trPr/>
        <w:tc>
          <w:tcPr>
            <w:tcW w:w="35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Maturing in one year or less</w:t>
            </w:r>
          </w:p>
        </w:tc>
        <w:tc>
          <w:tcPr>
            <w:tcW w:w="1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180,411</w:t>
            </w:r>
          </w:p>
        </w:tc>
        <w:tc>
          <w:tcPr>
            <w:tcW w:w="191" w:type="dxa"/>
            <w:tcBorders/>
            <w:shd w:fill="CFF0FC" w:val="clear"/>
            <w:vAlign w:val="center"/>
          </w:tcPr>
          <w:p>
            <w:pPr>
              <w:pStyle w:val="TableContents"/>
              <w:bidi w:val="0"/>
              <w:spacing w:before="0" w:after="283"/>
              <w:jc w:val="left"/>
              <w:rPr/>
            </w:pPr>
            <w:r>
              <w:rPr/>
              <w:t> </w:t>
            </w:r>
          </w:p>
        </w:tc>
      </w:tr>
      <w:tr>
        <w:trPr/>
        <w:tc>
          <w:tcPr>
            <w:tcW w:w="35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Maturing after one year through five years</w:t>
            </w:r>
          </w:p>
        </w:tc>
        <w:tc>
          <w:tcPr>
            <w:tcW w:w="146" w:type="dxa"/>
            <w:tcBorders/>
            <w:shd w:fill="FFFFFF" w:val="cle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35,411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161,521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215,822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primary objective of the Company’s investment portfolio is to maintain safety of principal, prudent levels of liquidity and acceptable levels of risk. The Company’s investment policy limits investments to certain types of instruments issued by institutions with investment-grade credit ratings, and it places restrictions on maturities and concentration by asset class and issuer.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transfers of financial instruments between the fair value measurement levels during the three months and nine months ended September 30, 2024 and 2023 and there were no financial instruments classified as Level 3 as of September 30, 2024 and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September 30, 2024 and December 31, 2023, accrued interest receivable related to the Company’s investments of $1.2 million and $1.0 million, respectively, was included in prepaid expenses and other current assets on the condensed consolidated balance sheet.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September 30, 2024, the unrealized losses for available-for-sale investments were non-credit related and the Company does not intend to sell the investments that were in an unrealized loss position, nor does it foresee or project that it will be required to sell those investments before recovery of their amortized costs basis, which may be maturity. As of September 30, 2024 and 2023, no allowance for credit losses for the Company’s investments was recorded. As of September 30, 2024 and December 31, 2023, securities with a fair value of zero and $5.9 million, respectively, were in a continuous net unrealized loss position for more than 12 months. As of September 30, 2024 and 2023, the Company has not recognized any impairment losses on available-for-sale investments.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 BALANCE SHEET COMPONENTS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Prepaid Expenses and Other Current Assets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presents the components of prepaid expenses and other current assets as of September 30, 2024 and December 31, 2023 (in thousands):</w:t>
      </w:r>
    </w:p>
    <w:tbl>
      <w:tblPr>
        <w:tblW w:w="7525" w:type="dxa"/>
        <w:jc w:val="left"/>
        <w:tblInd w:w="0" w:type="dxa"/>
        <w:tblLayout w:type="fixed"/>
        <w:tblCellMar>
          <w:top w:w="28" w:type="dxa"/>
          <w:left w:w="28" w:type="dxa"/>
          <w:bottom w:w="28" w:type="dxa"/>
          <w:right w:w="28" w:type="dxa"/>
        </w:tblCellMar>
      </w:tblPr>
      <w:tblGrid>
        <w:gridCol w:w="4131"/>
        <w:gridCol w:w="146"/>
        <w:gridCol w:w="351"/>
        <w:gridCol w:w="954"/>
        <w:gridCol w:w="146"/>
        <w:gridCol w:w="146"/>
        <w:gridCol w:w="339"/>
        <w:gridCol w:w="921"/>
        <w:gridCol w:w="391"/>
      </w:tblGrid>
      <w:tr>
        <w:trPr/>
        <w:tc>
          <w:tcPr>
            <w:tcW w:w="4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shd w:fill="FFFFFF" w:val="clear"/>
            <w:vAlign w:val="center"/>
          </w:tcPr>
          <w:p>
            <w:pPr>
              <w:pStyle w:val="TableContents"/>
              <w:bidi w:val="0"/>
              <w:spacing w:before="0" w:after="283"/>
              <w:jc w:val="center"/>
              <w:rPr/>
            </w:pPr>
            <w:r>
              <w:rPr/>
              <w:t> </w:t>
            </w:r>
          </w:p>
        </w:tc>
      </w:tr>
      <w:tr>
        <w:trPr/>
        <w:tc>
          <w:tcPr>
            <w:tcW w:w="41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clinical expenses</w:t>
            </w:r>
          </w:p>
        </w:tc>
        <w:tc>
          <w:tcPr>
            <w:tcW w:w="146" w:type="dxa"/>
            <w:tcBorders/>
            <w:shd w:fill="CFF0FC" w:val="clear"/>
            <w:vAlign w:val="center"/>
          </w:tcPr>
          <w:p>
            <w:pPr>
              <w:pStyle w:val="TableContents"/>
              <w:bidi w:val="0"/>
              <w:spacing w:before="0" w:after="283"/>
              <w:jc w:val="left"/>
              <w:rPr/>
            </w:pPr>
            <w:r>
              <w:rPr/>
              <w:t> </w:t>
            </w:r>
          </w:p>
        </w:tc>
        <w:tc>
          <w:tcPr>
            <w:tcW w:w="3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3,049</w:t>
            </w:r>
          </w:p>
        </w:tc>
        <w:tc>
          <w:tcPr>
            <w:tcW w:w="391" w:type="dxa"/>
            <w:tcBorders/>
            <w:shd w:fill="CFF0FC" w:val="clear"/>
            <w:vAlign w:val="center"/>
          </w:tcPr>
          <w:p>
            <w:pPr>
              <w:pStyle w:val="TableContents"/>
              <w:bidi w:val="0"/>
              <w:spacing w:before="0" w:after="283"/>
              <w:jc w:val="left"/>
              <w:rPr/>
            </w:pPr>
            <w:r>
              <w:rPr/>
              <w:t> </w:t>
            </w:r>
          </w:p>
        </w:tc>
      </w:tr>
      <w:tr>
        <w:trPr/>
        <w:tc>
          <w:tcPr>
            <w:tcW w:w="4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investment receivables</w:t>
            </w:r>
          </w:p>
        </w:tc>
        <w:tc>
          <w:tcPr>
            <w:tcW w:w="146"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w:t>
            </w:r>
          </w:p>
        </w:tc>
        <w:tc>
          <w:tcPr>
            <w:tcW w:w="391" w:type="dxa"/>
            <w:tcBorders/>
            <w:shd w:fill="FFFFFF" w:val="clear"/>
            <w:vAlign w:val="center"/>
          </w:tcPr>
          <w:p>
            <w:pPr>
              <w:pStyle w:val="TableContents"/>
              <w:bidi w:val="0"/>
              <w:spacing w:before="0" w:after="283"/>
              <w:jc w:val="left"/>
              <w:rPr/>
            </w:pPr>
            <w:r>
              <w:rPr/>
              <w:t> </w:t>
            </w:r>
          </w:p>
        </w:tc>
      </w:tr>
      <w:tr>
        <w:trPr/>
        <w:tc>
          <w:tcPr>
            <w:tcW w:w="4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CFF0FC" w:val="clear"/>
            <w:vAlign w:val="center"/>
          </w:tcPr>
          <w:p>
            <w:pPr>
              <w:pStyle w:val="TableContents"/>
              <w:bidi w:val="0"/>
              <w:spacing w:before="0" w:after="283"/>
              <w:jc w:val="left"/>
              <w:rPr/>
            </w:pPr>
            <w:r>
              <w:rPr/>
              <w:t> </w:t>
            </w:r>
          </w:p>
        </w:tc>
        <w:tc>
          <w:tcPr>
            <w:tcW w:w="351" w:type="dxa"/>
            <w:tcBorders/>
            <w:shd w:fill="CFF0FC" w:val="clear"/>
            <w:vAlign w:val="center"/>
          </w:tcPr>
          <w:p>
            <w:pPr>
              <w:pStyle w:val="TableContents"/>
              <w:bidi w:val="0"/>
              <w:spacing w:before="0" w:after="283"/>
              <w:jc w:val="left"/>
              <w:rPr/>
            </w:pPr>
            <w:r>
              <w:rPr/>
              <w:t> </w:t>
            </w:r>
          </w:p>
        </w:tc>
        <w:tc>
          <w:tcPr>
            <w:tcW w:w="95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pPr>
            <w:r>
              <w:rPr/>
              <w:t> </w:t>
            </w:r>
          </w:p>
        </w:tc>
        <w:tc>
          <w:tcPr>
            <w:tcW w:w="9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w:t>
            </w:r>
          </w:p>
        </w:tc>
        <w:tc>
          <w:tcPr>
            <w:tcW w:w="391" w:type="dxa"/>
            <w:tcBorders/>
            <w:shd w:fill="CFF0FC" w:val="clear"/>
            <w:vAlign w:val="center"/>
          </w:tcPr>
          <w:p>
            <w:pPr>
              <w:pStyle w:val="TableContents"/>
              <w:bidi w:val="0"/>
              <w:spacing w:before="0" w:after="283"/>
              <w:jc w:val="left"/>
              <w:rPr/>
            </w:pPr>
            <w:r>
              <w:rPr/>
              <w:t> </w:t>
            </w:r>
          </w:p>
        </w:tc>
      </w:tr>
      <w:tr>
        <w:trPr/>
        <w:tc>
          <w:tcPr>
            <w:tcW w:w="4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insurance</w:t>
            </w:r>
          </w:p>
        </w:tc>
        <w:tc>
          <w:tcPr>
            <w:tcW w:w="146"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w:t>
            </w:r>
          </w:p>
        </w:tc>
        <w:tc>
          <w:tcPr>
            <w:tcW w:w="391" w:type="dxa"/>
            <w:tcBorders/>
            <w:shd w:fill="FFFFFF" w:val="clear"/>
            <w:vAlign w:val="center"/>
          </w:tcPr>
          <w:p>
            <w:pPr>
              <w:pStyle w:val="TableContents"/>
              <w:bidi w:val="0"/>
              <w:spacing w:before="0" w:after="283"/>
              <w:jc w:val="left"/>
              <w:rPr/>
            </w:pPr>
            <w:r>
              <w:rPr/>
              <w:t> </w:t>
            </w:r>
          </w:p>
        </w:tc>
      </w:tr>
      <w:tr>
        <w:trPr/>
        <w:tc>
          <w:tcPr>
            <w:tcW w:w="4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FF0FC" w:val="clear"/>
            <w:vAlign w:val="center"/>
          </w:tcPr>
          <w:p>
            <w:pPr>
              <w:pStyle w:val="TableContents"/>
              <w:bidi w:val="0"/>
              <w:spacing w:before="0" w:after="283"/>
              <w:jc w:val="left"/>
              <w:rPr/>
            </w:pPr>
            <w:r>
              <w:rP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Property and Equipment, Net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presents the components of property and equipment, net as of September 30, 2024 and December 31, 2023 (in thousands):</w:t>
      </w:r>
    </w:p>
    <w:tbl>
      <w:tblPr>
        <w:tblW w:w="6215" w:type="dxa"/>
        <w:jc w:val="left"/>
        <w:tblInd w:w="0" w:type="dxa"/>
        <w:tblLayout w:type="fixed"/>
        <w:tblCellMar>
          <w:top w:w="28" w:type="dxa"/>
          <w:left w:w="28" w:type="dxa"/>
          <w:bottom w:w="28" w:type="dxa"/>
          <w:right w:w="28" w:type="dxa"/>
        </w:tblCellMar>
      </w:tblPr>
      <w:tblGrid>
        <w:gridCol w:w="2781"/>
        <w:gridCol w:w="146"/>
        <w:gridCol w:w="327"/>
        <w:gridCol w:w="978"/>
        <w:gridCol w:w="166"/>
        <w:gridCol w:w="146"/>
        <w:gridCol w:w="314"/>
        <w:gridCol w:w="946"/>
        <w:gridCol w:w="411"/>
      </w:tblGrid>
      <w:tr>
        <w:trPr/>
        <w:tc>
          <w:tcPr>
            <w:tcW w:w="2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7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411" w:type="dxa"/>
            <w:tcBorders/>
            <w:shd w:fill="FFFFFF" w:val="clear"/>
            <w:vAlign w:val="center"/>
          </w:tcPr>
          <w:p>
            <w:pPr>
              <w:pStyle w:val="TableContents"/>
              <w:bidi w:val="0"/>
              <w:spacing w:before="0" w:after="283"/>
              <w:jc w:val="center"/>
              <w:rPr/>
            </w:pPr>
            <w:r>
              <w:rPr/>
              <w:t> </w:t>
            </w:r>
          </w:p>
        </w:tc>
      </w:tr>
      <w:tr>
        <w:trPr/>
        <w:tc>
          <w:tcPr>
            <w:tcW w:w="27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vAlign w:val="center"/>
          </w:tcPr>
          <w:p>
            <w:pPr>
              <w:pStyle w:val="TableContents"/>
              <w:bidi w:val="0"/>
              <w:spacing w:before="0" w:after="283"/>
              <w:jc w:val="left"/>
              <w:rPr/>
            </w:pPr>
            <w:r>
              <w:rPr/>
              <w:t> </w:t>
            </w:r>
          </w:p>
        </w:tc>
        <w:tc>
          <w:tcPr>
            <w:tcW w:w="32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2,513</w:t>
            </w:r>
          </w:p>
        </w:tc>
        <w:tc>
          <w:tcPr>
            <w:tcW w:w="411" w:type="dxa"/>
            <w:tcBorders/>
            <w:shd w:fill="CFF0FC" w:val="clear"/>
            <w:vAlign w:val="center"/>
          </w:tcPr>
          <w:p>
            <w:pPr>
              <w:pStyle w:val="TableContents"/>
              <w:bidi w:val="0"/>
              <w:spacing w:before="0" w:after="283"/>
              <w:jc w:val="left"/>
              <w:rPr/>
            </w:pPr>
            <w:r>
              <w:rPr/>
              <w:t> </w:t>
            </w:r>
          </w:p>
        </w:tc>
      </w:tr>
      <w:tr>
        <w:trPr/>
        <w:tc>
          <w:tcPr>
            <w:tcW w:w="27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equipment</w:t>
            </w:r>
          </w:p>
        </w:tc>
        <w:tc>
          <w:tcPr>
            <w:tcW w:w="146"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4"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w:t>
            </w:r>
          </w:p>
        </w:tc>
        <w:tc>
          <w:tcPr>
            <w:tcW w:w="411" w:type="dxa"/>
            <w:tcBorders/>
            <w:shd w:fill="FFFFFF" w:val="clear"/>
            <w:vAlign w:val="center"/>
          </w:tcPr>
          <w:p>
            <w:pPr>
              <w:pStyle w:val="TableContents"/>
              <w:bidi w:val="0"/>
              <w:spacing w:before="0" w:after="283"/>
              <w:jc w:val="left"/>
              <w:rPr/>
            </w:pPr>
            <w:r>
              <w:rPr/>
              <w:t> </w:t>
            </w:r>
          </w:p>
        </w:tc>
      </w:tr>
      <w:tr>
        <w:trPr/>
        <w:tc>
          <w:tcPr>
            <w:tcW w:w="27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hardware and software</w:t>
            </w:r>
          </w:p>
        </w:tc>
        <w:tc>
          <w:tcPr>
            <w:tcW w:w="146" w:type="dxa"/>
            <w:tcBorders/>
            <w:shd w:fill="CFF0FC" w:val="clear"/>
            <w:vAlign w:val="center"/>
          </w:tcPr>
          <w:p>
            <w:pPr>
              <w:pStyle w:val="TableContents"/>
              <w:bidi w:val="0"/>
              <w:spacing w:before="0" w:after="283"/>
              <w:jc w:val="left"/>
              <w:rPr/>
            </w:pPr>
            <w:r>
              <w:rPr/>
              <w:t> </w:t>
            </w:r>
          </w:p>
        </w:tc>
        <w:tc>
          <w:tcPr>
            <w:tcW w:w="327" w:type="dxa"/>
            <w:tcBorders/>
            <w:shd w:fill="CFF0FC" w:val="clear"/>
            <w:vAlign w:val="center"/>
          </w:tcPr>
          <w:p>
            <w:pPr>
              <w:pStyle w:val="TableContents"/>
              <w:bidi w:val="0"/>
              <w:spacing w:before="0" w:after="283"/>
              <w:jc w:val="left"/>
              <w:rPr/>
            </w:pPr>
            <w:r>
              <w:rPr/>
              <w:t> </w:t>
            </w:r>
          </w:p>
        </w:tc>
        <w:tc>
          <w:tcPr>
            <w:tcW w:w="9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4" w:type="dxa"/>
            <w:tcBorders/>
            <w:shd w:fill="CFF0FC" w:val="clear"/>
            <w:vAlign w:val="center"/>
          </w:tcPr>
          <w:p>
            <w:pPr>
              <w:pStyle w:val="TableContents"/>
              <w:bidi w:val="0"/>
              <w:spacing w:before="0" w:after="283"/>
              <w:jc w:val="left"/>
              <w:rPr/>
            </w:pPr>
            <w:r>
              <w:rPr/>
              <w:t> </w:t>
            </w:r>
          </w:p>
        </w:tc>
        <w:tc>
          <w:tcPr>
            <w:tcW w:w="9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411" w:type="dxa"/>
            <w:tcBorders/>
            <w:shd w:fill="CFF0FC" w:val="clear"/>
            <w:vAlign w:val="center"/>
          </w:tcPr>
          <w:p>
            <w:pPr>
              <w:pStyle w:val="TableContents"/>
              <w:bidi w:val="0"/>
              <w:spacing w:before="0" w:after="283"/>
              <w:jc w:val="left"/>
              <w:rPr/>
            </w:pPr>
            <w:r>
              <w:rPr/>
              <w:t> </w:t>
            </w:r>
          </w:p>
        </w:tc>
      </w:tr>
      <w:tr>
        <w:trPr/>
        <w:tc>
          <w:tcPr>
            <w:tcW w:w="27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vAlign w:val="center"/>
          </w:tcPr>
          <w:p>
            <w:pPr>
              <w:pStyle w:val="TableContents"/>
              <w:bidi w:val="0"/>
              <w:spacing w:before="0" w:after="283"/>
              <w:jc w:val="left"/>
              <w:rPr/>
            </w:pPr>
            <w:r>
              <w:rPr/>
              <w:t> </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Property and equipment, gross</w:t>
            </w:r>
          </w:p>
        </w:tc>
        <w:tc>
          <w:tcPr>
            <w:tcW w:w="146" w:type="dxa"/>
            <w:tcBorders/>
            <w:shd w:fill="CFF0FC" w:val="clear"/>
            <w:vAlign w:val="center"/>
          </w:tcPr>
          <w:p>
            <w:pPr>
              <w:pStyle w:val="TableContents"/>
              <w:bidi w:val="0"/>
              <w:spacing w:before="0" w:after="283"/>
              <w:jc w:val="left"/>
              <w:rPr/>
            </w:pPr>
            <w:r>
              <w:rPr/>
              <w:t> </w:t>
            </w:r>
          </w:p>
        </w:tc>
        <w:tc>
          <w:tcPr>
            <w:tcW w:w="327" w:type="dxa"/>
            <w:tcBorders/>
            <w:shd w:fill="CFF0FC" w:val="clear"/>
            <w:vAlign w:val="center"/>
          </w:tcPr>
          <w:p>
            <w:pPr>
              <w:pStyle w:val="TableContents"/>
              <w:bidi w:val="0"/>
              <w:spacing w:before="0" w:after="283"/>
              <w:jc w:val="left"/>
              <w:rPr/>
            </w:pPr>
            <w:r>
              <w:rPr/>
              <w:t> </w:t>
            </w:r>
          </w:p>
        </w:tc>
        <w:tc>
          <w:tcPr>
            <w:tcW w:w="9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4" w:type="dxa"/>
            <w:tcBorders/>
            <w:shd w:fill="CFF0FC" w:val="clear"/>
            <w:vAlign w:val="center"/>
          </w:tcPr>
          <w:p>
            <w:pPr>
              <w:pStyle w:val="TableContents"/>
              <w:bidi w:val="0"/>
              <w:spacing w:before="0" w:after="283"/>
              <w:jc w:val="left"/>
              <w:rPr/>
            </w:pPr>
            <w:r>
              <w:rPr/>
              <w:t> </w:t>
            </w:r>
          </w:p>
        </w:tc>
        <w:tc>
          <w:tcPr>
            <w:tcW w:w="9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4,826</w:t>
            </w:r>
          </w:p>
        </w:tc>
        <w:tc>
          <w:tcPr>
            <w:tcW w:w="411" w:type="dxa"/>
            <w:tcBorders/>
            <w:shd w:fill="CFF0FC" w:val="clear"/>
            <w:vAlign w:val="center"/>
          </w:tcPr>
          <w:p>
            <w:pPr>
              <w:pStyle w:val="TableContents"/>
              <w:bidi w:val="0"/>
              <w:spacing w:before="0" w:after="283"/>
              <w:jc w:val="left"/>
              <w:rPr/>
            </w:pPr>
            <w:r>
              <w:rPr/>
              <w:t> </w:t>
            </w:r>
          </w:p>
        </w:tc>
      </w:tr>
      <w:tr>
        <w:trPr/>
        <w:tc>
          <w:tcPr>
            <w:tcW w:w="27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FFFFFF" w:val="clear"/>
            <w:vAlign w:val="center"/>
          </w:tcPr>
          <w:p>
            <w:pPr>
              <w:pStyle w:val="TableContents"/>
              <w:bidi w:val="0"/>
              <w:spacing w:before="0" w:after="283"/>
              <w:jc w:val="left"/>
              <w:rPr/>
            </w:pPr>
            <w:r>
              <w:rPr/>
              <w:t> </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vAlign w:val="center"/>
          </w:tcPr>
          <w:p>
            <w:pPr>
              <w:pStyle w:val="TableContents"/>
              <w:bidi w:val="0"/>
              <w:spacing w:before="0" w:after="283"/>
              <w:jc w:val="left"/>
              <w:rPr/>
            </w:pPr>
            <w:r>
              <w:rPr/>
              <w:t> </w:t>
            </w:r>
          </w:p>
        </w:tc>
        <w:tc>
          <w:tcPr>
            <w:tcW w:w="3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Depreciation was $0.2 million and $0.2 million for the three months ended September 30, 2024 and 2023, respectively. Depreciation was $0.7 million and $0.6 million for the nine months ended September 30, 2024 and 2023, respectively.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Other Assets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presents the components of other assets as of September 30, 2024 and December 31, 2023 (in thousands): </w:t>
      </w:r>
    </w:p>
    <w:tbl>
      <w:tblPr>
        <w:tblW w:w="7415" w:type="dxa"/>
        <w:jc w:val="left"/>
        <w:tblInd w:w="0" w:type="dxa"/>
        <w:tblLayout w:type="fixed"/>
        <w:tblCellMar>
          <w:top w:w="28" w:type="dxa"/>
          <w:left w:w="28" w:type="dxa"/>
          <w:bottom w:w="28" w:type="dxa"/>
          <w:right w:w="28" w:type="dxa"/>
        </w:tblCellMar>
      </w:tblPr>
      <w:tblGrid>
        <w:gridCol w:w="4021"/>
        <w:gridCol w:w="146"/>
        <w:gridCol w:w="310"/>
        <w:gridCol w:w="995"/>
        <w:gridCol w:w="146"/>
        <w:gridCol w:w="146"/>
        <w:gridCol w:w="299"/>
        <w:gridCol w:w="961"/>
        <w:gridCol w:w="391"/>
      </w:tblGrid>
      <w:tr>
        <w:trPr/>
        <w:tc>
          <w:tcPr>
            <w:tcW w:w="4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shd w:fill="FFFFFF" w:val="clear"/>
            <w:vAlign w:val="center"/>
          </w:tcPr>
          <w:p>
            <w:pPr>
              <w:pStyle w:val="TableContents"/>
              <w:bidi w:val="0"/>
              <w:spacing w:before="0" w:after="283"/>
              <w:jc w:val="center"/>
              <w:rPr/>
            </w:pPr>
            <w:r>
              <w:rPr/>
              <w:t> </w:t>
            </w:r>
          </w:p>
        </w:tc>
      </w:tr>
      <w:tr>
        <w:trPr/>
        <w:tc>
          <w:tcPr>
            <w:tcW w:w="40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prepaid clinical expenses</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7,442</w:t>
            </w:r>
          </w:p>
        </w:tc>
        <w:tc>
          <w:tcPr>
            <w:tcW w:w="391" w:type="dxa"/>
            <w:tcBorders/>
            <w:shd w:fill="CFF0FC" w:val="clear"/>
            <w:vAlign w:val="center"/>
          </w:tcPr>
          <w:p>
            <w:pPr>
              <w:pStyle w:val="TableContents"/>
              <w:bidi w:val="0"/>
              <w:spacing w:before="0" w:after="283"/>
              <w:jc w:val="left"/>
              <w:rPr/>
            </w:pPr>
            <w:r>
              <w:rPr/>
              <w:t> </w:t>
            </w:r>
          </w:p>
        </w:tc>
      </w:tr>
      <w:tr>
        <w:trPr/>
        <w:tc>
          <w:tcPr>
            <w:tcW w:w="40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4,847</w:t>
            </w:r>
          </w:p>
        </w:tc>
        <w:tc>
          <w:tcPr>
            <w:tcW w:w="391" w:type="dxa"/>
            <w:tcBorders/>
            <w:shd w:fill="FFFFFF" w:val="clear"/>
            <w:vAlign w:val="center"/>
          </w:tcPr>
          <w:p>
            <w:pPr>
              <w:pStyle w:val="TableContents"/>
              <w:bidi w:val="0"/>
              <w:spacing w:before="0" w:after="283"/>
              <w:jc w:val="left"/>
              <w:rPr/>
            </w:pPr>
            <w:r>
              <w:rPr/>
              <w:t> </w:t>
            </w:r>
          </w:p>
        </w:tc>
      </w:tr>
      <w:tr>
        <w:trPr/>
        <w:tc>
          <w:tcPr>
            <w:tcW w:w="40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right-of-use assets</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pPr>
            <w:r>
              <w:rPr/>
              <w:t> </w:t>
            </w:r>
          </w:p>
        </w:tc>
        <w:tc>
          <w:tcPr>
            <w:tcW w:w="9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2,405</w:t>
            </w:r>
          </w:p>
        </w:tc>
        <w:tc>
          <w:tcPr>
            <w:tcW w:w="391" w:type="dxa"/>
            <w:tcBorders/>
            <w:shd w:fill="CFF0FC" w:val="clear"/>
            <w:vAlign w:val="center"/>
          </w:tcPr>
          <w:p>
            <w:pPr>
              <w:pStyle w:val="TableContents"/>
              <w:bidi w:val="0"/>
              <w:spacing w:before="0" w:after="283"/>
              <w:jc w:val="left"/>
              <w:rPr/>
            </w:pPr>
            <w:r>
              <w:rPr/>
              <w:t> </w:t>
            </w:r>
          </w:p>
        </w:tc>
      </w:tr>
      <w:tr>
        <w:trPr/>
        <w:tc>
          <w:tcPr>
            <w:tcW w:w="40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prepaid contract manufacturing costs</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40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other assets</w:t>
            </w:r>
          </w:p>
        </w:tc>
        <w:tc>
          <w:tcPr>
            <w:tcW w:w="146" w:type="dxa"/>
            <w:tcBorders/>
            <w:shd w:fill="FFFFFF" w:val="clear"/>
            <w:vAlign w:val="center"/>
          </w:tcPr>
          <w:p>
            <w:pPr>
              <w:pStyle w:val="TableContents"/>
              <w:bidi w:val="0"/>
              <w:spacing w:before="0" w:after="283"/>
              <w:jc w:val="left"/>
              <w:rPr/>
            </w:pPr>
            <w:r>
              <w:rPr/>
              <w:t> </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Accrued Expenses and Other Current Liabilities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presents the components of accrued expenses and other current liabilities as of September 30, 2024 and December 31, 2023 (in thousands):</w:t>
      </w:r>
    </w:p>
    <w:tbl>
      <w:tblPr>
        <w:tblW w:w="7855" w:type="dxa"/>
        <w:jc w:val="left"/>
        <w:tblInd w:w="0" w:type="dxa"/>
        <w:tblLayout w:type="fixed"/>
        <w:tblCellMar>
          <w:top w:w="28" w:type="dxa"/>
          <w:left w:w="28" w:type="dxa"/>
          <w:bottom w:w="28" w:type="dxa"/>
          <w:right w:w="28" w:type="dxa"/>
        </w:tblCellMar>
      </w:tblPr>
      <w:tblGrid>
        <w:gridCol w:w="4461"/>
        <w:gridCol w:w="146"/>
        <w:gridCol w:w="310"/>
        <w:gridCol w:w="995"/>
        <w:gridCol w:w="146"/>
        <w:gridCol w:w="146"/>
        <w:gridCol w:w="299"/>
        <w:gridCol w:w="961"/>
        <w:gridCol w:w="391"/>
      </w:tblGrid>
      <w:tr>
        <w:trPr/>
        <w:tc>
          <w:tcPr>
            <w:tcW w:w="4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shd w:fill="FFFFFF" w:val="clear"/>
            <w:vAlign w:val="center"/>
          </w:tcPr>
          <w:p>
            <w:pPr>
              <w:pStyle w:val="TableContents"/>
              <w:bidi w:val="0"/>
              <w:spacing w:before="0" w:after="283"/>
              <w:jc w:val="center"/>
              <w:rPr/>
            </w:pPr>
            <w:r>
              <w:rPr/>
              <w:t> </w:t>
            </w:r>
          </w:p>
        </w:tc>
      </w:tr>
      <w:tr>
        <w:trPr/>
        <w:tc>
          <w:tcPr>
            <w:tcW w:w="44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clinical and nonclinical study costs</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8,873</w:t>
            </w:r>
          </w:p>
        </w:tc>
        <w:tc>
          <w:tcPr>
            <w:tcW w:w="391" w:type="dxa"/>
            <w:tcBorders/>
            <w:shd w:fill="CFF0FC" w:val="clear"/>
            <w:vAlign w:val="center"/>
          </w:tcPr>
          <w:p>
            <w:pPr>
              <w:pStyle w:val="TableContents"/>
              <w:bidi w:val="0"/>
              <w:spacing w:before="0" w:after="283"/>
              <w:jc w:val="left"/>
              <w:rPr/>
            </w:pPr>
            <w:r>
              <w:rPr/>
              <w:t> </w:t>
            </w:r>
          </w:p>
        </w:tc>
      </w:tr>
      <w:tr>
        <w:trPr/>
        <w:tc>
          <w:tcPr>
            <w:tcW w:w="44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contract manufacturing</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9,543</w:t>
            </w:r>
          </w:p>
        </w:tc>
        <w:tc>
          <w:tcPr>
            <w:tcW w:w="391" w:type="dxa"/>
            <w:tcBorders/>
            <w:shd w:fill="FFFFFF" w:val="clear"/>
            <w:vAlign w:val="center"/>
          </w:tcPr>
          <w:p>
            <w:pPr>
              <w:pStyle w:val="TableContents"/>
              <w:bidi w:val="0"/>
              <w:spacing w:before="0" w:after="283"/>
              <w:jc w:val="left"/>
              <w:rPr/>
            </w:pPr>
            <w:r>
              <w:rPr/>
              <w:t> </w:t>
            </w:r>
          </w:p>
        </w:tc>
      </w:tr>
      <w:tr>
        <w:trPr/>
        <w:tc>
          <w:tcPr>
            <w:tcW w:w="44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 and related expenses</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pPr>
            <w:r>
              <w:rPr/>
              <w:t> </w:t>
            </w:r>
          </w:p>
        </w:tc>
        <w:tc>
          <w:tcPr>
            <w:tcW w:w="9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6,067</w:t>
            </w:r>
          </w:p>
        </w:tc>
        <w:tc>
          <w:tcPr>
            <w:tcW w:w="391" w:type="dxa"/>
            <w:tcBorders/>
            <w:shd w:fill="CFF0FC" w:val="clear"/>
            <w:vAlign w:val="center"/>
          </w:tcPr>
          <w:p>
            <w:pPr>
              <w:pStyle w:val="TableContents"/>
              <w:bidi w:val="0"/>
              <w:spacing w:before="0" w:after="283"/>
              <w:jc w:val="left"/>
              <w:rPr/>
            </w:pPr>
            <w:r>
              <w:rPr/>
              <w:t> </w:t>
            </w:r>
          </w:p>
        </w:tc>
      </w:tr>
      <w:tr>
        <w:trPr/>
        <w:tc>
          <w:tcPr>
            <w:tcW w:w="44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property and equipment</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391" w:type="dxa"/>
            <w:tcBorders/>
            <w:shd w:fill="FFFFFF" w:val="clear"/>
            <w:vAlign w:val="center"/>
          </w:tcPr>
          <w:p>
            <w:pPr>
              <w:pStyle w:val="TableContents"/>
              <w:bidi w:val="0"/>
              <w:spacing w:before="0" w:after="283"/>
              <w:jc w:val="left"/>
              <w:rPr/>
            </w:pPr>
            <w:r>
              <w:rPr/>
              <w:t> </w:t>
            </w:r>
          </w:p>
        </w:tc>
      </w:tr>
      <w:tr>
        <w:trPr/>
        <w:tc>
          <w:tcPr>
            <w:tcW w:w="44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146" w:type="dxa"/>
            <w:tcBorders/>
            <w:shd w:fill="FFFFFF" w:val="clear"/>
            <w:vAlign w:val="center"/>
          </w:tcPr>
          <w:p>
            <w:pPr>
              <w:pStyle w:val="TableContents"/>
              <w:bidi w:val="0"/>
              <w:spacing w:before="0" w:after="283"/>
              <w:jc w:val="left"/>
              <w:rPr/>
            </w:pPr>
            <w:r>
              <w:rPr/>
              <w:t> </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non-cancelable operating leases for its offices located in the U.S. As of September 30, 2024, these leases expire on various dates between 2026 and 2030. Certain lease agreements include one or more options to renew, with renewal terms that can extend the lease up to two years after expiration. The Company has the right to exercise or forego the lease renewal options. The lease agreements do not contain any material residual value guarantees or material restrictive covenants.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presents the maturities and balance sheet information of the Company’s operating lease liabilities as of September 30, 2024 (in thousands, except lease term and discount rate):</w:t>
      </w:r>
    </w:p>
    <w:tbl>
      <w:tblPr>
        <w:tblW w:w="7540" w:type="dxa"/>
        <w:jc w:val="left"/>
        <w:tblInd w:w="0" w:type="dxa"/>
        <w:tblLayout w:type="fixed"/>
        <w:tblCellMar>
          <w:top w:w="28" w:type="dxa"/>
          <w:left w:w="28" w:type="dxa"/>
          <w:bottom w:w="28" w:type="dxa"/>
          <w:right w:w="28" w:type="dxa"/>
        </w:tblCellMar>
      </w:tblPr>
      <w:tblGrid>
        <w:gridCol w:w="4111"/>
        <w:gridCol w:w="146"/>
        <w:gridCol w:w="341"/>
        <w:gridCol w:w="1024"/>
        <w:gridCol w:w="271"/>
        <w:gridCol w:w="146"/>
        <w:gridCol w:w="320"/>
        <w:gridCol w:w="865"/>
        <w:gridCol w:w="316"/>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Leases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Finance Leases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3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2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316" w:type="dxa"/>
            <w:tcBorders/>
            <w:shd w:fill="CFF0FC" w:val="cle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w:t>
            </w:r>
          </w:p>
        </w:tc>
        <w:tc>
          <w:tcPr>
            <w:tcW w:w="316" w:type="dxa"/>
            <w:tcBorders/>
            <w:shd w:fill="FFFFFF" w:val="clear"/>
            <w:vAlign w:val="center"/>
          </w:tcPr>
          <w:p>
            <w:pPr>
              <w:pStyle w:val="TableContents"/>
              <w:bidi w:val="0"/>
              <w:spacing w:before="0" w:after="283"/>
              <w:jc w:val="left"/>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341" w:type="dxa"/>
            <w:tcBorders/>
            <w:shd w:fill="CFF0FC" w:val="clear"/>
            <w:vAlign w:val="center"/>
          </w:tcPr>
          <w:p>
            <w:pPr>
              <w:pStyle w:val="TableContents"/>
              <w:bidi w:val="0"/>
              <w:spacing w:before="0" w:after="283"/>
              <w:jc w:val="left"/>
              <w:rPr/>
            </w:pPr>
            <w:r>
              <w:rPr/>
              <w:t> </w:t>
            </w:r>
          </w:p>
        </w:tc>
        <w:tc>
          <w:tcPr>
            <w:tcW w:w="102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20" w:type="dxa"/>
            <w:tcBorders/>
            <w:shd w:fill="CFF0FC" w:val="clear"/>
            <w:vAlign w:val="center"/>
          </w:tcPr>
          <w:p>
            <w:pPr>
              <w:pStyle w:val="TableContents"/>
              <w:bidi w:val="0"/>
              <w:spacing w:before="0" w:after="283"/>
              <w:jc w:val="left"/>
              <w:rPr/>
            </w:pPr>
            <w:r>
              <w:rPr/>
              <w:t> </w:t>
            </w:r>
          </w:p>
        </w:tc>
        <w:tc>
          <w:tcPr>
            <w:tcW w:w="8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w:t>
            </w:r>
          </w:p>
        </w:tc>
        <w:tc>
          <w:tcPr>
            <w:tcW w:w="316" w:type="dxa"/>
            <w:tcBorders/>
            <w:shd w:fill="CFF0FC" w:val="cle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w:t>
            </w:r>
          </w:p>
        </w:tc>
        <w:tc>
          <w:tcPr>
            <w:tcW w:w="316" w:type="dxa"/>
            <w:tcBorders/>
            <w:shd w:fill="FFFFFF" w:val="clear"/>
            <w:vAlign w:val="center"/>
          </w:tcPr>
          <w:p>
            <w:pPr>
              <w:pStyle w:val="TableContents"/>
              <w:bidi w:val="0"/>
              <w:spacing w:before="0" w:after="283"/>
              <w:jc w:val="left"/>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341" w:type="dxa"/>
            <w:tcBorders/>
            <w:shd w:fill="CFF0FC" w:val="clear"/>
            <w:vAlign w:val="center"/>
          </w:tcPr>
          <w:p>
            <w:pPr>
              <w:pStyle w:val="TableContents"/>
              <w:bidi w:val="0"/>
              <w:spacing w:before="0" w:after="283"/>
              <w:jc w:val="left"/>
              <w:rPr/>
            </w:pPr>
            <w:r>
              <w:rPr/>
              <w:t> </w:t>
            </w:r>
          </w:p>
        </w:tc>
        <w:tc>
          <w:tcPr>
            <w:tcW w:w="102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20" w:type="dxa"/>
            <w:tcBorders/>
            <w:shd w:fill="CFF0FC" w:val="clear"/>
            <w:vAlign w:val="center"/>
          </w:tcPr>
          <w:p>
            <w:pPr>
              <w:pStyle w:val="TableContents"/>
              <w:bidi w:val="0"/>
              <w:spacing w:before="0" w:after="283"/>
              <w:jc w:val="left"/>
              <w:rPr/>
            </w:pPr>
            <w:r>
              <w:rPr/>
              <w:t> </w:t>
            </w:r>
          </w:p>
        </w:tc>
        <w:tc>
          <w:tcPr>
            <w:tcW w:w="865" w:type="dxa"/>
            <w:tcBorders/>
            <w:shd w:fill="CFF0FC" w:val="clear"/>
            <w:vAlign w:val="center"/>
          </w:tcPr>
          <w:p>
            <w:pPr>
              <w:pStyle w:val="TableContents"/>
              <w:bidi w:val="0"/>
              <w:spacing w:before="0" w:after="283"/>
              <w:jc w:val="right"/>
              <w:rPr>
                <w:color w:val="000000"/>
              </w:rPr>
            </w:pPr>
            <w:r>
              <w:rPr>
                <w:color w:val="000000"/>
              </w:rPr>
              <w:t>—</w:t>
            </w:r>
          </w:p>
        </w:tc>
        <w:tc>
          <w:tcPr>
            <w:tcW w:w="316" w:type="dxa"/>
            <w:tcBorders/>
            <w:shd w:fill="CFF0FC" w:val="cle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CFF0FC" w:val="clear"/>
            <w:vAlign w:val="center"/>
          </w:tcPr>
          <w:p>
            <w:pPr>
              <w:pStyle w:val="TableContents"/>
              <w:bidi w:val="0"/>
              <w:spacing w:before="0" w:after="283"/>
              <w:jc w:val="left"/>
              <w:rPr/>
            </w:pPr>
            <w:r>
              <w:rPr/>
              <w:t> </w:t>
            </w:r>
          </w:p>
        </w:tc>
        <w:tc>
          <w:tcPr>
            <w:tcW w:w="341" w:type="dxa"/>
            <w:tcBorders/>
            <w:shd w:fill="CFF0FC" w:val="clear"/>
            <w:vAlign w:val="center"/>
          </w:tcPr>
          <w:p>
            <w:pPr>
              <w:pStyle w:val="TableContents"/>
              <w:bidi w:val="0"/>
              <w:spacing w:before="0" w:after="283"/>
              <w:jc w:val="left"/>
              <w:rPr/>
            </w:pPr>
            <w:r>
              <w:rPr/>
              <w:t> </w:t>
            </w:r>
          </w:p>
        </w:tc>
        <w:tc>
          <w:tcPr>
            <w:tcW w:w="102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5,792</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20" w:type="dxa"/>
            <w:tcBorders/>
            <w:shd w:fill="CFF0FC" w:val="clear"/>
            <w:vAlign w:val="center"/>
          </w:tcPr>
          <w:p>
            <w:pPr>
              <w:pStyle w:val="TableContents"/>
              <w:bidi w:val="0"/>
              <w:spacing w:before="0" w:after="283"/>
              <w:jc w:val="left"/>
              <w:rPr/>
            </w:pPr>
            <w:r>
              <w:rPr/>
              <w:t> </w:t>
            </w:r>
          </w:p>
        </w:tc>
        <w:tc>
          <w:tcPr>
            <w:tcW w:w="8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2,992</w:t>
            </w:r>
          </w:p>
        </w:tc>
        <w:tc>
          <w:tcPr>
            <w:tcW w:w="316" w:type="dxa"/>
            <w:tcBorders/>
            <w:shd w:fill="CFF0FC" w:val="cle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CFF0FC" w:val="clear"/>
            <w:vAlign w:val="center"/>
          </w:tcPr>
          <w:p>
            <w:pPr>
              <w:pStyle w:val="TableContents"/>
              <w:bidi w:val="0"/>
              <w:spacing w:before="0" w:after="283"/>
              <w:jc w:val="left"/>
              <w:rPr/>
            </w:pPr>
            <w:r>
              <w:rPr/>
              <w:t> </w:t>
            </w:r>
          </w:p>
        </w:tc>
        <w:tc>
          <w:tcPr>
            <w:tcW w:w="3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4,631</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2,892</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65"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85" w:type="dxa"/>
            <w:gridSpan w:val="2"/>
            <w:tcBorders/>
            <w:shd w:fill="FFFFFF" w:val="clear"/>
            <w:vAlign w:val="center"/>
          </w:tcPr>
          <w:p>
            <w:pPr>
              <w:pStyle w:val="TableContents"/>
              <w:bidi w:val="0"/>
              <w:spacing w:before="0" w:after="283"/>
              <w:jc w:val="right"/>
              <w:rPr/>
            </w:pPr>
            <w:r>
              <w:rPr/>
              <w:t> </w:t>
            </w:r>
          </w:p>
        </w:tc>
        <w:tc>
          <w:tcPr>
            <w:tcW w:w="316" w:type="dxa"/>
            <w:tcBorders/>
            <w:shd w:fill="FFFFFF" w:val="clear"/>
            <w:vAlign w:val="center"/>
          </w:tcPr>
          <w:p>
            <w:pPr>
              <w:pStyle w:val="TableContents"/>
              <w:bidi w:val="0"/>
              <w:spacing w:before="0" w:after="283"/>
              <w:jc w:val="right"/>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Lease liabilities: current </w:t>
            </w:r>
            <w:r>
              <w:rPr>
                <w:rFonts w:ascii="Times New Roman" w:hAnsi="Times New Roman"/>
                <w:color w:val="000000"/>
                <w:sz w:val="13"/>
              </w:rPr>
              <w:t>(i)</w:t>
            </w:r>
          </w:p>
        </w:tc>
        <w:tc>
          <w:tcPr>
            <w:tcW w:w="146" w:type="dxa"/>
            <w:tcBorders/>
            <w:shd w:fill="CFF0FC" w:val="clear"/>
            <w:vAlign w:val="center"/>
          </w:tcPr>
          <w:p>
            <w:pPr>
              <w:pStyle w:val="TableContents"/>
              <w:bidi w:val="0"/>
              <w:spacing w:before="0" w:after="283"/>
              <w:jc w:val="left"/>
              <w:rPr/>
            </w:pPr>
            <w:r>
              <w:rPr/>
              <w:t> </w:t>
            </w:r>
          </w:p>
        </w:tc>
        <w:tc>
          <w:tcPr>
            <w:tcW w:w="3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2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w:t>
            </w:r>
          </w:p>
        </w:tc>
        <w:tc>
          <w:tcPr>
            <w:tcW w:w="316" w:type="dxa"/>
            <w:tcBorders/>
            <w:shd w:fill="CFF0FC" w:val="cle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Lease liabilities: non-current </w:t>
            </w:r>
            <w:r>
              <w:rPr>
                <w:rFonts w:ascii="Times New Roman" w:hAnsi="Times New Roman"/>
                <w:color w:val="000000"/>
                <w:sz w:val="13"/>
              </w:rPr>
              <w:t>(ii)</w:t>
            </w:r>
          </w:p>
        </w:tc>
        <w:tc>
          <w:tcPr>
            <w:tcW w:w="146" w:type="dxa"/>
            <w:tcBorders/>
            <w:shd w:fill="FFFFFF" w:val="cle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1,949</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CFF0FC" w:val="clear"/>
            <w:vAlign w:val="center"/>
          </w:tcPr>
          <w:p>
            <w:pPr>
              <w:pStyle w:val="TableContents"/>
              <w:bidi w:val="0"/>
              <w:spacing w:before="0" w:after="283"/>
              <w:jc w:val="left"/>
              <w:rPr/>
            </w:pPr>
            <w:r>
              <w:rPr/>
              <w:t> </w:t>
            </w:r>
          </w:p>
        </w:tc>
        <w:tc>
          <w:tcPr>
            <w:tcW w:w="3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4,631</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2,892</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65"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85" w:type="dxa"/>
            <w:gridSpan w:val="2"/>
            <w:tcBorders/>
            <w:shd w:fill="FFFFFF" w:val="clear"/>
            <w:vAlign w:val="center"/>
          </w:tcPr>
          <w:p>
            <w:pPr>
              <w:pStyle w:val="TableContents"/>
              <w:bidi w:val="0"/>
              <w:spacing w:before="0" w:after="283"/>
              <w:jc w:val="right"/>
              <w:rPr/>
            </w:pPr>
            <w:r>
              <w:rPr/>
              <w:t> </w:t>
            </w:r>
          </w:p>
        </w:tc>
        <w:tc>
          <w:tcPr>
            <w:tcW w:w="316" w:type="dxa"/>
            <w:tcBorders/>
            <w:shd w:fill="FFFFFF" w:val="clear"/>
            <w:vAlign w:val="center"/>
          </w:tcPr>
          <w:p>
            <w:pPr>
              <w:pStyle w:val="TableContents"/>
              <w:bidi w:val="0"/>
              <w:spacing w:before="0" w:after="283"/>
              <w:jc w:val="right"/>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 (in years)</w:t>
            </w:r>
          </w:p>
        </w:tc>
        <w:tc>
          <w:tcPr>
            <w:tcW w:w="146" w:type="dxa"/>
            <w:tcBorders/>
            <w:shd w:fill="CFF0FC" w:val="clear"/>
            <w:vAlign w:val="center"/>
          </w:tcPr>
          <w:p>
            <w:pPr>
              <w:pStyle w:val="TableContents"/>
              <w:bidi w:val="0"/>
              <w:spacing w:before="0" w:after="283"/>
              <w:jc w:val="left"/>
              <w:rPr/>
            </w:pPr>
            <w:r>
              <w:rPr/>
              <w:t> </w:t>
            </w:r>
          </w:p>
        </w:tc>
        <w:tc>
          <w:tcPr>
            <w:tcW w:w="341" w:type="dxa"/>
            <w:tcBorders/>
            <w:shd w:fill="CFF0FC" w:val="clear"/>
            <w:vAlign w:val="center"/>
          </w:tcPr>
          <w:p>
            <w:pPr>
              <w:pStyle w:val="TableContents"/>
              <w:bidi w:val="0"/>
              <w:spacing w:before="0" w:after="283"/>
              <w:jc w:val="left"/>
              <w:rPr/>
            </w:pPr>
            <w:r>
              <w:rPr/>
              <w:t> </w:t>
            </w:r>
          </w:p>
        </w:tc>
        <w:tc>
          <w:tcPr>
            <w:tcW w:w="102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20" w:type="dxa"/>
            <w:tcBorders/>
            <w:shd w:fill="CFF0FC" w:val="clear"/>
            <w:vAlign w:val="center"/>
          </w:tcPr>
          <w:p>
            <w:pPr>
              <w:pStyle w:val="TableContents"/>
              <w:bidi w:val="0"/>
              <w:spacing w:before="0" w:after="283"/>
              <w:jc w:val="left"/>
              <w:rPr/>
            </w:pPr>
            <w:r>
              <w:rPr/>
              <w:t> </w:t>
            </w:r>
          </w:p>
        </w:tc>
        <w:tc>
          <w:tcPr>
            <w:tcW w:w="8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16" w:type="dxa"/>
            <w:tcBorders/>
            <w:shd w:fill="CFF0FC" w:val="cle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w:t>
            </w:r>
          </w:p>
        </w:tc>
        <w:tc>
          <w:tcPr>
            <w:tcW w:w="146"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(i)</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Current lease liabilities are presented within accrued expenses and other current liabilities on the condensed consolidated balance sheets.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(ii)</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Non-current lease liabilities are presented within other non-current liabilities on the condensed consolidated balance sheets.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presents the components of lease costs for the three months and nine months ended September 30, 2024 and 2023 (in thousands): </w:t>
      </w:r>
    </w:p>
    <w:tbl>
      <w:tblPr>
        <w:tblW w:w="7670" w:type="dxa"/>
        <w:jc w:val="left"/>
        <w:tblInd w:w="0" w:type="dxa"/>
        <w:tblLayout w:type="fixed"/>
        <w:tblCellMar>
          <w:top w:w="28" w:type="dxa"/>
          <w:left w:w="28" w:type="dxa"/>
          <w:bottom w:w="28" w:type="dxa"/>
          <w:right w:w="28" w:type="dxa"/>
        </w:tblCellMar>
      </w:tblPr>
      <w:tblGrid>
        <w:gridCol w:w="3111"/>
        <w:gridCol w:w="146"/>
        <w:gridCol w:w="254"/>
        <w:gridCol w:w="507"/>
        <w:gridCol w:w="176"/>
        <w:gridCol w:w="176"/>
        <w:gridCol w:w="254"/>
        <w:gridCol w:w="507"/>
        <w:gridCol w:w="146"/>
        <w:gridCol w:w="146"/>
        <w:gridCol w:w="211"/>
        <w:gridCol w:w="571"/>
        <w:gridCol w:w="146"/>
        <w:gridCol w:w="146"/>
        <w:gridCol w:w="211"/>
        <w:gridCol w:w="571"/>
        <w:gridCol w:w="391"/>
      </w:tblGrid>
      <w:tr>
        <w:trPr/>
        <w:tc>
          <w:tcPr>
            <w:tcW w:w="3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74"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r>
          </w:p>
        </w:tc>
        <w:tc>
          <w:tcPr>
            <w:tcW w:w="391" w:type="dxa"/>
            <w:tcBorders/>
            <w:shd w:fill="FFFFFF" w:val="clear"/>
            <w:vAlign w:val="center"/>
          </w:tcPr>
          <w:p>
            <w:pPr>
              <w:pStyle w:val="TableContents"/>
              <w:bidi w:val="0"/>
              <w:spacing w:before="0" w:after="283"/>
              <w:jc w:val="center"/>
              <w:rPr/>
            </w:pPr>
            <w:r>
              <w:rPr/>
              <w:t> </w:t>
            </w:r>
          </w:p>
        </w:tc>
      </w:tr>
      <w:tr>
        <w:trPr/>
        <w:tc>
          <w:tcPr>
            <w:tcW w:w="31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vAlign w:val="center"/>
          </w:tcPr>
          <w:p>
            <w:pPr>
              <w:pStyle w:val="TableContents"/>
              <w:bidi w:val="0"/>
              <w:spacing w:before="0" w:after="283"/>
              <w:jc w:val="left"/>
              <w:rPr/>
            </w:pPr>
            <w:r>
              <w:rPr/>
              <w:t> </w:t>
            </w:r>
          </w:p>
        </w:tc>
        <w:tc>
          <w:tcPr>
            <w:tcW w:w="7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176" w:type="dxa"/>
            <w:tcBorders/>
            <w:shd w:fill="CFF0FC" w:val="cle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w:t>
            </w:r>
          </w:p>
        </w:tc>
        <w:tc>
          <w:tcPr>
            <w:tcW w:w="391" w:type="dxa"/>
            <w:tcBorders/>
            <w:shd w:fill="CFF0FC" w:val="clear"/>
            <w:vAlign w:val="center"/>
          </w:tcPr>
          <w:p>
            <w:pPr>
              <w:pStyle w:val="TableContents"/>
              <w:bidi w:val="0"/>
              <w:spacing w:before="0" w:after="283"/>
              <w:jc w:val="left"/>
              <w:rPr/>
            </w:pPr>
            <w:r>
              <w:rPr/>
              <w:t> </w:t>
            </w:r>
          </w:p>
        </w:tc>
      </w:tr>
      <w:tr>
        <w:trPr/>
        <w:tc>
          <w:tcPr>
            <w:tcW w:w="311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Variable lease cost and other, net </w:t>
            </w:r>
            <w:r>
              <w:rPr>
                <w:rFonts w:ascii="Times New Roman" w:hAnsi="Times New Roman"/>
                <w:color w:val="000000"/>
                <w:sz w:val="13"/>
              </w:rPr>
              <w:t>(i)</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76"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391" w:type="dxa"/>
            <w:tcBorders/>
            <w:shd w:fill="FFFFFF" w:val="clear"/>
            <w:vAlign w:val="center"/>
          </w:tcPr>
          <w:p>
            <w:pPr>
              <w:pStyle w:val="TableContents"/>
              <w:bidi w:val="0"/>
              <w:spacing w:before="0" w:after="283"/>
              <w:jc w:val="left"/>
              <w:rPr/>
            </w:pPr>
            <w:r>
              <w:rPr/>
              <w:t> </w:t>
            </w:r>
          </w:p>
        </w:tc>
      </w:tr>
      <w:tr>
        <w:trPr/>
        <w:tc>
          <w:tcPr>
            <w:tcW w:w="3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lease cost</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50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76" w:type="dxa"/>
            <w:tcBorders/>
            <w:shd w:fill="CFF0FC" w:val="cle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50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91" w:type="dxa"/>
            <w:tcBorders/>
            <w:shd w:fill="CFF0FC" w:val="clear"/>
            <w:vAlign w:val="center"/>
          </w:tcPr>
          <w:p>
            <w:pPr>
              <w:pStyle w:val="TableContents"/>
              <w:bidi w:val="0"/>
              <w:spacing w:before="0" w:after="283"/>
              <w:jc w:val="left"/>
              <w:rPr/>
            </w:pPr>
            <w:r>
              <w:rPr/>
              <w:t> </w:t>
            </w:r>
          </w:p>
        </w:tc>
      </w:tr>
      <w:tr>
        <w:trPr/>
        <w:tc>
          <w:tcPr>
            <w:tcW w:w="3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cost:</w:t>
            </w:r>
          </w:p>
        </w:tc>
        <w:tc>
          <w:tcPr>
            <w:tcW w:w="146" w:type="dxa"/>
            <w:tcBorders/>
            <w:shd w:fill="FFFFFF" w:val="clear"/>
            <w:vAlign w:val="center"/>
          </w:tcPr>
          <w:p>
            <w:pPr>
              <w:pStyle w:val="TableContents"/>
              <w:bidi w:val="0"/>
              <w:spacing w:before="0" w:after="283"/>
              <w:jc w:val="left"/>
              <w:rPr/>
            </w:pPr>
            <w:r>
              <w:rPr/>
              <w:t> </w:t>
            </w:r>
          </w:p>
        </w:tc>
        <w:tc>
          <w:tcPr>
            <w:tcW w:w="761" w:type="dxa"/>
            <w:gridSpan w:val="2"/>
            <w:tcBorders/>
            <w:shd w:fill="FFFFFF" w:val="clear"/>
            <w:vAlign w:val="center"/>
          </w:tcPr>
          <w:p>
            <w:pPr>
              <w:pStyle w:val="TableContents"/>
              <w:bidi w:val="0"/>
              <w:spacing w:before="0" w:after="283"/>
              <w:jc w:val="right"/>
              <w:rPr/>
            </w:pPr>
            <w:r>
              <w:rPr/>
              <w:t> </w:t>
            </w:r>
          </w:p>
        </w:tc>
        <w:tc>
          <w:tcPr>
            <w:tcW w:w="176" w:type="dxa"/>
            <w:tcBorders/>
            <w:shd w:fill="FFFFFF" w:val="clear"/>
            <w:vAlign w:val="center"/>
          </w:tcPr>
          <w:p>
            <w:pPr>
              <w:pStyle w:val="TableContents"/>
              <w:bidi w:val="0"/>
              <w:spacing w:before="0" w:after="283"/>
              <w:jc w:val="right"/>
              <w:rPr/>
            </w:pPr>
            <w:r>
              <w:rPr/>
              <w:t> </w:t>
            </w:r>
          </w:p>
        </w:tc>
        <w:tc>
          <w:tcPr>
            <w:tcW w:w="176" w:type="dxa"/>
            <w:tcBorders/>
            <w:shd w:fill="FFFFFF" w:val="clear"/>
            <w:vAlign w:val="center"/>
          </w:tcPr>
          <w:p>
            <w:pPr>
              <w:pStyle w:val="TableContents"/>
              <w:bidi w:val="0"/>
              <w:spacing w:before="0" w:after="283"/>
              <w:jc w:val="left"/>
              <w:rPr/>
            </w:pPr>
            <w:r>
              <w:rPr/>
              <w:t> </w:t>
            </w:r>
          </w:p>
        </w:tc>
        <w:tc>
          <w:tcPr>
            <w:tcW w:w="76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31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Amortization of right-of-use assets</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50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176" w:type="dxa"/>
            <w:tcBorders/>
            <w:shd w:fill="CFF0FC" w:val="cle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50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1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w:t>
            </w:r>
          </w:p>
        </w:tc>
        <w:tc>
          <w:tcPr>
            <w:tcW w:w="146" w:type="dxa"/>
            <w:tcBorders/>
            <w:shd w:fill="FFFFFF" w:val="cle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costs</w:t>
            </w:r>
          </w:p>
        </w:tc>
        <w:tc>
          <w:tcPr>
            <w:tcW w:w="146" w:type="dxa"/>
            <w:tcBorders/>
            <w:shd w:fill="CFF0FC" w:val="cle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color w:val="000000"/>
          <w:sz w:val="18"/>
        </w:rPr>
      </w:pPr>
      <w:r>
        <w:rPr>
          <w:rFonts w:ascii="Times New Roman" w:hAnsi="Times New Roman"/>
          <w:color w:val="000000"/>
          <w:sz w:val="18"/>
        </w:rPr>
        <w:t>(i)</w:t>
      </w:r>
    </w:p>
    <w:p>
      <w:pPr>
        <w:pStyle w:val="TextBody"/>
        <w:bidi w:val="0"/>
        <w:jc w:val="left"/>
        <w:rPr>
          <w:rFonts w:ascii="Times New Roman" w:hAnsi="Times New Roman"/>
          <w:color w:val="000000"/>
          <w:sz w:val="18"/>
        </w:rPr>
      </w:pPr>
      <w:r>
        <w:rPr>
          <w:rFonts w:ascii="Times New Roman" w:hAnsi="Times New Roman"/>
          <w:color w:val="000000"/>
          <w:sz w:val="18"/>
        </w:rPr>
        <w:t>The variable lease cost and other, net is comprised primarily of common area maintenance charges for the operating lease, which are dependent on usage. These costs are classified as operating lease expense due to the election to not separate lease and non-lease components. These costs were not included within the measurement of the Company’s operating lease ROU assets and operating lease liabilities.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presents the supplemental cash flow disclosures for cash paid for leases for the nine months ended September 30, 2024 and 2023 (in thousands):</w:t>
      </w:r>
    </w:p>
    <w:tbl>
      <w:tblPr>
        <w:tblW w:w="8259" w:type="dxa"/>
        <w:jc w:val="left"/>
        <w:tblInd w:w="0" w:type="dxa"/>
        <w:tblLayout w:type="fixed"/>
        <w:tblCellMar>
          <w:top w:w="28" w:type="dxa"/>
          <w:left w:w="28" w:type="dxa"/>
          <w:bottom w:w="28" w:type="dxa"/>
          <w:right w:w="28" w:type="dxa"/>
        </w:tblCellMar>
      </w:tblPr>
      <w:tblGrid>
        <w:gridCol w:w="5866"/>
        <w:gridCol w:w="146"/>
        <w:gridCol w:w="211"/>
        <w:gridCol w:w="571"/>
        <w:gridCol w:w="146"/>
        <w:gridCol w:w="146"/>
        <w:gridCol w:w="211"/>
        <w:gridCol w:w="571"/>
        <w:gridCol w:w="391"/>
      </w:tblGrid>
      <w:tr>
        <w:trPr/>
        <w:tc>
          <w:tcPr>
            <w:tcW w:w="5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8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r>
          </w:p>
        </w:tc>
        <w:tc>
          <w:tcPr>
            <w:tcW w:w="391" w:type="dxa"/>
            <w:tcBorders/>
            <w:shd w:fill="FFFFFF" w:val="clear"/>
            <w:vAlign w:val="center"/>
          </w:tcPr>
          <w:p>
            <w:pPr>
              <w:pStyle w:val="TableContents"/>
              <w:bidi w:val="0"/>
              <w:spacing w:before="0" w:after="283"/>
              <w:jc w:val="center"/>
              <w:rPr/>
            </w:pPr>
            <w:r>
              <w:rPr/>
              <w:t> </w:t>
            </w:r>
          </w:p>
        </w:tc>
      </w:tr>
      <w:tr>
        <w:trPr/>
        <w:tc>
          <w:tcPr>
            <w:tcW w:w="58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liabilities:</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58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cash flows from operating leases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58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cash flows from finance leases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58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Financing cash flows from finance leases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391" w:type="dxa"/>
            <w:tcBorders/>
            <w:shd w:fill="FFFFFF" w:val="clear"/>
            <w:vAlign w:val="center"/>
          </w:tcPr>
          <w:p>
            <w:pPr>
              <w:pStyle w:val="TableContents"/>
              <w:bidi w:val="0"/>
              <w:spacing w:before="0" w:after="283"/>
              <w:jc w:val="left"/>
              <w:rPr/>
            </w:pPr>
            <w:r>
              <w:rPr/>
              <w:t> </w:t>
            </w:r>
          </w:p>
        </w:tc>
      </w:tr>
      <w:tr>
        <w:trPr/>
        <w:tc>
          <w:tcPr>
            <w:tcW w:w="58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 acquired under leases</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58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w:t>
            </w:r>
          </w:p>
        </w:tc>
        <w:tc>
          <w:tcPr>
            <w:tcW w:w="3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(6) TERM LOAN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Oxford Finance and Silicon Valley Bank Loan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2022, the Company entered into a loan and security agreement, as amended, the Loan Agreement, with Oxford Finance LLC, Oxford Finance Credit Fund II LP, and Silicon Valley Bank, or SVB, collectively the Lenders, for a secured term loan facility of up to $100.0 million. Pursuant to the Loan Agreement, the Company drew an initial loan of $10.0 million. Under the original terms of the Loan Agreement, the Company had the right to draw an additional $40.0 million through the end of June 2024. The original terms of the Loan Agreement provided for an additional $50.0 million over three tranches, with $12.5 million available in each of two tranches based upon the achievement of milestones related to the development of evorpacept and one preclinical product candidate, and $25.0 million at the Lenders’ sole discretion. The Company decided not to draw down on any portion of the $40.0 million available under the Loan Agreement by the deadline of June 30, 2024. As a result of this decision, the $40.0 million was added to the $25.0 million available upon the achievement of pre-determined development milestones for a total of $65.0 million available, split equally between each of the two tranches. An additional $25.0 million is also available at the Lenders’ sole discretion.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proceeds of the loans may be used by the Company for working capital and to fund its general business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 information regarding our indebtedness is included in our notes to our consolidated financial statements in our Annual Report on Form 10-K for the fiscal year ended December 31, 2023, which was filed with the SEC on March 7,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September 30, 2024 and 2023, interest expense incurred in connection with the Loan Agreement was $0.3 million and $0.3 million respectively. During the nine months ended September 30, 2024 and 2023, interest expense incurred in connection with the Loan Agreement was $0.9 million and $0.8 million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2024, the Company was in compliance with all financial reporting covenants under the Loan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2024, the future maturities under the Loan Agreement are as follows (in thousands):</w:t>
      </w:r>
    </w:p>
    <w:p>
      <w:pPr>
        <w:pStyle w:val="TextBody"/>
        <w:bidi w:val="0"/>
        <w:jc w:val="left"/>
        <w:rPr/>
      </w:pPr>
      <w:r>
        <w:rPr/>
        <w:t> </w:t>
      </w:r>
    </w:p>
    <w:tbl>
      <w:tblPr>
        <w:tblW w:w="5323" w:type="dxa"/>
        <w:jc w:val="left"/>
        <w:tblInd w:w="0" w:type="dxa"/>
        <w:tblLayout w:type="fixed"/>
        <w:tblCellMar>
          <w:top w:w="28" w:type="dxa"/>
          <w:left w:w="28" w:type="dxa"/>
          <w:bottom w:w="28" w:type="dxa"/>
          <w:right w:w="28" w:type="dxa"/>
        </w:tblCellMar>
      </w:tblPr>
      <w:tblGrid>
        <w:gridCol w:w="3196"/>
        <w:gridCol w:w="146"/>
        <w:gridCol w:w="420"/>
        <w:gridCol w:w="1350"/>
        <w:gridCol w:w="211"/>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0"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31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left"/>
              <w:rPr/>
            </w:pPr>
            <w:r>
              <w:rPr/>
              <w:t> </w:t>
            </w:r>
          </w:p>
        </w:tc>
        <w:tc>
          <w:tcPr>
            <w:tcW w:w="135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211" w:type="dxa"/>
            <w:tcBorders/>
            <w:shd w:fill="FFFFFF" w:val="clear"/>
            <w:vAlign w:val="center"/>
          </w:tcPr>
          <w:p>
            <w:pPr>
              <w:pStyle w:val="TableContents"/>
              <w:bidi w:val="0"/>
              <w:spacing w:before="0" w:after="283"/>
              <w:jc w:val="left"/>
              <w:rPr/>
            </w:pPr>
            <w:r>
              <w:rPr/>
              <w:t> </w:t>
            </w:r>
          </w:p>
        </w:tc>
      </w:tr>
      <w:tr>
        <w:trPr/>
        <w:tc>
          <w:tcPr>
            <w:tcW w:w="31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left"/>
              <w:rPr/>
            </w:pPr>
            <w:r>
              <w:rPr/>
              <w:t> </w:t>
            </w:r>
          </w:p>
        </w:tc>
        <w:tc>
          <w:tcPr>
            <w:tcW w:w="135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5,217</w:t>
            </w:r>
          </w:p>
        </w:tc>
        <w:tc>
          <w:tcPr>
            <w:tcW w:w="211" w:type="dxa"/>
            <w:tcBorders/>
            <w:shd w:fill="CFF0FC" w:val="clear"/>
            <w:vAlign w:val="center"/>
          </w:tcPr>
          <w:p>
            <w:pPr>
              <w:pStyle w:val="TableContents"/>
              <w:bidi w:val="0"/>
              <w:spacing w:before="0" w:after="283"/>
              <w:jc w:val="left"/>
              <w:rPr/>
            </w:pPr>
            <w:r>
              <w:rPr/>
              <w:t> </w:t>
            </w:r>
          </w:p>
        </w:tc>
      </w:tr>
      <w:tr>
        <w:trPr/>
        <w:tc>
          <w:tcPr>
            <w:tcW w:w="31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left"/>
              <w:rPr/>
            </w:pPr>
            <w:r>
              <w:rPr/>
              <w:t> </w:t>
            </w:r>
          </w:p>
        </w:tc>
        <w:tc>
          <w:tcPr>
            <w:tcW w:w="135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4,948</w:t>
            </w:r>
          </w:p>
        </w:tc>
        <w:tc>
          <w:tcPr>
            <w:tcW w:w="211" w:type="dxa"/>
            <w:tcBorders/>
            <w:shd w:fill="FFFFFF" w:val="clear"/>
            <w:vAlign w:val="center"/>
          </w:tcPr>
          <w:p>
            <w:pPr>
              <w:pStyle w:val="TableContents"/>
              <w:bidi w:val="0"/>
              <w:spacing w:before="0" w:after="283"/>
              <w:jc w:val="left"/>
              <w:rPr/>
            </w:pPr>
            <w:r>
              <w:rPr/>
              <w:t> </w:t>
            </w:r>
          </w:p>
        </w:tc>
      </w:tr>
      <w:tr>
        <w:trPr/>
        <w:tc>
          <w:tcPr>
            <w:tcW w:w="31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4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future maturities</w:t>
            </w:r>
          </w:p>
        </w:tc>
        <w:tc>
          <w:tcPr>
            <w:tcW w:w="14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left"/>
              <w:rPr/>
            </w:pPr>
            <w:r>
              <w:rPr/>
              <w:t> </w:t>
            </w:r>
          </w:p>
        </w:tc>
        <w:tc>
          <w:tcPr>
            <w:tcW w:w="135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10,600</w:t>
            </w:r>
          </w:p>
        </w:tc>
        <w:tc>
          <w:tcPr>
            <w:tcW w:w="211" w:type="dxa"/>
            <w:tcBorders/>
            <w:shd w:fill="FFFFFF" w:val="clear"/>
            <w:vAlign w:val="center"/>
          </w:tcPr>
          <w:p>
            <w:pPr>
              <w:pStyle w:val="TableContents"/>
              <w:bidi w:val="0"/>
              <w:spacing w:before="0" w:after="283"/>
              <w:jc w:val="left"/>
              <w:rPr/>
            </w:pPr>
            <w:r>
              <w:rPr/>
              <w:t> </w:t>
            </w:r>
          </w:p>
        </w:tc>
      </w:tr>
      <w:tr>
        <w:trPr/>
        <w:tc>
          <w:tcPr>
            <w:tcW w:w="31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 of term loan</w:t>
            </w:r>
          </w:p>
        </w:tc>
        <w:tc>
          <w:tcPr>
            <w:tcW w:w="146" w:type="dxa"/>
            <w:tcBorders/>
            <w:shd w:fill="CFF0FC" w:val="clear"/>
            <w:vAlign w:val="center"/>
          </w:tcPr>
          <w:p>
            <w:pPr>
              <w:pStyle w:val="TableContents"/>
              <w:bidi w:val="0"/>
              <w:spacing w:before="0" w:after="283"/>
              <w:jc w:val="left"/>
              <w:rPr/>
            </w:pPr>
            <w:r>
              <w:rPr/>
              <w:t> </w:t>
            </w:r>
          </w:p>
        </w:tc>
        <w:tc>
          <w:tcPr>
            <w:tcW w:w="4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term loan, net of current portion</w:t>
            </w:r>
          </w:p>
        </w:tc>
        <w:tc>
          <w:tcPr>
            <w:tcW w:w="14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left"/>
              <w:rPr/>
            </w:pPr>
            <w:r>
              <w:rPr/>
              <w:t> </w:t>
            </w:r>
          </w:p>
        </w:tc>
        <w:tc>
          <w:tcPr>
            <w:tcW w:w="135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10,600</w:t>
            </w:r>
          </w:p>
        </w:tc>
        <w:tc>
          <w:tcPr>
            <w:tcW w:w="211" w:type="dxa"/>
            <w:tcBorders/>
            <w:shd w:fill="FFFFFF" w:val="clear"/>
            <w:vAlign w:val="center"/>
          </w:tcPr>
          <w:p>
            <w:pPr>
              <w:pStyle w:val="TableContents"/>
              <w:bidi w:val="0"/>
              <w:spacing w:before="0" w:after="283"/>
              <w:jc w:val="left"/>
              <w:rPr/>
            </w:pPr>
            <w:r>
              <w:rPr/>
              <w:t> </w:t>
            </w:r>
          </w:p>
        </w:tc>
      </w:tr>
      <w:tr>
        <w:trPr/>
        <w:tc>
          <w:tcPr>
            <w:tcW w:w="31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unamortized debt issuance costs</w:t>
            </w:r>
          </w:p>
        </w:tc>
        <w:tc>
          <w:tcPr>
            <w:tcW w:w="146"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left"/>
              <w:rPr/>
            </w:pPr>
            <w:r>
              <w:rPr/>
              <w:t> </w:t>
            </w:r>
          </w:p>
        </w:tc>
        <w:tc>
          <w:tcPr>
            <w:tcW w:w="135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unaccreted final payment costs</w:t>
            </w:r>
          </w:p>
        </w:tc>
        <w:tc>
          <w:tcPr>
            <w:tcW w:w="146" w:type="dxa"/>
            <w:tcBorders/>
            <w:shd w:fill="FFFFFF" w:val="clear"/>
            <w:vAlign w:val="center"/>
          </w:tcPr>
          <w:p>
            <w:pPr>
              <w:pStyle w:val="TableContents"/>
              <w:bidi w:val="0"/>
              <w:spacing w:before="0" w:after="283"/>
              <w:jc w:val="left"/>
              <w:rPr/>
            </w:pPr>
            <w:r>
              <w:rP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 non-current, net</w:t>
            </w:r>
          </w:p>
        </w:tc>
        <w:tc>
          <w:tcPr>
            <w:tcW w:w="146" w:type="dxa"/>
            <w:tcBorders/>
            <w:shd w:fill="CFF0FC" w:val="clear"/>
            <w:vAlign w:val="center"/>
          </w:tcPr>
          <w:p>
            <w:pPr>
              <w:pStyle w:val="TableContents"/>
              <w:bidi w:val="0"/>
              <w:spacing w:before="0" w:after="283"/>
              <w:jc w:val="right"/>
              <w:rPr/>
            </w:pPr>
            <w:r>
              <w:rPr/>
              <w:t> </w:t>
            </w:r>
          </w:p>
        </w:tc>
        <w:tc>
          <w:tcPr>
            <w:tcW w:w="4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(7) STOCKHOLDERS’ EQUITY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21, 2020, the Company’s amended and restated certificate of incorporation became effective, authorizing 1,000,000,000 shares of common stock, $0.001 par value per share, and 100,000,000 shares of undesignated preferred stock, $0.001 par value per share. As of September 30, 2024 and December 31, 2023, the Company had 52,743,104 and 49,951,989 shares of common stock outstanding, respectively, and no shares of undesignated preferred stock outstanding, respectively.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Common stock reserved for future issuance as of September 30, 2024 consists of the following:</w:t>
      </w:r>
    </w:p>
    <w:tbl>
      <w:tblPr>
        <w:tblW w:w="7772" w:type="dxa"/>
        <w:jc w:val="left"/>
        <w:tblInd w:w="0" w:type="dxa"/>
        <w:tblLayout w:type="fixed"/>
        <w:tblCellMar>
          <w:top w:w="28" w:type="dxa"/>
          <w:left w:w="28" w:type="dxa"/>
          <w:bottom w:w="28" w:type="dxa"/>
          <w:right w:w="28" w:type="dxa"/>
        </w:tblCellMar>
      </w:tblPr>
      <w:tblGrid>
        <w:gridCol w:w="5611"/>
        <w:gridCol w:w="218"/>
        <w:gridCol w:w="1552"/>
        <w:gridCol w:w="391"/>
      </w:tblGrid>
      <w:tr>
        <w:trPr/>
        <w:tc>
          <w:tcPr>
            <w:tcW w:w="561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611" w:type="dxa"/>
            <w:tcBorders/>
            <w:shd w:fill="FFFFFF" w:val="cle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issued and outstanding</w:t>
            </w:r>
          </w:p>
        </w:tc>
        <w:tc>
          <w:tcPr>
            <w:tcW w:w="218" w:type="dxa"/>
            <w:tcBorders/>
            <w:shd w:fill="CFF0FC" w:val="clear"/>
            <w:vAlign w:val="center"/>
          </w:tcPr>
          <w:p>
            <w:pPr>
              <w:pStyle w:val="TableContents"/>
              <w:bidi w:val="0"/>
              <w:spacing w:before="0" w:after="283"/>
              <w:jc w:val="left"/>
              <w:rPr/>
            </w:pPr>
            <w:r>
              <w:rPr/>
              <w:t> </w:t>
            </w:r>
          </w:p>
        </w:tc>
        <w:tc>
          <w:tcPr>
            <w:tcW w:w="155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10,089,807</w:t>
            </w:r>
          </w:p>
        </w:tc>
        <w:tc>
          <w:tcPr>
            <w:tcW w:w="391" w:type="dxa"/>
            <w:tcBorders/>
            <w:shd w:fill="CFF0FC" w:val="clear"/>
            <w:vAlign w:val="center"/>
          </w:tcPr>
          <w:p>
            <w:pPr>
              <w:pStyle w:val="TableContents"/>
              <w:bidi w:val="0"/>
              <w:spacing w:before="0" w:after="283"/>
              <w:jc w:val="left"/>
              <w:rPr/>
            </w:pPr>
            <w:r>
              <w:rPr/>
              <w:t> </w:t>
            </w:r>
          </w:p>
        </w:tc>
      </w:tr>
      <w:tr>
        <w:trPr/>
        <w:tc>
          <w:tcPr>
            <w:tcW w:w="56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authorized for future issuance</w:t>
            </w:r>
          </w:p>
        </w:tc>
        <w:tc>
          <w:tcPr>
            <w:tcW w:w="218" w:type="dxa"/>
            <w:tcBorders/>
            <w:shd w:fill="FFFFFF" w:val="clear"/>
            <w:vAlign w:val="center"/>
          </w:tcPr>
          <w:p>
            <w:pPr>
              <w:pStyle w:val="TableContents"/>
              <w:bidi w:val="0"/>
              <w:spacing w:before="0" w:after="283"/>
              <w:jc w:val="left"/>
              <w:rPr/>
            </w:pPr>
            <w:r>
              <w:rPr/>
              <w:t> </w:t>
            </w:r>
          </w:p>
        </w:tc>
        <w:tc>
          <w:tcPr>
            <w:tcW w:w="155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1,038,768</w:t>
            </w:r>
          </w:p>
        </w:tc>
        <w:tc>
          <w:tcPr>
            <w:tcW w:w="391" w:type="dxa"/>
            <w:tcBorders/>
            <w:shd w:fill="FFFFFF" w:val="clear"/>
            <w:vAlign w:val="center"/>
          </w:tcPr>
          <w:p>
            <w:pPr>
              <w:pStyle w:val="TableContents"/>
              <w:bidi w:val="0"/>
              <w:spacing w:before="0" w:after="283"/>
              <w:jc w:val="left"/>
              <w:rPr/>
            </w:pPr>
            <w:r>
              <w:rPr/>
              <w:t> </w:t>
            </w:r>
          </w:p>
        </w:tc>
      </w:tr>
      <w:tr>
        <w:trPr/>
        <w:tc>
          <w:tcPr>
            <w:tcW w:w="56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Stock Purchase Plan shares authorized for future issuance</w:t>
            </w:r>
          </w:p>
        </w:tc>
        <w:tc>
          <w:tcPr>
            <w:tcW w:w="218" w:type="dxa"/>
            <w:tcBorders/>
            <w:shd w:fill="CFF0FC" w:val="clear"/>
            <w:vAlign w:val="center"/>
          </w:tcPr>
          <w:p>
            <w:pPr>
              <w:pStyle w:val="TableContents"/>
              <w:bidi w:val="0"/>
              <w:spacing w:before="0" w:after="283"/>
              <w:jc w:val="left"/>
              <w:rPr/>
            </w:pPr>
            <w:r>
              <w:rPr/>
              <w:t> </w:t>
            </w:r>
          </w:p>
        </w:tc>
        <w:tc>
          <w:tcPr>
            <w:tcW w:w="155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1,005,677</w:t>
            </w:r>
          </w:p>
        </w:tc>
        <w:tc>
          <w:tcPr>
            <w:tcW w:w="391" w:type="dxa"/>
            <w:tcBorders/>
            <w:shd w:fill="CFF0FC" w:val="clear"/>
            <w:vAlign w:val="center"/>
          </w:tcPr>
          <w:p>
            <w:pPr>
              <w:pStyle w:val="TableContents"/>
              <w:bidi w:val="0"/>
              <w:spacing w:before="0" w:after="283"/>
              <w:jc w:val="left"/>
              <w:rPr/>
            </w:pPr>
            <w:r>
              <w:rPr/>
              <w:t> </w:t>
            </w:r>
          </w:p>
        </w:tc>
      </w:tr>
      <w:tr>
        <w:trPr/>
        <w:tc>
          <w:tcPr>
            <w:tcW w:w="56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 issued and outstanding</w:t>
            </w:r>
          </w:p>
        </w:tc>
        <w:tc>
          <w:tcPr>
            <w:tcW w:w="218" w:type="dxa"/>
            <w:tcBorders/>
            <w:shd w:fill="FFFFFF" w:val="clear"/>
            <w:vAlign w:val="center"/>
          </w:tcPr>
          <w:p>
            <w:pPr>
              <w:pStyle w:val="TableContents"/>
              <w:bidi w:val="0"/>
              <w:spacing w:before="0" w:after="283"/>
              <w:jc w:val="left"/>
              <w:rPr/>
            </w:pPr>
            <w:r>
              <w:rPr/>
              <w:t> </w:t>
            </w:r>
          </w:p>
        </w:tc>
        <w:tc>
          <w:tcPr>
            <w:tcW w:w="155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1,026,238</w:t>
            </w:r>
          </w:p>
        </w:tc>
        <w:tc>
          <w:tcPr>
            <w:tcW w:w="391" w:type="dxa"/>
            <w:tcBorders/>
            <w:shd w:fill="FFFFFF" w:val="clear"/>
            <w:vAlign w:val="center"/>
          </w:tcPr>
          <w:p>
            <w:pPr>
              <w:pStyle w:val="TableContents"/>
              <w:bidi w:val="0"/>
              <w:spacing w:before="0" w:after="283"/>
              <w:jc w:val="left"/>
              <w:rPr/>
            </w:pPr>
            <w:r>
              <w:rPr/>
              <w:t> </w:t>
            </w:r>
          </w:p>
        </w:tc>
      </w:tr>
      <w:tr>
        <w:trPr/>
        <w:tc>
          <w:tcPr>
            <w:tcW w:w="56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PSUs issued and outstanding</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357,500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6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13,517,990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At-the-Market Equity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2021, the Company entered into a sales agreement with Cantor Fitzgerald &amp; Co. and Credit Suisse Securities (USA) LLC (Sales Agreement), under which it may offer and sell shares of the Company’s common stock, having aggregate gross proceeds of up to $150.0 million, from time to time through them as the Company’s sales agents in its at-the-market (ATM) equity offering program. In August 2023, the Company entered into an amendment to the Sales Agreement to include UBS Securities LLC as an additional sales agent and to remove Credit Suisse as a sales agent. As of September 30, 2024, the Company had issued approximately 2,005,910 shares of common stock pursuant to the Sales Agreement for net proceeds of $29.3 million. The Company may terminate this ATM program at any time, pursuant to its terms.</w:t>
      </w:r>
    </w:p>
    <w:p>
      <w:pPr>
        <w:pStyle w:val="TextBody"/>
        <w:bidi w:val="0"/>
        <w:spacing w:before="120" w:after="283"/>
        <w:jc w:val="left"/>
        <w:rPr>
          <w:rFonts w:ascii="Times New Roman" w:hAnsi="Times New Roman"/>
          <w:sz w:val="20"/>
        </w:rPr>
      </w:pPr>
      <w:r>
        <w:rPr>
          <w:rFonts w:ascii="Times New Roman" w:hAnsi="Times New Roman"/>
          <w:b/>
          <w:i/>
          <w:color w:val="000000"/>
          <w:sz w:val="20"/>
        </w:rPr>
        <w:t>Pre-Funded Warrants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2023, the Company completed an underwritten follow-on public offering (the October 2023 Offering) pursuant to a shelf registration statement, which provides for aggregate offerings of up to $450.0 million of the Company’s securities. As part of the October 2023 underwritten public offering, the Company issued pre-funded warrants to certain investors to purchase 1,250,000 shares of common stock in an underwritten public offering at a public offering price of $6.379 per pre-funded warrant. Each pre-funded warrant entitles the holder to purchase one share of common stock at an exercise price of $0.001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2024 and December 31, 2023, respectively, no shares underlying the pre-funded warrants had been exercised. All of the outstanding pre-funded warrants are included in the weighted-average number of shares of common stock used to calculate basic net loss per share attributable to common stockholders (see Note 10 “Net Loss Per Share”).</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(8) STOCK-BASED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Amended and Restated 2020 Equity Incentive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Amended and Restated 2020 Equity Incentive Plan, or the 2020 Plan, serves as the successor to the Company’s 2020 Equity Incentive Plan and provides for the granting of incentive stock options, non-statutory stock options, stock appreciation rights, restricted stock, restricted stock units, performance units and performance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1, 2024, the number of shares available under the 2020 Plan was increased by 1,998,080 shares.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Performance-Based Restricted Stock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2024, the Company granted 365,000 performance-based restricted stock units, or PSUs, to certain employees under the 2020 Plan. The PSUs are subject to both performance-based and service-based vesting conditions with a fair value based on the closing price of the underlying common stock on the date of grant. Each PSU is split into two tranches with each tranche having performance goals based on the achievement of pre-determined clinical milestones that result in the shares attributable to such tranche being eligible for vesting, subject to the service-based vesting condition. The service-based vesting condition is satisfied on the one-year anniversary of the performance achievement date for each tranche and is subject to the employee’s continuous service through such vesting date. Upon vesting, each PSU will automatically convert into one share of the Company’s common stock. If the performance condition for a tranche is not met by March 31, 2025, the shares attributable to such tranche will be forfeited.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Compensation expense for awards with performance-based vesting requirements are recognized on a tranche-by-tranche basis based on the grant date fair value over the requisite service period using the accelerated attribution method if and when the performance condition is deemed to be probable of being achieved. At each reporting period, the Company will assess the probability of the performance condition being met for each tranche and, as applicable, recognize the cumulative effect of the change in estimate in the period of the change.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2024, the Company determined that the achievement of the performance conditions for each tranche of PSUs was not probable. As a result, no compensation expense has been recognized for these awards as of and for the three months and nine months ended September 30, 2024.</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Employee Stock Purchase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Company’s 2020 Employee Stock Purchase Plan, or the ESPP, eligible employees are entitled to purchase shares of common stock with accumulated payroll deductions.</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Stock-based Compensation Expenses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Total stock-based compensation expense recognized in the condensed consolidated statements of operations was as follows (in thousands):</w:t>
      </w:r>
    </w:p>
    <w:tbl>
      <w:tblPr>
        <w:tblW w:w="7062" w:type="dxa"/>
        <w:jc w:val="left"/>
        <w:tblInd w:w="0" w:type="dxa"/>
        <w:tblLayout w:type="fixed"/>
        <w:tblCellMar>
          <w:top w:w="28" w:type="dxa"/>
          <w:left w:w="28" w:type="dxa"/>
          <w:bottom w:w="28" w:type="dxa"/>
          <w:right w:w="28" w:type="dxa"/>
        </w:tblCellMar>
      </w:tblPr>
      <w:tblGrid>
        <w:gridCol w:w="2311"/>
        <w:gridCol w:w="146"/>
        <w:gridCol w:w="211"/>
        <w:gridCol w:w="571"/>
        <w:gridCol w:w="146"/>
        <w:gridCol w:w="146"/>
        <w:gridCol w:w="211"/>
        <w:gridCol w:w="571"/>
        <w:gridCol w:w="146"/>
        <w:gridCol w:w="146"/>
        <w:gridCol w:w="211"/>
        <w:gridCol w:w="676"/>
        <w:gridCol w:w="146"/>
        <w:gridCol w:w="146"/>
        <w:gridCol w:w="211"/>
        <w:gridCol w:w="676"/>
        <w:gridCol w:w="3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w:t>
            </w:r>
          </w:p>
        </w:tc>
        <w:tc>
          <w:tcPr>
            <w:tcW w:w="391" w:type="dxa"/>
            <w:tcBorders/>
            <w:shd w:fill="FFFFFF" w:val="clear"/>
            <w:vAlign w:val="center"/>
          </w:tcPr>
          <w:p>
            <w:pPr>
              <w:pStyle w:val="TableContents"/>
              <w:bidi w:val="0"/>
              <w:spacing w:before="0" w:after="283"/>
              <w:jc w:val="center"/>
              <w:rPr/>
            </w:pPr>
            <w:r>
              <w:rPr/>
              <w:t> </w:t>
            </w:r>
          </w:p>
        </w:tc>
      </w:tr>
      <w:tr>
        <w:trPr/>
        <w:tc>
          <w:tcPr>
            <w:tcW w:w="23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10,011</w:t>
            </w:r>
          </w:p>
        </w:tc>
        <w:tc>
          <w:tcPr>
            <w:tcW w:w="391" w:type="dxa"/>
            <w:tcBorders/>
            <w:shd w:fill="CFF0FC"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19,552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(9) RELATED-PARTY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several related-party agreements with Tallac Therapeutics, Inc., or Tallac, and with ScalmiBio, Inc., or ScalmiBio. The details of these agreements are described in our notes to our consolidated financial statements in our Annual Report on Form 10-K for the fiscal year ended December 31, 2023, which was filed with the SEC on March 7, 2024. During the three months and nine months ended September 30, 2024, there were no material changes to these agreements.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Tallac Service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September 30, 2024 and 2023, the Company recorded zero and $0.1 million, respectively, as research and development, or R&amp;D, costs in relation to the research and development services agreement with Tallac, or the Tallac Services Agreement. During the nine months ended September 30, 2024 and 2023, the Company recorded a nominal amount and $0.3 million, respectively, as R&amp;D costs in relation to the Tallac Services Agreement. Per contractual terms, the Tallac Services Agreement terminated on July 1, 2024.</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Tallac Collaboration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September 30, 2024 and 2023, the Company recorded $0.1 million and $0.3 million, respectively, as R&amp;D costs in relation to the collaboration agreement with Tallac, or the Tallac Collaboration Agreement. During the nine months ended September 30, 2024 and 2023, the Company recorded $0.7 million and $1.2 million, respectively, as R&amp;D costs in relation to the Tallac Collaboration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2024 and December 31, 2023, the Company had accrued expenses of $0.1 million and $0.5 million, respectively, related to the Tallac Collaboration Agreement, which was presented within the payable and accrued liabilities due to related party on the condensed consolidated balance sheets.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ScalmiBio Milestone Payments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agreed to pay up to $35.0 million, in aggregate, in certain milestones based on the clinical development of the acquired ScalmiBio technology and has also agreed to pay a low single digit royalty on net sales of any products developed from the ScalmiBio acquired technology for a defined term. The Company has the option to buy-out the royalty payment, prior to the first marketing approval of the developed product.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and nine months ended September 30, 2024, the Company made no milestone payment and $1.0 million milestone payment, respectively, as a result of selecting a development candidate, to the stockholders of ScalmiBio, including 31.7%, or $0.3 million, to the Company’s former Chief Executive Officer and current Chief Scientific Officer and President, and 63.5%, or $0.6 million, to another employee of the Company. This milestone payment was recorded as R&amp;D costs within the condensed consolidated statements of operations.</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(10) NET LOSS PER SHARE</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sets forth the computation of the basic and diluted net loss per share for the three months and nine months ended September 30, 2024 and 2023 (in thousands, except share and per share data):</w:t>
      </w:r>
    </w:p>
    <w:tbl>
      <w:tblPr>
        <w:tblW w:w="10205" w:type="dxa"/>
        <w:jc w:val="left"/>
        <w:tblInd w:w="0" w:type="dxa"/>
        <w:tblLayout w:type="fixed"/>
        <w:tblCellMar>
          <w:top w:w="28" w:type="dxa"/>
          <w:left w:w="28" w:type="dxa"/>
          <w:bottom w:w="28" w:type="dxa"/>
          <w:right w:w="28" w:type="dxa"/>
        </w:tblCellMar>
      </w:tblPr>
      <w:tblGrid>
        <w:gridCol w:w="3744"/>
        <w:gridCol w:w="146"/>
        <w:gridCol w:w="211"/>
        <w:gridCol w:w="1036"/>
        <w:gridCol w:w="166"/>
        <w:gridCol w:w="146"/>
        <w:gridCol w:w="211"/>
        <w:gridCol w:w="1036"/>
        <w:gridCol w:w="166"/>
        <w:gridCol w:w="146"/>
        <w:gridCol w:w="211"/>
        <w:gridCol w:w="1036"/>
        <w:gridCol w:w="166"/>
        <w:gridCol w:w="146"/>
        <w:gridCol w:w="211"/>
        <w:gridCol w:w="1036"/>
        <w:gridCol w:w="391"/>
      </w:tblGrid>
      <w:tr>
        <w:trPr/>
        <w:tc>
          <w:tcPr>
            <w:tcW w:w="3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4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80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280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r>
          </w:p>
        </w:tc>
        <w:tc>
          <w:tcPr>
            <w:tcW w:w="391" w:type="dxa"/>
            <w:tcBorders/>
            <w:shd w:fill="FFFFFF" w:val="clear"/>
            <w:vAlign w:val="center"/>
          </w:tcPr>
          <w:p>
            <w:pPr>
              <w:pStyle w:val="TableContents"/>
              <w:bidi w:val="0"/>
              <w:spacing w:before="0" w:after="283"/>
              <w:jc w:val="center"/>
              <w:rPr/>
            </w:pPr>
            <w:r>
              <w:rPr/>
              <w:t> </w:t>
            </w:r>
          </w:p>
        </w:tc>
      </w:tr>
      <w:tr>
        <w:trPr/>
        <w:tc>
          <w:tcPr>
            <w:tcW w:w="374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74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(30,707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(50,990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(105,687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(115,333</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74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Weighted-average shares of common stock outstanding, basic and diluted</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52,693,878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41,147,938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51,544,501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40,963,015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the Company was in a loss position for all periods presented, basic net loss per share is the same as diluted net loss per share for all periods presented as the inclusion of all potential common stock outstanding would have been anti-dilutive.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outstanding potentially dilutive securities were excluded from the computation of diluted net loss per share for the three months and nine months ended September 30, 2024 and 2023 because including them would have been anti-dilutive:</w:t>
      </w:r>
    </w:p>
    <w:tbl>
      <w:tblPr>
        <w:tblW w:w="8575" w:type="dxa"/>
        <w:jc w:val="left"/>
        <w:tblInd w:w="0" w:type="dxa"/>
        <w:tblLayout w:type="fixed"/>
        <w:tblCellMar>
          <w:top w:w="28" w:type="dxa"/>
          <w:left w:w="28" w:type="dxa"/>
          <w:bottom w:w="28" w:type="dxa"/>
          <w:right w:w="28" w:type="dxa"/>
        </w:tblCellMar>
      </w:tblPr>
      <w:tblGrid>
        <w:gridCol w:w="4696"/>
        <w:gridCol w:w="146"/>
        <w:gridCol w:w="183"/>
        <w:gridCol w:w="1305"/>
        <w:gridCol w:w="183"/>
        <w:gridCol w:w="183"/>
        <w:gridCol w:w="183"/>
        <w:gridCol w:w="1305"/>
        <w:gridCol w:w="391"/>
      </w:tblGrid>
      <w:tr>
        <w:trPr/>
        <w:tc>
          <w:tcPr>
            <w:tcW w:w="4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342"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and Nine Months Ended</w:t>
            </w:r>
          </w:p>
        </w:tc>
        <w:tc>
          <w:tcPr>
            <w:tcW w:w="391" w:type="dxa"/>
            <w:tcBorders/>
            <w:shd w:fill="FFFFFF" w:val="clear"/>
            <w:vAlign w:val="center"/>
          </w:tcPr>
          <w:p>
            <w:pPr>
              <w:pStyle w:val="TableContents"/>
              <w:bidi w:val="0"/>
              <w:spacing w:before="0" w:after="283"/>
              <w:jc w:val="center"/>
              <w:rPr/>
            </w:pPr>
            <w:r>
              <w:rPr/>
              <w:t> </w:t>
            </w:r>
          </w:p>
        </w:tc>
      </w:tr>
      <w:tr>
        <w:trPr/>
        <w:tc>
          <w:tcPr>
            <w:tcW w:w="46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3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shd w:fill="FFFFFF" w:val="clear"/>
            <w:vAlign w:val="center"/>
          </w:tcPr>
          <w:p>
            <w:pPr>
              <w:pStyle w:val="TableContents"/>
              <w:bidi w:val="0"/>
              <w:spacing w:before="0" w:after="283"/>
              <w:jc w:val="center"/>
              <w:rPr/>
            </w:pPr>
            <w:r>
              <w:rPr/>
              <w:t> </w:t>
            </w:r>
          </w:p>
        </w:tc>
        <w:tc>
          <w:tcPr>
            <w:tcW w:w="14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issued and outstanding</w:t>
            </w:r>
          </w:p>
        </w:tc>
        <w:tc>
          <w:tcPr>
            <w:tcW w:w="146" w:type="dxa"/>
            <w:tcBorders/>
            <w:shd w:fill="CFF0FC" w:val="clear"/>
            <w:vAlign w:val="center"/>
          </w:tcPr>
          <w:p>
            <w:pPr>
              <w:pStyle w:val="TableContents"/>
              <w:bidi w:val="0"/>
              <w:spacing w:before="0" w:after="283"/>
              <w:jc w:val="right"/>
              <w:rPr/>
            </w:pPr>
            <w:r>
              <w:rPr/>
              <w:t> </w:t>
            </w:r>
          </w:p>
        </w:tc>
        <w:tc>
          <w:tcPr>
            <w:tcW w:w="183" w:type="dxa"/>
            <w:tcBorders/>
            <w:shd w:fill="CFF0FC" w:val="clear"/>
            <w:vAlign w:val="center"/>
          </w:tcPr>
          <w:p>
            <w:pPr>
              <w:pStyle w:val="TableContents"/>
              <w:bidi w:val="0"/>
              <w:spacing w:before="0" w:after="283"/>
              <w:jc w:val="left"/>
              <w:rPr/>
            </w:pPr>
            <w:r>
              <w:rPr/>
              <w:t> </w:t>
            </w:r>
          </w:p>
        </w:tc>
        <w:tc>
          <w:tcPr>
            <w:tcW w:w="130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10,089,807</w:t>
            </w:r>
          </w:p>
        </w:tc>
        <w:tc>
          <w:tcPr>
            <w:tcW w:w="183" w:type="dxa"/>
            <w:tcBorders/>
            <w:shd w:fill="CFF0FC" w:val="cle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130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9,114,886</w:t>
            </w:r>
          </w:p>
        </w:tc>
        <w:tc>
          <w:tcPr>
            <w:tcW w:w="391" w:type="dxa"/>
            <w:tcBorders/>
            <w:shd w:fill="CFF0FC" w:val="clear"/>
            <w:vAlign w:val="center"/>
          </w:tcPr>
          <w:p>
            <w:pPr>
              <w:pStyle w:val="TableContents"/>
              <w:bidi w:val="0"/>
              <w:spacing w:before="0" w:after="283"/>
              <w:jc w:val="left"/>
              <w:rPr/>
            </w:pPr>
            <w:r>
              <w:rPr/>
              <w:t> </w:t>
            </w:r>
          </w:p>
        </w:tc>
      </w:tr>
      <w:tr>
        <w:trPr/>
        <w:tc>
          <w:tcPr>
            <w:tcW w:w="46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 issued and outstanding</w:t>
            </w:r>
          </w:p>
        </w:tc>
        <w:tc>
          <w:tcPr>
            <w:tcW w:w="146" w:type="dxa"/>
            <w:tcBorders/>
            <w:shd w:fill="FFFFFF" w:val="clear"/>
            <w:vAlign w:val="center"/>
          </w:tcPr>
          <w:p>
            <w:pPr>
              <w:pStyle w:val="TableContents"/>
              <w:bidi w:val="0"/>
              <w:spacing w:before="0" w:after="283"/>
              <w:jc w:val="right"/>
              <w:rPr/>
            </w:pPr>
            <w:r>
              <w:rPr/>
              <w:t> </w:t>
            </w:r>
          </w:p>
        </w:tc>
        <w:tc>
          <w:tcPr>
            <w:tcW w:w="183"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1,026,238</w:t>
            </w:r>
          </w:p>
        </w:tc>
        <w:tc>
          <w:tcPr>
            <w:tcW w:w="183"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1,084,403</w:t>
            </w:r>
          </w:p>
        </w:tc>
        <w:tc>
          <w:tcPr>
            <w:tcW w:w="391" w:type="dxa"/>
            <w:tcBorders/>
            <w:shd w:fill="FFFFFF" w:val="clear"/>
            <w:vAlign w:val="center"/>
          </w:tcPr>
          <w:p>
            <w:pPr>
              <w:pStyle w:val="TableContents"/>
              <w:bidi w:val="0"/>
              <w:spacing w:before="0" w:after="283"/>
              <w:jc w:val="left"/>
              <w:rPr/>
            </w:pPr>
            <w:r>
              <w:rPr/>
              <w:t> </w:t>
            </w:r>
          </w:p>
        </w:tc>
      </w:tr>
      <w:tr>
        <w:trPr/>
        <w:tc>
          <w:tcPr>
            <w:tcW w:w="46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PSUs issued and outstanding</w:t>
            </w:r>
          </w:p>
        </w:tc>
        <w:tc>
          <w:tcPr>
            <w:tcW w:w="146" w:type="dxa"/>
            <w:tcBorders/>
            <w:shd w:fill="CFF0FC" w:val="clear"/>
            <w:vAlign w:val="center"/>
          </w:tcPr>
          <w:p>
            <w:pPr>
              <w:pStyle w:val="TableContents"/>
              <w:bidi w:val="0"/>
              <w:spacing w:before="0" w:after="283"/>
              <w:jc w:val="right"/>
              <w:rPr/>
            </w:pPr>
            <w:r>
              <w:rPr/>
              <w:t> </w:t>
            </w:r>
          </w:p>
        </w:tc>
        <w:tc>
          <w:tcPr>
            <w:tcW w:w="183" w:type="dxa"/>
            <w:tcBorders/>
            <w:shd w:fill="CFF0FC" w:val="clear"/>
            <w:vAlign w:val="center"/>
          </w:tcPr>
          <w:p>
            <w:pPr>
              <w:pStyle w:val="TableContents"/>
              <w:bidi w:val="0"/>
              <w:spacing w:before="0" w:after="283"/>
              <w:jc w:val="left"/>
              <w:rPr/>
            </w:pPr>
            <w:r>
              <w:rPr/>
              <w:t> </w:t>
            </w:r>
          </w:p>
        </w:tc>
        <w:tc>
          <w:tcPr>
            <w:tcW w:w="130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357,500</w:t>
            </w:r>
          </w:p>
        </w:tc>
        <w:tc>
          <w:tcPr>
            <w:tcW w:w="183" w:type="dxa"/>
            <w:tcBorders/>
            <w:shd w:fill="CFF0FC" w:val="cle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1305"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46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Stock Purchase Plan estimated shares issuable</w:t>
            </w:r>
          </w:p>
        </w:tc>
        <w:tc>
          <w:tcPr>
            <w:tcW w:w="146" w:type="dxa"/>
            <w:tcBorders/>
            <w:shd w:fill="FFFFFF" w:val="clear"/>
            <w:vAlign w:val="center"/>
          </w:tcPr>
          <w:p>
            <w:pPr>
              <w:pStyle w:val="TableContents"/>
              <w:bidi w:val="0"/>
              <w:spacing w:before="0" w:after="283"/>
              <w:jc w:val="righ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17,520</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right"/>
              <w:rPr/>
            </w:pPr>
            <w:r>
              <w:rPr/>
              <w:t> </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11,491,065</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10,199,289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(11) COMMITMENTS AND CONTINGENCIES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Guarantees and Indemnifications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To date, the Company has not paid any claims or been required to defend any action related to its indemnification obligations. However, the Company may record charges in the future as a result of these indemnification obligations. The Company also has indemnification obligations to its officers and directors for specified events or occurrences, subject to some limits, while they are serving at the Company’s request in such capacities. There have been no claims to date and the Company has director and officer insurance that may enable the Company to recover a portion of any amounts paid for future potential claims. The Company believes the fair value of these indemnification agreements is minimal. Accordingly, the Company has not recorded any liabilities for these agreements as of September 30, 2024.</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Contingencies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the Company may be a party to various claims in the normal course of business. Legal fees and other costs associated with such actions will be expensed as incurred. The Company will assess, in conjunction with its legal counsel, the need to record a liability for litigation and contingencies. Reserve estimates will be recorded when and if it is determined that a loss related matter is both probable and reasonably estimable. As of September 30, 2024, the Company had no pending or threatened litigation.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Other Contractual Obligations and Other 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other contractual obligations and other commitments from manufacturing and service contracts, which are presented as follows as of September 30, 2024 (in thousands):</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765"/>
        <w:gridCol w:w="146"/>
        <w:gridCol w:w="211"/>
        <w:gridCol w:w="571"/>
        <w:gridCol w:w="146"/>
        <w:gridCol w:w="146"/>
        <w:gridCol w:w="548"/>
        <w:gridCol w:w="1487"/>
        <w:gridCol w:w="146"/>
        <w:gridCol w:w="146"/>
        <w:gridCol w:w="260"/>
        <w:gridCol w:w="704"/>
        <w:gridCol w:w="146"/>
        <w:gridCol w:w="146"/>
        <w:gridCol w:w="371"/>
        <w:gridCol w:w="559"/>
        <w:gridCol w:w="146"/>
        <w:gridCol w:w="146"/>
        <w:gridCol w:w="386"/>
        <w:gridCol w:w="635"/>
        <w:gridCol w:w="394"/>
      </w:tblGrid>
      <w:tr>
        <w:trPr/>
        <w:tc>
          <w:tcPr>
            <w:tcW w:w="27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276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900"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2024</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2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br/>
              <w:t>(remaining three months)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9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2027-2028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Thereafter</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Manufacturing and service contracts</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6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2015, the Company entered into a Master Service Agreement, or the MSA, with KBI Biopharma, Inc. relating to formulation development, process development and current good manufacturing practices, or cGMP, manufacturing of evorpacept for use in clinical trials on a project basis. The MSA had an initial term of three years with successive one-year renewal periods, which was extended an additional eight years until November 2026, is cancellable upon notice and is non-exclusive. Statements of work under the MSA commit the Company to certain future purchase obligations of approximately $1.2 million. In addition, the Company has commitments with other pharmaceutical contract manufacturers, including certain future purchase obligations of approximately $2.5 million. These amounts are based on non-cancellable commitments and forecasts that include estimates of future market demand, quantity discounts and manufacturing efficiencies that may impact timing of purchases.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enters into contracts in the normal course of business with various third parties for clinical trials, preclinical research studies and testing, manufacturing and other services and products for operating purposes. These contracts generally provide for termination upon notice. Payments due upon cancellation consist only of payments for services provided or expenses incurred, including non-cancellable obligations of the Company’s service providers, up to the date of cancellation.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(12) SUBSEQUENT EVENTS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September 30, 2024, the Company’s Chief Medical Officer, or the CMO, resigned effective October 11, 2024 to pursue other professional opportunities. The resignation was not the result of any disagreement with the Company related to its operations, policies, or practices. The Company has commenced a search for a new Chief Medical Officer.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the resignation, the CMO and the Company entered into a separation agreement on October 11, 2024. The separation agreement provides a payment equal to $503,880 and COBRA coverage under the Company’s group health, dental and vision care plans for up to 18 months following the separation date. In addition, the separation agreement provides for their outstanding stock options and restricted stock units of the Company’s common stock that would otherwise vest in accordance with the terms of the Company’s Amended and Restated 2020 Equity Incentive Plan and the award agreements, absent a termination of employment, during the 12 month period immediately following the separation date to become fully vested and (as applicable) exercisable, and all stock options that are vested or may vest in connection with the separation shall be exercisable until July 11, 2026. The CMO also remains eligible to receive certain additional severance benefits in accordance with the terms in the separation agreement and pursuant to that certain change in control and severance agreement between the Company and the CMO dated July 9, 2020. In consideration for the compensation noted above, the CMO agreed to a customary general release of claims for the benefit of the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facilitate an orderly transition from their position, the CMO and the Company entered into a consulting agreement in customary form that provides for them to perform transition related consulting services for the Company on an as needed, hourly basis for up to 18 months following the separation date, subject to certain limitations.</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1" w:name="part1_item2_mda"/>
      <w:bookmarkEnd w:id="11"/>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read the following discussion of our financial condition and results of operations together with our unaudited condensed consolidated financial statements and related notes included elsewhere in this Quarterly Report on Form 10-Q. Some of the information contained in this discussion and analysis, including information with respect to our plans and strategy for our business, include forward-looking statements that involve risks and uncertainties. Our actual results could differ materially from those anticipated in these forward-looking statements as a result of various factors, including those set forth under “Risk Factors” and elsewhere in this Quarterly Report on Form 10-Q.</w:t>
      </w:r>
    </w:p>
    <w:p>
      <w:pPr>
        <w:pStyle w:val="TextBody"/>
        <w:bidi w:val="0"/>
        <w:spacing w:before="12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clinical-stage immuno-oncology company focused on helping patients fight cancer by developing therapies that block the CD47 immune checkpoint and bridge the innate and adaptive immune system. Our lead product candidate, the CD47 blocker evorpacept, is currently in multiple Phase 1 and 2 clinical trials. Cancer cells leverage CD47, a cell surface protein, as a “don’t eat me” signal to evade macrophage phagocytosis or as a “don’t activate T-cells” signal that prevents activation of T-cells by dendritic cells. We are developing evorpacept to be a next-generation checkpoint inhibitor designed to have a high affinity for CD47 and to avoid the limitations caused by hematologic toxicities inherent in other CD47 blocking approaches.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Evorpacept is a next-generation CD47 blocking therapeutic that we believe has significantly enhanced properties compared to competing CD47 blocking approaches. Evorpacept is a fusion protein that combines a high-affinity CD47 binding domain with a proprietary inactivated Fc domain. The CD47 binding domain of evorpacept is an affinity enhanced extracellular domain of SIRPα, a protein that is the natural receptor to CD47 found on myeloid cells. We have engineered the Fc domain of evorpacept so that it does not provide a pro-phagocytic signal while still maintaining an antibody-like half-life for the molecule. We believe our inactive Fc approach improves tolerability when compared to other CD47 blocking approaches that have an Fc domain that engages activating receptors on macrophages, causing phagocytosis and death of healthy cells in addition to cancer cells.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Evorpacept’s design has several additional advantages that we believe will make it broadly applicable to treating a number of oncology indications. Due to the inactive Fc, evorpacept is specifically designed for use in combination with other anti-cancer agents that provide a positive immune-stimulating signal. We believe evorpacept has a favorable tolerability profile that may enable higher dosing levels and greater combination potential with other leading anti-cancer agents.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focused on evorpacept development with the standard-of-care agents, revolving around these two cell types: macrophages and dendritic cells. We initially pursued, and continue to pursue, development of evorpacept based on two well-validated mechanisms of action involving SIRP alpha expression on macrophages and dendritic cells as discussed below.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distinct mechanism of actions and examples of the combinations of priority are: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pPr>
      <w:r>
        <w:rPr>
          <w:rFonts w:ascii="Times New Roman" w:hAnsi="Times New Roman"/>
          <w:b/>
          <w:color w:val="000000"/>
          <w:sz w:val="20"/>
        </w:rPr>
        <w:t>Anti-cancer antibodies (the “</w:t>
      </w:r>
      <w:r>
        <w:rPr>
          <w:rFonts w:ascii="Times New Roman" w:hAnsi="Times New Roman"/>
          <w:b/>
          <w:i/>
          <w:color w:val="000000"/>
          <w:sz w:val="20"/>
        </w:rPr>
        <w:t>don’t eat me</w:t>
      </w:r>
      <w:r>
        <w:rPr>
          <w:color w:val="000000"/>
        </w:rPr>
        <w:t xml:space="preserve">” </w:t>
      </w:r>
      <w:r>
        <w:rPr>
          <w:rFonts w:ascii="Times New Roman" w:hAnsi="Times New Roman"/>
          <w:b/>
          <w:color w:val="000000"/>
          <w:sz w:val="20"/>
        </w:rPr>
        <w:t>signal): Combining with anti-cancer targeted antibodies with an active Fc domain, where evorpacept enables the Fc-mediated antibody dependent phagocytosis that is impaired by the expression of CD47 on cancer cells</w:t>
      </w:r>
      <w:r>
        <w:rPr>
          <w:rFonts w:ascii="Times New Roman" w:hAnsi="Times New Roman"/>
          <w:color w:val="000000"/>
          <w:sz w:val="20"/>
        </w:rPr>
        <w:t xml:space="preserve">. </w:t>
        <w:br/>
        <w:t>The topline data in our randomized ASPEN-06 Phase 2 clinical trial supports the clinical validation of this mechanism of action. ASPEN-06 evaluates the contribution of evorpacept to HERCEPTIN® (trastuzumab) plus standard of care (CYRAMZA® (ramucirumab) + paclitaxel), or Evo-TRP, versus TRP in second line or later HER2-positive gastric/gastroesophageal junction (GEJ) cancer, where all patients had received an anti-HER2 agent in prior lines of therapy. As reported in July 2024, based upon data cutoff as of 24 May 2024:</w:t>
        <w:br/>
      </w: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Evo-TRP achieved a confirmed overall response rate (ORR) of 40.3% compared to 26.6% for the TRP control arm and demonstrated a median duration of response of 15.7 months compared to 7.6 months in the intent to treat population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pre-specified population of patients with fresh HER2-positive biopsies, Evo-TRP showed the greatest response with an ORR of 54.8% vs. 23.1% in the TRP control arm, suggesting HER2-expression strongly correlates with evorpacept efficacy and validates its mechanism of action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Evorpacept in combination with TRP was generally well tolerated and consistent with TRP control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Evorpacept is the first CD47 blocker to show promising and durable response with a well-tolerated safety profile in a prospective randomized trial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earlier ASPEN-01 Phase 1 positive data in combination with rituximab in non-Hodgkin lymphoma (NHL) and the recent clinical data of our IST collaborator from the ongoing Phase 1/2 investigator-sponsored trial (IST) of evorpacept in combination with rituximab and lenalidomide patients with relapsed refractory B-cell NHL (R/R B-NHL) provide additional support for the clinical validation of this mechanism of action and support exploring combinations of evorpacept with other anti-cancer antibodies.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This mechanism of action may also apply to antibody-drug conjugates (ADCs), which are being investigated in two separate Phase 1 trials: one in combination with PADCEV</w:t>
      </w:r>
      <w:r>
        <w:rPr>
          <w:rFonts w:ascii="Times New Roman" w:hAnsi="Times New Roman"/>
          <w:color w:val="000000"/>
          <w:sz w:val="13"/>
        </w:rPr>
        <w:t>®</w:t>
      </w:r>
      <w:r>
        <w:rPr>
          <w:rFonts w:ascii="Times New Roman" w:hAnsi="Times New Roman"/>
          <w:color w:val="000000"/>
          <w:sz w:val="20"/>
        </w:rPr>
        <w:t xml:space="preserve"> (enfortumab vedotin-ejfv) in patients with urothelial cancer (ASPEN-07), and the other in combination with ENHERTU® (fam-trastuzumab deruxtecan-nxki) in patients with unresectable or metastatic HER2-positive and HER2-low breast cancer.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pPr>
      <w:r>
        <w:rPr>
          <w:rFonts w:ascii="Times New Roman" w:hAnsi="Times New Roman"/>
          <w:b/>
          <w:color w:val="000000"/>
          <w:sz w:val="20"/>
        </w:rPr>
        <w:t>PD-1/PD-L1 immune checkpoint inhibitors (the “</w:t>
      </w:r>
      <w:r>
        <w:rPr>
          <w:rFonts w:ascii="Times New Roman" w:hAnsi="Times New Roman"/>
          <w:b/>
          <w:i/>
          <w:color w:val="000000"/>
          <w:sz w:val="20"/>
        </w:rPr>
        <w:t>don’t activate T-cells</w:t>
      </w:r>
      <w:r>
        <w:rPr>
          <w:color w:val="000000"/>
        </w:rPr>
        <w:t xml:space="preserve">” </w:t>
      </w:r>
      <w:r>
        <w:rPr>
          <w:rFonts w:ascii="Times New Roman" w:hAnsi="Times New Roman"/>
          <w:b/>
          <w:color w:val="000000"/>
          <w:sz w:val="20"/>
        </w:rPr>
        <w:t>signal): Combining with PD-1/PD-L1 checkpoint inhibitor, where evorpacept activates dendritic cells that are constitutively inhibited by the CD47/ SIRP alpha pathway.</w:t>
      </w:r>
      <w:r>
        <w:rPr>
          <w:color w:val="000000"/>
        </w:rPr>
        <w:t xml:space="preserve"> </w:t>
      </w:r>
      <w:r>
        <w:rPr>
          <w:rFonts w:ascii="Times New Roman" w:hAnsi="Times New Roman"/>
          <w:color w:val="000000"/>
          <w:sz w:val="20"/>
        </w:rPr>
        <w:br/>
        <w:t>Activated dendritic cells present neoantigens to T-cells that, once activated, will kill cancer cells when the PD-1/PD-L1 inhibitory interaction is blocked by T-cell checkpoint inhibitors. The combination with a PD-1/PD-L1 checkpoint inhibitor allows maximum activity of these newly activated T-cells. This mechanism of action includes our clinical trials, ASPEN-03 and ASPEN-04, two randomized Phase 2 studies in combination with KEYTRUDA</w:t>
      </w:r>
      <w:r>
        <w:rPr>
          <w:rFonts w:ascii="Times New Roman" w:hAnsi="Times New Roman"/>
          <w:color w:val="000000"/>
          <w:sz w:val="13"/>
        </w:rPr>
        <w:t>®</w:t>
      </w:r>
      <w:r>
        <w:rPr>
          <w:color w:val="000000"/>
        </w:rPr>
        <w:t xml:space="preserve"> </w:t>
      </w:r>
      <w:r>
        <w:rPr>
          <w:rFonts w:ascii="Times New Roman" w:hAnsi="Times New Roman"/>
          <w:color w:val="000000"/>
          <w:sz w:val="20"/>
        </w:rPr>
        <w:t xml:space="preserve">(pembrolizumab), without or with chemotherapy, respectively, comparing to the same treatments without evorpacept, in first line head and neck squamous cell carcinoma (HNSCC). Validation of this mechanism is supported by our Phase 1 data (N=23) in the same indications and combinations where we saw an improvement in overall survival (OS) at 12 months with respect to historical data.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pursuing the following clinical programs, collaborations, and investigator-sponsored trials:</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Evorpacept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Combination with anti-cancer antibody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ASPEN-06 - Gastric/GEJ Cancer</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January 2020, the U.S. Food and Drug Administration (FDA) granted Fast Track designation for evorpacept in combination with trastuzumab, ramucirumab and paclitaxel for the treatment of patients with HER2-overexpressing advanced gastric or GEJ adenocarcinoma with disease progression on or after prior trastuzumab and fluoropyrimidine or platinum containing chemotherapy.</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January 2022, the FDA’s Office of Orphan Products Development granted Orphan Drug Designation (ODD) to evorpacept for the treatment of patients with gastric/GEJ cancer.</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March 2022, we announced the dosing of the first patient in the ASPEN-06 trial, a randomized Phase 2/3 trial of evorpacept in combination with trastuzumab, ramucirumab and paclitaxel for the treatment of second- and third-line advanced HER2-overexpressing gastric/GEJ cancer.</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June 2023, the European Commission granted ODD to evorpacept for the treatment of patients with gastric/GEJ cancer.</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October 2023, we announced positive prespecified interim Phase 2 clinical data from our ASPEN-06 clinical trial. This prespecified interim analysis reported results from 54 randomized patients with second and third line gastric/GEJ cancer, including patients previously treated with fam-trastuzumab deruxtecan-nxki and checkpoint inhibitors. A confirmed overall response rate (ORR) of 52% was demonstrated for Evo-TRP treatment arm compared to 22% for the TRP control arm. Median duration of response (mDOR) was not reached for the Evo-TRP treatment arm compared to 7.4 months for the control group. The safety profile of evorpacept was consistent with previous clinical trials and was well-tolerated.</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July 2024, we announced the topline data from the multi-center, international ASPEN-06 Phase 2 clinical trial evaluating Evo-TRP treatment arm against TRP control arm for the treatment of patients with HER2-positive gastric/GEJ cancer, where all patients had received an anti-HER2 agent in prior lines of therapy. This topline data reported results from 127 randomized patients with second and third line gastric/GEJ cancer and were generally well-balanced across arms based on prespecified stratification factors including line of therapy, prior ENHERTU use, Asia region, tumor location (GC or GEJ), HER2 expression level, and having HER2-positive disease based upon a tissue biopsy after anti-HER2 treatment. A confirmed overall response rate (ORR) of 40.3% was demonstrated for the Evo-TRP treatment arm compared to 26.6% for the TRP control arm. Median duration of response (DOR) was 15.7 months for the Evo-TRP treatment arm and 7.6 months for the TRP control arm in the full trial population. In patients with fresh HER2-positive biopsies (n=48), Evo-TRP demonstrated an ORR of 54.8% compared to 23.1% for the TRP control.</w:t>
      </w:r>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Combination with antibody-drug conjugate (ADC)</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ASPEN-07 - Urothelial Cancer (UC)</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February 2023, we announced the dosing of the first patient in the ASPEN-07 trial, a Phase 1 study evaluating evorpacept in combination with an ADC, enfortumab vedotin-ejfv (EV), for the second-line treatment of locally advanced or metastatic UC.</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June 2024, interim Phase 1 data were presented in a poster presentation at the 2024 American Society of Cancer Oncology (ASCO) Annual Meeting. The ASCO poster presentation data-cut reported an unconfirmed ORR of 59% (n=22) with evorpacept plus EV (EV single agent ORR benchmark is 41%). Following the April data cut-off, four additional response evaluable patients yielded an unconfirmed ORR of 61% (n=26) including two confirmed complete responses and six confirmed partial responses. These findings represent the first evorpacept combination data with an ADC from ASPEN-07’s ongoing, open-label, single-arm, clinical trial of evorpacept in combination with EV in patients with locally advanced or metastatic urothelial cancer. Continued follow-up for patients who are EV-naïve on ASPEN-07 is ongoing and, enrollment of a new cohort of patients who have received prior EV has begun.</w:t>
      </w:r>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Combination with PD-1/PD-L1 immune checkpoint inhibitor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ASPEN-03 - Head and Neck Squamous Cell Carcinoma</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May 2021, we announced the dosing of the first patient in the ASPEN-03 trial, a randomized Phase 2 trial of evorpacept in combination with pembrolizumab for the treatment of first-line advanced PD-L1 positive HNSCC.</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July 2022, the FDA granted Fast Track designation for evorpacept in combination with pembrolizumab for first-line treatment of adult patients with metastatic or unresectable, recurrent HNSCC whose tumors express PD-L1.</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ASPEN-04 - Head and Neck Squamous Cell Carcinoma</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February 2020, the FDA granted Fast Track designation for evorpacept in combination with pembrolizumab, platinum, and fluorouracil for the first-line treatment of adult patients with metastatic or unresectable, recurrent HNSCC.</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July 2021, we announced the dosing of the first patient in the ASPEN-04 trial, a randomized Phase 2 trial of evorpacept in combination with pembrolizumab, platinum, and fluorouracil for the treatment of first-line advanced HNSCC.</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Collaborations and Investigator-Sponsored Trials (ISTs)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Combination with anti-cancer antibody or ADC</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Jazz Pharmaceuticals plc - Breast Cancer</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Our collaborator, Jazz Pharmaceuticals plc (Jazz), is sponsoring and managing an ongoing Phase 1 trial of zanidatamab, a HER2-targeted anti-cancer antibody, for the treatment of advanced HER2-expressing breast cancer and other solid tumors in combination with evorpacept (Zanidatamab Trial). We announced the dosing of the first patient in this trial in October 2021.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Our initial collaborator for the Zanidatamab Trial was Zymeworks Inc. (Zymeworks), however in a series of transactions commencing in October 2022, Jazz assumed responsibility from Zymeworks for the development and commercialization of zanidatamab in the United States, Europe, Japan and certain other territories, including responsibility for the Zanidatamab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Quantum Leap Healthcare Collaborative - I-SPY Trial - Breast Cancer</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Our collaborator, Quantum Leap Healthcare Collaborative (Quantum Leap), is sponsoring and managing an ongoing Phase 1 trial (I-SPY) to evaluate evorpacept in combination with fam-trastuzumab deruxtecan-nxki for the treatment of patients with unresectable or metastatic HER2-positive and HER2-low breast cancer. We announced the dosing of the first patient in March 2023.</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MD Anderson Cancer Center - Non-Hodgkin Lymphoma</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pPr>
      <w:r>
        <w:rPr>
          <w:rFonts w:ascii="Times New Roman" w:hAnsi="Times New Roman"/>
          <w:color w:val="000000"/>
          <w:sz w:val="20"/>
        </w:rPr>
        <w:t>In 2021, an IST of evorpacept was initiated in combination with rituximab and lenalidomide (R</w:t>
      </w:r>
      <w:r>
        <w:rPr>
          <w:rFonts w:ascii="Times New Roman" w:hAnsi="Times New Roman"/>
          <w:color w:val="000000"/>
          <w:sz w:val="13"/>
        </w:rPr>
        <w:t>2</w:t>
      </w:r>
      <w:r>
        <w:rPr>
          <w:rFonts w:ascii="Times New Roman" w:hAnsi="Times New Roman"/>
          <w:color w:val="000000"/>
          <w:sz w:val="20"/>
        </w:rPr>
        <w:t>) for the treatment of patients with indolent and aggressive NHL, sponsored by MD Anderson Cancer Center in Texas. We announced the dosing of the first patient in September 2021.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pPr>
      <w:r>
        <w:rPr>
          <w:rFonts w:ascii="Times New Roman" w:hAnsi="Times New Roman"/>
          <w:color w:val="000000"/>
          <w:sz w:val="20"/>
        </w:rPr>
        <w:t>In April 2024, MD Anderson Cancer Center reported clinical data from the ongoing Phase 1/2 IST of evorpacept in combination with R</w:t>
      </w:r>
      <w:r>
        <w:rPr>
          <w:rFonts w:ascii="Times New Roman" w:hAnsi="Times New Roman"/>
          <w:color w:val="000000"/>
          <w:sz w:val="13"/>
        </w:rPr>
        <w:t>2</w:t>
      </w:r>
      <w:r>
        <w:rPr>
          <w:color w:val="000000"/>
        </w:rPr>
        <w:t xml:space="preserve"> </w:t>
      </w:r>
      <w:r>
        <w:rPr>
          <w:rFonts w:ascii="Times New Roman" w:hAnsi="Times New Roman"/>
          <w:color w:val="000000"/>
          <w:sz w:val="20"/>
        </w:rPr>
        <w:t>in patients with R/R B-NHL. The new data were presented in an oral presentation at the 2024 American Association for Cancer Research (AACR) Annual Meeting. The Phase 1 part of the clinical trial enrolled a total of 20 patients with indolent (n=18) and aggressive (n=2) R/R B-NHL where all patients had received prior rituximab and 72% had received prior chemoimmunotherapy. Patients received evorpacept 30 mg/kg Q2W (n=3) or 60 mg/kg Q4W (n=17) in combination with standard R</w:t>
      </w:r>
      <w:r>
        <w:rPr>
          <w:rFonts w:ascii="Times New Roman" w:hAnsi="Times New Roman"/>
          <w:color w:val="000000"/>
          <w:sz w:val="13"/>
        </w:rPr>
        <w:t>2</w:t>
      </w:r>
      <w:r>
        <w:rPr>
          <w:color w:val="000000"/>
        </w:rPr>
        <w:t xml:space="preserve"> </w:t>
      </w:r>
      <w:r>
        <w:rPr>
          <w:rFonts w:ascii="Times New Roman" w:hAnsi="Times New Roman"/>
          <w:color w:val="000000"/>
          <w:sz w:val="20"/>
        </w:rPr>
        <w:t>treatment. The regimen was well tolerated, and there were no dose-limiting toxicities. Patients with indolent R/R B-NHL (n=18) had a best ORR of 94% and a CRR of 83%. The median duration of response was not reached. The Phase 2 part of the clinical trial is actively accruing treatment naïve patients in the 1L setting.</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Sanofi - Multiple Myeloma</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pPr>
      <w:r>
        <w:rPr>
          <w:rFonts w:ascii="Times New Roman" w:hAnsi="Times New Roman"/>
          <w:color w:val="000000"/>
          <w:sz w:val="20"/>
        </w:rPr>
        <w:t>In April 2023, we announced a collaboration with Sanofi who will sponsor and manage a Phase 1/2 trial of SARCLISA</w:t>
      </w:r>
      <w:r>
        <w:rPr>
          <w:rFonts w:ascii="Times New Roman" w:hAnsi="Times New Roman"/>
          <w:color w:val="000000"/>
          <w:sz w:val="13"/>
        </w:rPr>
        <w:t>®</w:t>
      </w:r>
      <w:r>
        <w:rPr>
          <w:color w:val="000000"/>
        </w:rPr>
        <w:t xml:space="preserve"> </w:t>
      </w:r>
      <w:r>
        <w:rPr>
          <w:rFonts w:ascii="Times New Roman" w:hAnsi="Times New Roman"/>
          <w:color w:val="000000"/>
          <w:sz w:val="20"/>
        </w:rPr>
        <w:t>(isatuximab), an anti-cancer antibody, and dexamethasone in combination with evorpacept for the treatment of patients with relapsed or refractory multiple myeloma. We announced the dosing of the first patients in September 2024.</w:t>
      </w:r>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Combination with anti-cancer antibody and PD-1/PD-L1 immune checkpoint inhibitor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Academic Gastrointestinal Cancer Consortium - Colorectal Cancer</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2022, a Phase 2 IST of evorpacept was initiated in combination with pembrolizumab and cetuximab in patients with refractory microsatellite stable metastatic colorectal cancer, sponsored by the Academic Gastrointestinal Cancer Consortium (AGICC) in New York. We announced the dosing of the first patient in August 2022.</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June 2024, Phase 2 data were presented in a poster presentation at the 2024 ASCO Annual Meeting.</w:t>
      </w:r>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Combination with PD-1/PD-L1 immune checkpoint inhibitor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University of Pittsburgh - Ovarian Cancer</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2023, a Phase 2 IST of evorpacept was initiated in combination with liposomal doxorubicin and pembrolizumab in patients with recurrent platinum-resistant ovarian cancer, sponsored by the University of Pittsburgh in Pennsylvania. We announced the dosing of the first patient in May 2023.</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University of California San Diego - Oropharyngeal Cancer</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In April 2024, a Phase 2 IST of evorpacept was initiated in combination with neoadjuvant radiation and pembrolizumab in patients with previously untreated and early-stage locally advanced, resectable, human papillomavirus-mediated oropharyngeal cancer, sponsored by the University of California San Diego.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Early Pipeline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Tallac Therapeutics - ALTA-002</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Our second program, ALTA-002, is a collaboration between us and Tallac Therapeutics, Inc. (Tallac) that combines our company’s SIRPα antibody with Tallac’s toll-like receptor 9 (TLR9) agonist, resulting in a potent immune activator targeted to myeloid cells in the tumor to promote innate and adaptive anti-cancer immune responses. This novel Toll-like receptor agonist antibody conjugation platform (TRAAC) enables systemic delivery of targeted TLR9 activation.</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February 2024, we filed an investigative new drug (IND) application for ALTA-002 and in March 2024, the FDA cleared the IND to evaluate ALTA-002 in a Phase 1 clinical trial for patients with advanced solid tumors.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ADC Program</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With our acquisition of ScalmiBio, Inc. (ScalmiBio) in October 2021, we are developing ADC drug candidates based on our expertise in protein engineering and oncology.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January 2024, we declared a development candidate based on ScalmiBio acquired technology, triggering the first milestone payment to ScalmiBio stockholders.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Since our founding, we have devoted substantially all of our resources to developing evorpacept, identifying and advancing preclinical programs, scaling up manufacturing, conducting clinical trials and providing general and administrative support for these operations. We have no products approved for marketing and we have never received any revenue from drug product sales.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2020, we completed our initial public offering, raising net proceeds of $169.5 million, after deducting underwriting discounts and commissions of $13.0 million and offering-related expenses of $3.2 million. In December 2020, we completed a follow-on offering, raising net proceeds of $194.9 million, after deducting underwriting discounts and commissions of $12.5 million and offering-related expenses of $0.7 million.</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2022, we filed a universal shelf registration statement (Shelf Registration Statement), which provides for aggregate offerings of up to $450.0 million of the Company’s securities. In May 2022, we filed an amendment to the Shelf Registration Statement, which was declared effective by the Securities and Exchange Commission (SEC) on May 31, 2022. We believe that our Shelf Registration Statement provides us with flexibility to raise additional capital to finance our operations as needed. In December 2021, we entered into a sales agreement (as amended, Sales Agreement) with Cantor Fitzgerald &amp; Co. and Credit Suisse Securities (USA) LLC (Credit Suisse), under which we may, subject to the effectiveness of the Shelf Registration Statement, offer and sell our common stock, having aggregate gross proceeds of up to $150.0 million, from time to time through them as our sales agents in an at-the-market (ATM) offering. In August 2023, we entered into an amendment to the Sales Agreement to include UBS Securities LLC as an additional sales agent and to remove Credit Suisse as a sales agent. As of September 30, 2024, we had issued approximately 2,005,910 shares of common stock pursuant to the Sales Agreement for net proceeds of $29.3 million. We may terminate this ATM program at any time, pursuant to its terms.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2022, we entered into a loan and security agreement (Loan Agreement) with Oxford Finance LLC, Oxford Finance Credit Fund II LP, and Silicon Valley Bank (SVB) (collectively, the Lenders). Upon closing of the Loan Agreement, we drew $10.0 million. Under the original terms of the Loan Agreement, we had the right to draw an additional $40.0 million through the end of 2023. A further $50.0 million was potentially available to us, $25.0 million upon the achievement of pre-determined development milestones and $25.0 million at the Lenders’ sole discretion. The Company received net proceeds of $9.3 million from the issuance of the term loan, after deducting debt issuance costs of approximately $0.7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2023, SVB was closed by the California Department of Financial Protection and Innovation, which appointed the Federal Deposit Insurance Corporation (FDIC) to act as receiver. The FDIC created Silicon Valley Bridge Bank, N.A. (SVBB) as successor to SVB. First Citizens BancShares, Inc. (First Citizens Bank) acquired SVBB from the FDIC and operates SVBB as Silicon Valley Bank, a division of First Citizens Bank (SVB-First Citizens). Under the Loan Agreement, 50% of the funding comes from SVB, one of the three Lenders. Given the SVBB acquisition by First Citizens Bank, SVB-First Citizens will continue to fulfill SVB’s obligations under the Loan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2023, we entered into a second amendment to the Loan Agreement. The primary purpose of the second amendment was to reduce the percentage of the amount required to be held in our collateral account with SVB-First Citizens from 100% to not less than 50% of the aggregate dollar value of all our collateral accounts.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October 2023, we completed an underwritten follow-on public offering pursuant to the Shelf Registration Statement (the October 2023 Offering). In the follow-on public offering, we issued and sold an aggregate of 8,663,793 shares of common stock, including the underwriters’ exercise in full of their overallotment option of 1,293,103 shares of common stock, and, in lieu of common stock to certain investors, pre-funded warrants to purchase 1,250,000 shares of common stock at a public offering price of $6.38 per share and $6.379 per pre-funded warrant. Net proceeds were approximately $58.9 million, after deducting underwriting discounts and commissions of $3.8 million and offering-related expenses of $0.6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2023, we entered into a third amendment to the Loan Agreement. The primary purpose of the third amendment was to (i) extend the draw period for the first tranche loans from December 31, 2023 to June 30, 2024, (ii) add as a condition for the funding of any first tranche loans after the effective date of the amendment, requirement that the Phase 2 portion of the ASPEN-06 study in gastric/GEJ cancer either remains ongoing or the achievement of a milestone related to the development of the ASPEN-06 study, and (iii) add a contingency fee in the amount of $0.6 million to the Lenders if the Company prepays any of the loans under the Loan Agreement other than in connection with refinancing of the Loan Agreement with the Lenders and their affiliates.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decided not to draw down on any portion of the $40.0 million available to us under the Loan Agreement by the deadline of June 30, 2024. As a result of this decision, the $40.0 million was added to the $25.0 million available upon the achievement of pre-determined development milestones for a total of $65.0 million available, split equally between each of the two tranches. An additional $25.0 million is also available at the Lenders’ sole discretion.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inception through September 30, 2024, we have raised an aggregate of $642.8 million to fund our operations, of which $175.1 million were net proceeds from sales of our convertible preferred stock, $5.8 million were net proceeds from borrowings under a term loan, $169.5 million were net proceeds from our initial public offering, $194.9 million were net proceeds from our follow-on offering in December 2020, $9.3 million were net proceeds from borrowings under the Loan Agreement, $58.9 million were net proceeds from our follow-on offering in October 2023, and $29.3 million were net proceeds from our ATM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net losses in each year since inception. Our net losses were $30.7 million and $51.0 million for the three months ended September 30, 2024 and 2023, respectively. As of September 30, 2024, we had an accumulated deficit of $592.0 million. Substantially all of our operating losses are a result of expenses incurred in connection with our research and development programs, primarily evorpacept, and from general and administrative expenses associated with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continue to incur significant expenses and increasing operating losses for the foreseeable future. We expect our expenses will increase substantially in connection with our ongoing activities, as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advance evorpacept through multiple clinical trials in multiple indications;</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pursue regulatory approval of evorpacept in solid tumors and hematological malignancies;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our discovery and preclinical and clinical development efforts, including our collaborations with Sanofi, Tallac, Jazz, and Quantum Leap and our acquisition of ScalmiBio;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and maintain patent, trade secret and other intellectual property protection and regulatory exclusivity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manufacture supplies for our preclinical studies and clinical trials;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to add operational, financial and management information systems to support ongoing operations as a public company.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Components of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consist primarily of costs incurred for the development of our lead product candidate, evorpacept, which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incurred in connection with preclinical and clinical development, including expenses incurred under collaboration agreements and under agreements with contract research organizations, or CROs;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employee-related expenses, including salaries, related benefits, travel and stock-based compensation expenses for employees engaged in research and development functions;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related to production of clinical materials, including fees paid to contract manufacturing organizations, or CMOs;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laboratory, vendor expenses and third-party drugs related to the execution of preclinical studies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facilities and other expenses, which include expenses for rent and maintenance of facilities, depreciation and amortization expense and other supplies;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milestone payments related to our ScalmiBio acquisition.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expense research and development costs as incurred. Nonrefundable advance payments for goods or services to be received in future periods for use in research and development activities are deferred and capitalized. The capitalized amounts are then expensed as the related goods are delivered or as services are performed. We record accruals for estimated costs of research, preclinical studies, clinical trials and manufacturing development, which are a significant component of research and development expenses. We determine the estimated costs through discussions with internal personnel and external service providers as to the progress or stage of completion of the services and the agreed-upon fees to be paid for such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research and development expenses consist primarily of costs associated with the development of our lead product candidate, evorpacept, and include external costs, such as fees paid to consultants, central laboratories, contractors, collaborators, CMOs and CROs in connection with our preclinical and clinical development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Almost all of our research and development expenses to date have been related to the clinical development of our lead product candidate, evorpacept. We expect our research and development expenses to increase substantially for the foreseeable future as we continue to invest in research and development activities related to progress on our existing product candidates and developing new product candidates. As our product candidates advance into later stages of development, we begin to conduct larger clinical trials. The process of conducting the necessary clinical trials to obtain regulatory approval is costly and time-consuming, and the successful development of our product candidates is highly uncertain. As a result, we are unable to determine the duration and completion costs of our research and development projects or when and to what extent we will generate revenue from the commercialization and sale of any of our product candidates. In addition, we will incur expenses related to the preclinical research conducted internally and through the contract with Tallac Therapeutics, as further described in Note 9 to our unaudited condensed consolidated financial statements appearing elsewhere in this Quarterly Report on Form 10-Q.</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successful development of our current and future product candidates is highly uncertain. This is due to numerous risks and uncertainties,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completion of preclinical studies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regulators or institutional review boards authorizing us or our investigators to commence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negotiate agreements with clinical trial sites or CROs;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and location of clinical sites included in the trials;</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raising additional funds necessary to complete clinical development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and maintaining patent, trade secret and other intellectual property protection and regulatory exclusivity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contracting with third-party manufacturers for clinical supplies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protecting and enforcing our rights in our intellectual property portfolio, including, if necessary, litigation;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maintaining a continued acceptable safety profile of the products following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change in the outcome of any of these variables with respect to the development of our product candidates may significantly impact the costs and timing associated with the development of our product candidates. We may never succeed in obtaining regulatory approval for any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activities are essential to our business model. There are numerous factors associated with the successful commercialization of our product candidates, including future trial design and various regulatory requirements, many of which cannot be determined with accuracy at this time based on our stage of development. In addition, future regulatory factors beyond our control may impact the success, cost or timing of our clinical development programs.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consist primarily of personnel-related expenses, business development expenses, facilities expenses, depreciation and amortization expenses and professional services expenses, including legal, human resources, audit, accounting and tax-related services, and directors and officers liability insurance premiums. Personnel and related costs consist of salaries, benefits and stock-based compensation expenses. Facilities costs consist of rent and maintenance of facilities.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anticipate that our general and administrative expenses will continue to increase as a result of increased headcount, inflationary pressures, expanded infrastructure and higher costs of consulting, legal, tax and regulatory-related services associated with maintaining compliance with stock exchange listing and SEC requirements, audit and investor relations costs, director and officer insurance premiums and other costs associated with being a public company.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Interest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interest income consists primarily of interest income on cash, cash equivalents and short-term and long-term investments.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interest expense consists primarily of interest expense on the term loan, amortization of deferred debt issuance costs, and interest related to finance leases.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Other Income (Expense),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other income (expense), net consists primarily of realized foreign currency transaction gains and losses and other income from an immaterial service contract.</w:t>
      </w:r>
    </w:p>
    <w:p>
      <w:pPr>
        <w:pStyle w:val="TextBody"/>
        <w:bidi w:val="0"/>
        <w:spacing w:before="120" w:after="283"/>
        <w:jc w:val="left"/>
        <w:rPr>
          <w:rFonts w:ascii="Times New Roman" w:hAnsi="Times New Roman"/>
          <w:sz w:val="20"/>
        </w:rPr>
      </w:pPr>
      <w:r>
        <w:rPr>
          <w:rFonts w:ascii="Times New Roman" w:hAnsi="Times New Roman"/>
          <w:b/>
          <w:color w:val="000000"/>
          <w:sz w:val="20"/>
        </w:rPr>
        <w:t>Results of Operations and Net Loss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our results of operations for the three months and nine months ended September 30, 2024 and 2023 (in thousands):</w:t>
      </w:r>
    </w:p>
    <w:tbl>
      <w:tblPr>
        <w:tblW w:w="11788" w:type="dxa"/>
        <w:jc w:val="left"/>
        <w:tblInd w:w="0" w:type="dxa"/>
        <w:tblLayout w:type="fixed"/>
        <w:tblCellMar>
          <w:top w:w="28" w:type="dxa"/>
          <w:left w:w="28" w:type="dxa"/>
          <w:bottom w:w="28" w:type="dxa"/>
          <w:right w:w="28" w:type="dxa"/>
        </w:tblCellMar>
      </w:tblPr>
      <w:tblGrid>
        <w:gridCol w:w="1491"/>
        <w:gridCol w:w="146"/>
        <w:gridCol w:w="211"/>
        <w:gridCol w:w="736"/>
        <w:gridCol w:w="166"/>
        <w:gridCol w:w="146"/>
        <w:gridCol w:w="211"/>
        <w:gridCol w:w="736"/>
        <w:gridCol w:w="166"/>
        <w:gridCol w:w="146"/>
        <w:gridCol w:w="211"/>
        <w:gridCol w:w="736"/>
        <w:gridCol w:w="166"/>
        <w:gridCol w:w="146"/>
        <w:gridCol w:w="146"/>
        <w:gridCol w:w="481"/>
        <w:gridCol w:w="271"/>
        <w:gridCol w:w="146"/>
        <w:gridCol w:w="211"/>
        <w:gridCol w:w="841"/>
        <w:gridCol w:w="166"/>
        <w:gridCol w:w="146"/>
        <w:gridCol w:w="211"/>
        <w:gridCol w:w="841"/>
        <w:gridCol w:w="166"/>
        <w:gridCol w:w="146"/>
        <w:gridCol w:w="211"/>
        <w:gridCol w:w="736"/>
        <w:gridCol w:w="166"/>
        <w:gridCol w:w="146"/>
        <w:gridCol w:w="146"/>
        <w:gridCol w:w="481"/>
        <w:gridCol w:w="716"/>
      </w:tblGrid>
      <w:tr>
        <w:trPr/>
        <w:tc>
          <w:tcPr>
            <w:tcW w:w="1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14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27" w:type="dxa"/>
            <w:gridSpan w:val="2"/>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27" w:type="dxa"/>
            <w:gridSpan w:val="2"/>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left"/>
              <w:rPr/>
            </w:pPr>
            <w:r>
              <w:rPr/>
              <w:t> </w:t>
            </w:r>
          </w:p>
        </w:tc>
      </w:tr>
      <w:tr>
        <w:trPr/>
        <w:tc>
          <w:tcPr>
            <w:tcW w:w="14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27"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27" w:type="dxa"/>
            <w:gridSpan w:val="2"/>
            <w:tcBorders/>
            <w:shd w:fill="CFF0FC" w:val="clear"/>
            <w:vAlign w:val="center"/>
          </w:tcPr>
          <w:p>
            <w:pPr>
              <w:pStyle w:val="TableContents"/>
              <w:bidi w:val="0"/>
              <w:spacing w:before="0" w:after="283"/>
              <w:jc w:val="right"/>
              <w:rPr/>
            </w:pPr>
            <w:r>
              <w:rPr/>
              <w:t> </w:t>
            </w:r>
          </w:p>
        </w:tc>
        <w:tc>
          <w:tcPr>
            <w:tcW w:w="716" w:type="dxa"/>
            <w:tcBorders/>
            <w:shd w:fill="CFF0FC" w:val="clear"/>
            <w:vAlign w:val="center"/>
          </w:tcPr>
          <w:p>
            <w:pPr>
              <w:pStyle w:val="TableContents"/>
              <w:bidi w:val="0"/>
              <w:spacing w:before="0" w:after="283"/>
              <w:ind w:left="0" w:right="0" w:firstLine="200"/>
              <w:jc w:val="right"/>
              <w:rPr/>
            </w:pPr>
            <w:r>
              <w:rPr/>
              <w:t> </w:t>
            </w:r>
          </w:p>
        </w:tc>
      </w:tr>
      <w:tr>
        <w:trPr/>
        <w:tc>
          <w:tcPr>
            <w:tcW w:w="14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(19,295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71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149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(32,567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(53,275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(111,854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(122,255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71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71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71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7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(30,707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(50,990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20,283</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4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7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(105,687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(115,333</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4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71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our research and development (R&amp;D) expenses incurred for the three months and nine months ended September 30, 2024 and 2023 (in thousands):</w:t>
      </w:r>
    </w:p>
    <w:tbl>
      <w:tblPr>
        <w:tblW w:w="10848" w:type="dxa"/>
        <w:jc w:val="left"/>
        <w:tblInd w:w="0" w:type="dxa"/>
        <w:tblLayout w:type="fixed"/>
        <w:tblCellMar>
          <w:top w:w="28" w:type="dxa"/>
          <w:left w:w="28" w:type="dxa"/>
          <w:bottom w:w="28" w:type="dxa"/>
          <w:right w:w="28" w:type="dxa"/>
        </w:tblCellMar>
      </w:tblPr>
      <w:tblGrid>
        <w:gridCol w:w="1386"/>
        <w:gridCol w:w="146"/>
        <w:gridCol w:w="211"/>
        <w:gridCol w:w="676"/>
        <w:gridCol w:w="146"/>
        <w:gridCol w:w="146"/>
        <w:gridCol w:w="211"/>
        <w:gridCol w:w="676"/>
        <w:gridCol w:w="146"/>
        <w:gridCol w:w="146"/>
        <w:gridCol w:w="211"/>
        <w:gridCol w:w="736"/>
        <w:gridCol w:w="166"/>
        <w:gridCol w:w="146"/>
        <w:gridCol w:w="146"/>
        <w:gridCol w:w="376"/>
        <w:gridCol w:w="271"/>
        <w:gridCol w:w="146"/>
        <w:gridCol w:w="211"/>
        <w:gridCol w:w="676"/>
        <w:gridCol w:w="146"/>
        <w:gridCol w:w="146"/>
        <w:gridCol w:w="211"/>
        <w:gridCol w:w="781"/>
        <w:gridCol w:w="146"/>
        <w:gridCol w:w="146"/>
        <w:gridCol w:w="211"/>
        <w:gridCol w:w="736"/>
        <w:gridCol w:w="166"/>
        <w:gridCol w:w="146"/>
        <w:gridCol w:w="146"/>
        <w:gridCol w:w="376"/>
        <w:gridCol w:w="516"/>
      </w:tblGrid>
      <w:tr>
        <w:trPr/>
        <w:tc>
          <w:tcPr>
            <w:tcW w:w="1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13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1"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81" w:type="dxa"/>
            <w:gridSpan w:val="6"/>
            <w:tcBorders/>
            <w:shd w:fill="FFFFFF" w:val="clear"/>
            <w:vAlign w:val="center"/>
          </w:tcPr>
          <w:p>
            <w:pPr>
              <w:pStyle w:val="TableContents"/>
              <w:bidi w:val="0"/>
              <w:spacing w:before="0" w:after="283"/>
              <w:jc w:val="center"/>
              <w:rPr/>
            </w:pPr>
            <w:r>
              <w:rPr/>
              <w:t> </w:t>
            </w:r>
          </w:p>
        </w:tc>
        <w:tc>
          <w:tcPr>
            <w:tcW w:w="516" w:type="dxa"/>
            <w:tcBorders/>
            <w:shd w:fill="FFFFFF" w:val="clear"/>
            <w:vAlign w:val="center"/>
          </w:tcPr>
          <w:p>
            <w:pPr>
              <w:pStyle w:val="TableContents"/>
              <w:bidi w:val="0"/>
              <w:spacing w:before="0" w:after="283"/>
              <w:jc w:val="center"/>
              <w:rPr/>
            </w:pPr>
            <w:r>
              <w:rPr/>
              <w:t> </w:t>
            </w:r>
          </w:p>
        </w:tc>
      </w:tr>
      <w:tr>
        <w:trPr/>
        <w:tc>
          <w:tcPr>
            <w:tcW w:w="13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Clinical and development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(22,161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(19,617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Preclinical costs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 and related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research costs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3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R&amp;D expenses decreased by $19.3 million during the three months ended September 30, 2024 compared to the three months ended September 30, 2023. The decrease was primarily attributable to a decrease of $22.2 million in clinical and development costs primarily due to manufacturing of clinical trial materials, the majority of which was completed in early 2024, to support active clinical trials for our lead product candidate, evorpacept. This decrease was offset by (i) an increase of $0.8 million in preclinical costs for development of new targets, (ii) an increase of $1.0 million in personnel and related costs primarily driven by headcount growth, (iii) an increase of $0.9 million in stock-based compensation expense due to additional awards granted since September 30, 2023, and (iv) an increase of $0.1 million in other research costs.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decreased by $7.2 million during the nine months ended September 30, 2024 compared to the nine months ended September 30, 2023. The decrease was primarily attributable to a decrease of $19.6 million in clinical and development costs primarily due to manufacturing of clinical trial materials, the majority of which was completed in early 2024, to support active clinical trials for our lead product candidate, evorpacept. This decrease was offset by (i) an increase of $2.5 million in preclinical costs for development of new targets, (ii) an increase of $3.3 million in personnel and related costs due primarily to an increase driven by headcount growth, (iii) an increase of $4.5 million in stock-based compensation expense of which $2.4 million was due to a change in classification from the comparative periods of stock-based compensation from G&amp;A to R&amp;D as a result of the change in roles for our former Chief Executive Officer who transitioned to Chief Scientific Officer in September 2023 and the remaining amount was due to additional awards granted since September 30, 2023, and (iv) an increase of $2.2 million in other research costs of which $1.0 million was due to a development milestone payment to ScalmiBio stockholders and of which $0.6 million was due to VAT refunds received in prior year that were not present in the current year.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our general and administrative (G&amp;A) expenses incurred for the three months and nine months ended September 30, 2024 and 2023 (in thousands):</w:t>
      </w:r>
    </w:p>
    <w:tbl>
      <w:tblPr>
        <w:tblW w:w="10428" w:type="dxa"/>
        <w:jc w:val="left"/>
        <w:tblInd w:w="0" w:type="dxa"/>
        <w:tblLayout w:type="fixed"/>
        <w:tblCellMar>
          <w:top w:w="28" w:type="dxa"/>
          <w:left w:w="28" w:type="dxa"/>
          <w:bottom w:w="28" w:type="dxa"/>
          <w:right w:w="28" w:type="dxa"/>
        </w:tblCellMar>
      </w:tblPr>
      <w:tblGrid>
        <w:gridCol w:w="1491"/>
        <w:gridCol w:w="146"/>
        <w:gridCol w:w="211"/>
        <w:gridCol w:w="571"/>
        <w:gridCol w:w="146"/>
        <w:gridCol w:w="146"/>
        <w:gridCol w:w="211"/>
        <w:gridCol w:w="571"/>
        <w:gridCol w:w="146"/>
        <w:gridCol w:w="146"/>
        <w:gridCol w:w="211"/>
        <w:gridCol w:w="631"/>
        <w:gridCol w:w="166"/>
        <w:gridCol w:w="146"/>
        <w:gridCol w:w="146"/>
        <w:gridCol w:w="376"/>
        <w:gridCol w:w="271"/>
        <w:gridCol w:w="146"/>
        <w:gridCol w:w="211"/>
        <w:gridCol w:w="676"/>
        <w:gridCol w:w="146"/>
        <w:gridCol w:w="146"/>
        <w:gridCol w:w="211"/>
        <w:gridCol w:w="676"/>
        <w:gridCol w:w="146"/>
        <w:gridCol w:w="146"/>
        <w:gridCol w:w="211"/>
        <w:gridCol w:w="631"/>
        <w:gridCol w:w="166"/>
        <w:gridCol w:w="146"/>
        <w:gridCol w:w="146"/>
        <w:gridCol w:w="376"/>
        <w:gridCol w:w="516"/>
      </w:tblGrid>
      <w:tr>
        <w:trPr/>
        <w:tc>
          <w:tcPr>
            <w:tcW w:w="1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14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76" w:type="dxa"/>
            <w:gridSpan w:val="6"/>
            <w:tcBorders/>
            <w:shd w:fill="FFFFFF" w:val="clear"/>
            <w:vAlign w:val="center"/>
          </w:tcPr>
          <w:p>
            <w:pPr>
              <w:pStyle w:val="TableContents"/>
              <w:bidi w:val="0"/>
              <w:spacing w:before="0" w:after="283"/>
              <w:jc w:val="center"/>
              <w:rPr/>
            </w:pPr>
            <w:r>
              <w:rPr/>
              <w:t> </w:t>
            </w:r>
          </w:p>
        </w:tc>
        <w:tc>
          <w:tcPr>
            <w:tcW w:w="516" w:type="dxa"/>
            <w:tcBorders/>
            <w:shd w:fill="FFFFFF" w:val="clear"/>
            <w:vAlign w:val="center"/>
          </w:tcPr>
          <w:p>
            <w:pPr>
              <w:pStyle w:val="TableContents"/>
              <w:bidi w:val="0"/>
              <w:spacing w:before="0" w:after="283"/>
              <w:jc w:val="center"/>
              <w:rPr/>
            </w:pPr>
            <w:r>
              <w:rPr/>
              <w:t> </w:t>
            </w:r>
          </w:p>
        </w:tc>
      </w:tr>
      <w:tr>
        <w:trPr/>
        <w:tc>
          <w:tcPr>
            <w:tcW w:w="14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 and related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general and administrative costs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general and administrative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G&amp;A expenses decreased by $1.4 million during the three months ended September 30, 2024 compared to the three months ended September 30, 2023. The decrease was primarily attributable to a decrease of $0.9 million in stock-based compensation expense primarily due to a change in classification from the comparative periods of stock-based compensation from G&amp;A to R&amp;D as described above under R&amp;D expenses and a decrease of $0.4 million in other G&amp;A costs from accounting consulting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G&amp;A expenses decreased by $3.2 million during the nine months ended September 30, 2024 compared to the nine months ended September 30, 2023. The decrease was primarily attributable to a decrease of $2.9 million in stock-based compensation expense primarily due to a change in classification from the comparative periods of stock-based compensation from G&amp;A to R&amp;D as described above under R&amp;D expenses and a decrease of $0.3 million in other G&amp;A costs a reduction in corporate insurance due to lower premiums.</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Interest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income decreased by $0.4 million for the three months ended September 30, 2024 compared to the three months ended September 30, 2023 and by $0.2 million for the nine months ended September 30, 2024 compared to the nine months ended September 30, 2023. The decrease was primarily attributable to lower cash and investment balances during 2024 as compared to 2023.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increased by $0.1 million for the three months ended September 30, 2024 compared to the three months ended September 30, 2023 and by $0.2 million for the nine months ended September 30, 2024 compared to the nine months ended September 30, 2023. The increases were primarily attributable to higher interest rates.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Other Income (Expense),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(expense), net remained flat for the three months ended September 30, 2024 compared to the three months ended September 30, 2023 and decreased by $0.4 million for the nine months ended September 30, 2024 compared to the nine months ended September 30, 2023. The decrease was primarily attributable to absence in the current period of other income from an immaterial service contract, under which the Company provides R&amp;D services for another company.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Liquidity and Capital Resources; Plan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our inception, we have incurred significant operating losses and have not generated any product revenue. We have not yet commercialized any of our product candidates and we do not expect to generate revenue from sales of any product candidates for several years, if at all, subject to regulatory and marketing approval of any of our product candidates. To date, we have funded our operations with proceeds from the sales of shares of our common stock and convertible preferred stock and borrowings under our term loan. As of September 30, 2024, we had cash, cash equivalents and short-term and long-term investments of $162.6 million.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Funding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losses and negative cash flows from operations since inception and anticipate that we will continue to incur net losses for the foreseeable future. As of September 30, 2024, we had an accumulated deficit of $592.0 million. We expect our expenses to increase substantially in connection with our ongoing activities, particularly as we advance the preclinical activities and clinical trials for our product candidates in development. In addition, we expect to incur additional costs associated with operating as a public company. Management recognizes the need to raise additional capital to fully implement its business plan. The timing and amount of such future capital requirements are difficult to forecast and will depend on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progress of preclinical and clinical development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enrollment in and completion of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outcome of regulatory review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establish agreements with third-party manufacturers for clinical supply for our clinical trials and, if any of our product candidates are approved, commercial manufacturing;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 and retention of key research and development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efforts to enhance operational, financial and information management systems, and hire additional personnel, including personnel to support development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and timing of future commercialization activities, including product manufacturing, marketing, sales and distribution, for any of our product candidates for which we obtain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legal patent costs involved in prosecuting patent applications and enforcing patent claims and other intellectual property claims;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terms and timing of any collaboration, license or other arrangement, including the terms and timing of any milestone and royalty payments thereunder;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macroeconomic conditions, such as inflation, economic downturns, disasters, and medical or public health crises;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outbreaks or public health crises, such as the COVID-19 pandemic, bank failures or instability in the financial services sector, or geopolitical risks, which may exacerbate the magnitude of the factors discussed above.</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Until such time, if ever, as we can generate substantial product revenue, we expect to finance our operations through a combination of equity offerings, debt financings, collaborations, strategic alliances and marketing, distribution or licensing arrangements. Other than the Loan Agreement, we do not have any committed external source of funds. Our ability to raise additional capital may be adversely impacted by potential worsening global economic conditions and the recent disruptions to and volatility in the credit and financial markets in the United States and worldwide.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drug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drug candidates that we would otherwise prefer to develop and market ourselves.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2020, we completed our initial public offering pursuant to a registration statement on Form S-1. In the initial public offering, we issued and sold an aggregate of 9,775,000 shares of common stock, including the underwriters’ exercise in full of their overallotment option, under the registration statement at a public offering price of $19.00 per share. Net proceeds were approximately $169.5 million, after deducting underwriting discounts and commissions of $13.0 million and offering-related expenses of $3.2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2020, we completed our follow-on public offering pursuant to a registration statement on Form S-1. In the follow-on public offering, we issued and sold an aggregate of 2,737,000 shares of common stock, including the underwriters’ exercise in full of their overallotment option, under the registration statement at a public offering price of $76.00 per share. Net proceeds were approximately $194.9 million, after deducting underwriting discounts and commissions of $12.5 million and offering-related expenses of $0.7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2021, we entered into the Sales Agreement with Cantor Fitzgerald &amp; Co. and Credit Suisse Securities (USA) LLC, under which we may offer and sell our common stock, having aggregate gross proceeds of up to $150.0 million, from time to time through them as our sales agents in our ATM offering program. In March 2022, we filed a Shelf Registration Statement with the SEC. In May 2022, we filed an amended Shelf Registration Statement, which was declared effective by the SEC on May 31, 2022. In August 2023, we entered into an amendment to the Sales Agreement to include UBS Securities LLC as an additional sales agent and to remove Credit Suisse as a sales agent. As of September 30, 2024, we sold an aggregate of 2,005,910 shares of common stock under our Sales Agreement for net proceeds of $29.3 million, after deducting commissions. We may terminate this ATM program and the Sales Agreement at any time, pursuant to its terms.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October 2022, we entered into the Loan Agreement as described above. Upon closing of the Loan Agreement, we drew $10.0 million. Under the original terms of the Loan Agreement, we had the right to draw an additional $40.0 million through the end of 2023. A further $50.0 million was potentially available to us, $25.0 million upon the achievement of pre-determined development milestones and $25.0 million at the Lenders’ sole discretion. For a description of the terms of the Loan Agreement, see “Note 6. Term Loan” to our unaudited condensed consolidated financial statements included elsewhere in this Quarterly Report on Form 10-Q. On May 31, 2023, we entered into a second amendment to the Loan Agreement. The primary purpose of the second amendment was to reduce the percentage of the amount required to be held in our collateral account with SVB-First Citizens from 100% to not less than 50% of the aggregate dollar value of all our collateral accounts.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2023, SVB was closed by the California Department of Financial Protection and Innovation, which appointed the FDIC to act as receiver. The FDIC created SVBB as successor to SVB. First Citizens Bank acquired SVBB from the FDIC and operates SVBB as SVB-First Citizens. While we have cash in operating accounts with SVB, the majority of our cash, cash equivalents and investments are deposited in custodial accounts held by U.S. Bank for which SVB Asset Management is the investment advisor. There has been no material negative impact to our cash liquidity as a result of the closure of SVB or the subsequent acquisition of SVBB by First Citizens Bank. Under the Loan Agreement, 50% of the funding comes from SVB, one of the three Lenders. Given the SVBB acquisition by First Citizens Bank, SVB-First Citizens will continue to fulfill SVB’s obligations under the Loan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October 2023, we completed the October 2023 Offering. In the follow-on public offering, we issued and sold an aggregate of 8,663,793 shares of common stock, including the underwriters’ exercise in full of their overallotment option of 1,293,103 shares of common stock, and, in lieu of common stock to certain investors, pre-funded warrants to purchase 1,250,000 shares of common stock at a public offering price of $6.38 per share and $6.379 per pre-funded warrant. Net proceeds were approximately $58.9 million, after deducting underwriting discounts and commissions of $3.8 million and offering-related expenses of $0.6 million.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2023, we entered into a third amendment to the Loan Agreement. The primary purpose of the third amendment was to (i) extend the draw period for the first tranche loans from December 31, 2023 to June 30, 2024, (ii) add as a condition for the funding of any first tranche loans after the effective date of the amendment, requirement that the Phase 2 portion of the ASPEN-06 study in gastric/GEJ cancer either remains ongoing or the achievement of a milestone related to the development of the ASPEN-06 study, and (iii) add a contingency fee in the amount of $0.6 million to the Lenders if the Company prepays any of the loans under the Loan Agreement other than in connection with refinancing of the Loan Agreement with the Lenders and their affiliates.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decided not to draw down on any portion of the $40.0 million available to us under the Loan Agreement by the deadline of June 30, 2024. As a result of this decision, the $40.0 million was added to the $25.0 million available upon the achievement of pre-determined development milestones for a total of $65.0 million available, split equally between each of the two tranches. An additional $25.0 million is also available at the Lenders’ sole discretion.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our existing cash, cash equivalents, short-term and long-term investments, and recent use of the ATM program will enable us to fund our operating expenses and capital expenditure requirements into the first quarter of 2026.We have based these estimates on assumptions in which actuals may materially differ, and we could utilize our available capital resources sooner than we expect.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presents a summary of the net cash flow activity for the nine months ended September 30, 2024 and 2023 (in thousands):</w:t>
      </w:r>
    </w:p>
    <w:tbl>
      <w:tblPr>
        <w:tblW w:w="7504" w:type="dxa"/>
        <w:jc w:val="left"/>
        <w:tblInd w:w="0" w:type="dxa"/>
        <w:tblLayout w:type="fixed"/>
        <w:tblCellMar>
          <w:top w:w="28" w:type="dxa"/>
          <w:left w:w="28" w:type="dxa"/>
          <w:bottom w:w="28" w:type="dxa"/>
          <w:right w:w="28" w:type="dxa"/>
        </w:tblCellMar>
      </w:tblPr>
      <w:tblGrid>
        <w:gridCol w:w="4741"/>
        <w:gridCol w:w="146"/>
        <w:gridCol w:w="211"/>
        <w:gridCol w:w="736"/>
        <w:gridCol w:w="166"/>
        <w:gridCol w:w="146"/>
        <w:gridCol w:w="211"/>
        <w:gridCol w:w="736"/>
        <w:gridCol w:w="411"/>
      </w:tblGrid>
      <w:tr>
        <w:trPr/>
        <w:tc>
          <w:tcPr>
            <w:tcW w:w="4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7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r>
          </w:p>
        </w:tc>
        <w:tc>
          <w:tcPr>
            <w:tcW w:w="411" w:type="dxa"/>
            <w:tcBorders/>
            <w:shd w:fill="FFFFFF" w:val="clear"/>
            <w:vAlign w:val="center"/>
          </w:tcPr>
          <w:p>
            <w:pPr>
              <w:pStyle w:val="TableContents"/>
              <w:bidi w:val="0"/>
              <w:spacing w:before="0" w:after="283"/>
              <w:jc w:val="center"/>
              <w:rPr/>
            </w:pPr>
            <w:r>
              <w:rPr/>
              <w:t> </w:t>
            </w:r>
          </w:p>
        </w:tc>
      </w:tr>
      <w:tr>
        <w:trPr/>
        <w:tc>
          <w:tcPr>
            <w:tcW w:w="47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47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(89,866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(90,686</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61,323</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47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(29,238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nine months ended September 30, 2024, net cash used in operating activities of $89.9 million was attributable to a net loss of $105.7 million and a change in our net operating assets and liabilities of $3.7 million, offset by non-cash charges of $19.5 million. The change in operating assets and liabilities was primarily due to (i) a decrease in accounts payable and accrued expenses and other current liabilities of $2.8 million primarily due to timing of invoices and payments, (ii) a decrease in other assets of $2.2 million, (iii) an increase in prepaid and other current assets of $1.4 million and (iv) a decrease in other non-current liabilities of $1.6 million. Non-cash charges consisted primarily of stock-based compensation expense of $21.2 million, non-cash lease costs of $1.3 million, and depreciation and amortization costs of $0.7 million offset by net amortization of premiums and accretion of discounts on investments of $3.9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nine months ended September 30, 2023, net cash used in operating activities of $90.7 million was attributable to a net loss of $115.3 million, offset by a change in our net operating assets and liabilities of $8.0 million and non-cash charges of $16.7 million. The change in operating assets and liabilities was primarily due to (i) an increase in accounts payable and accrued expenses and other current liabilities of $10.0 million primarily due to timing of invoices and payments, (ii) a decrease in other assets of $4.2 million, (iii) an increase in prepaid and other current assets of $4.3 million and (iv) a decrease in other non-current liabilities of $2.0 million. Non-cash charges consisted primarily of stock-based compensation expense of $19.6 million, non-cash lease costs of $0.9 million, and depreciation and amortization costs of $0.6 million offset by net amortization of premiums and accretion of discounts on investments of $4.6 million.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nine months ended September 30, 2024, net cash provided by investing activities of $53.1 million was attributable to cash received for maturities of investments of $156.4 million offset by purchases of short-term and long-term investments of $103.0 million and purchases of property and equipment of $0.4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nine months ended September 30, 2023, net cash provided by investing activities of $61.3 million was attributable to cash received for maturities of investments of $234.1 million offset by purchases of short-term and long-term investments of $171.6 million and purchases of property and equipment of $1.1 million.</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nine months ended September 30, 2024, net cash provided by financing activities of $30.5 million was attributable to proceeds from our ATM offering program of $29.3 million, proceeds from the exercise of stock options under equity incentive plans of $1.6 million, and proceeds from issuance of common stock pursuant to employee stock purchase plan of $0.3 million, offset by principal payments on finance leases of $0.8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nine months ended September 30, 2023, net cash provided by financing activities of $0.1 million was attributable to proceeds from the exercise of stock options under equity incentive plans of $0.1 million and proceeds from issuance of common stock pursuant to employee stock purchase plan of $0.3 million and by principal payments on finance leases of $0.3 million.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Off-Balance Sheet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period presented, we did not have, nor do we currently have, any off-balance sheet arrangements, as defined in the rules and regulations of the SEC.</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management’s discussion and analysis of financial condition and results of operations is based on our condensed consolidated financial statements, which have been prepared in accordance with generally accepted accounting principles in the United States, or U.S. GAAP. The preparation of these condensed consolidated financial statements requires us to make estimates and assumptions that affect the reported amounts of assets and liabilities and the disclosure of contingent assets and liabilities at the date of the financial statements, as well as the reported expenses during the reporting periods. These items are monitored and analyzed by us for changes in facts and circumstances, and material changes in these estimates could occur in the future.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significantly from these estimates under different assumptions or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significant accounting policies and critical accounting estimates are more fully described in the notes to our audited consolidated financial statements and in the section titled “Management’s Discussion and Analysis of Financial Condition and Results of Operations—Critical Accounting Estimates,” respectively, in the Company’s Annual Report on Form 10-K for the year ended December 31, 2023. During the nine months ended September 30, 2024, there were no material changes to our critical accounting policies and estimates from those discussed in the Company’s Annual Report on Form 10-K for the year ended December 31, 2023 filed with the SEC on March 7, 2024.</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 “Note 2. Significant Accounting Policies - Recent Accounting Pronouncements” to our condensed consolidated financial statements included elsewhere in this Quarterly Report on Form 10-Q for more information. </w:t>
      </w:r>
    </w:p>
    <w:p>
      <w:pPr>
        <w:pStyle w:val="TextBody"/>
        <w:bidi w:val="0"/>
        <w:spacing w:before="360" w:after="283"/>
        <w:jc w:val="left"/>
        <w:rPr>
          <w:rFonts w:ascii="Times New Roman" w:hAnsi="Times New Roman"/>
          <w:b/>
          <w:color w:val="000000"/>
          <w:sz w:val="20"/>
        </w:rPr>
      </w:pPr>
      <w:bookmarkStart w:id="12" w:name="part1_item3_risk"/>
      <w:bookmarkEnd w:id="12"/>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Interest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market risks in the ordinary course of our business. These risks primarily include interest rate sensitivities.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2024, we had cash, cash equivalents and investments of $162.6 million. We generally hold our cash and cash equivalents in interest-bearing bank accounts and money market funds. We have invested primarily in U.S. Treasury securities, U.S. government agency securities, corporate debt securities, commercial paper and asset-backed securities and all our investments are classified as available-for-sale. Our primary exposure to market risk is interest rate sensitivity, which is affected by changes in the general level of U.S. interest rates. An immediate 100 basis point change in interest rates would not have a material effect on the fair market value of our cash, cash equivalents and 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2024, we had borrowings of $10.0 million outstanding under the Loan Agreement. Borrowings under the Loan Agreement bear interest at a floating rate per annum equal to the greater of (i) 1-month term SOFR, and (ii) 2.33%, plus 6.25%. An immediate 10% change in the 1-month term SOFR would not have a material impact on our debt-related obligations, financial position or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Credit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Financial instruments that potentially subject the Company to concentration of credit risk consist of cash, cash equivalents and investments. The Company invests its cash equivalents in highly rated money market funds. The Company’s investments consist of debt securities issued by highly rated corporate entities, the U.S. federal government or state and local governments. The Company’s exposure to any individual corporate entity is limited by our investment policy. Deposits may exceed federally insured limits, and the Company is exposed to credit risk on deposits in the event of default by the financial institutions to the extent account balances exceed the amount insured by the Federal Deposit Insurance Corporation (FDIC).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closely monitoring ongoing events involving limited liquidity, defaults, non-performance or other adverse developments that affect financial institutions or other companies in the financial services industry or the financial services industry generally, including Silicon Valley Bank (SVB). In March 2023, SVB, where the Company maintained operating accounts with a cash balance of less than 1% of the Company’s total cash, cash equivalents and investments, was closed by the California Department of Financial Protection and Innovation, which appointed the FDIC to act as receiver. The FDIC created Silicon Valley Bridge Bank, N.A. (SVBB) as successor to SVB. First Citizens BancShares, Inc. (First Citizens Bank) acquired SVBB from the FDIC and assumed all of SVB’s deposits and loans. In light of the foregoing, the Company does not believe that it had exposure to loss as a result of SVB’s receivership.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periods presented, the Company has not experienced any realized losses on its deposits of cash, cash equivalents or investments.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Foreign Currency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expenses are generally denominated in U.S. dollars. However, we have entered into a limited number of contracts with vendors for services with payments denominated in foreign currencies, primarily the euro. We are subject to foreign currency transaction gains or losses on our contracts denominated in foreign currencies. To date, foreign currency transaction gains and losses have not been material to our condensed consolidated financial statements, and we have not had a formal hedging program with respect to foreign currency. A 10.0% increase or decrease in current exchange rates would not have a material impact on our financial results.</w:t>
      </w:r>
    </w:p>
    <w:p>
      <w:pPr>
        <w:pStyle w:val="TextBody"/>
        <w:bidi w:val="0"/>
        <w:spacing w:before="360" w:after="283"/>
        <w:jc w:val="left"/>
        <w:rPr>
          <w:rFonts w:ascii="Times New Roman" w:hAnsi="Times New Roman"/>
          <w:b/>
          <w:color w:val="000000"/>
          <w:sz w:val="20"/>
        </w:rPr>
      </w:pPr>
      <w:bookmarkStart w:id="13" w:name="part1_item4_controls"/>
      <w:bookmarkEnd w:id="13"/>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carried out an evaluation, under the supervision and with the participation of our management, including our Chief Executive Officer and our Chief Financial Officer, of the effectiveness of our “disclosure controls and procedures” as of the end of the period covered by this report, pursuant to Rules 13a-15(e) and 15d-15(e) under the Exchange 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that evaluation, our Chief Executive Officer and our Chief Financial Officer concluded that our disclosure controls and procedures were effective and designed to provide reasonable assurance that the information required to be disclosed is recorded, processed, summarized and reported within the time periods specified in the SEC’s rules and forms as of September 30, 2024. For the purpose of this evaluation, disclosure controls and procedures means controls and procedures designed to ensure that information required to be disclosed by us in the reports that we file or submit is recorded, processed, summarized and reported within the time periods specified in the SEC’s rules and forms. These disclosure controls and procedures include, without limitation, controls and procedures designed to ensure that information required to be disclosed by us in the reports that we file or submit is accumulated and communicated to management, including our Principal Executive Officer, Principal Financial Officer and Principal Accounting Officer, as appropriate to allow timely decisions regarding required disclosure.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during the quarter ended September 30, 2024 that materially affected, or are reasonably likely to materially affect, our internal control over financial reporting.</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b/>
          <w:color w:val="000000"/>
          <w:sz w:val="20"/>
        </w:rPr>
      </w:pPr>
      <w:bookmarkStart w:id="14" w:name="part2"/>
      <w:bookmarkEnd w:id="14"/>
      <w:r>
        <w:rPr>
          <w:rFonts w:ascii="Times New Roman" w:hAnsi="Times New Roman"/>
          <w:b/>
          <w:color w:val="000000"/>
          <w:sz w:val="20"/>
        </w:rPr>
        <w:t>PART II — OTHER INFORMATION</w:t>
      </w:r>
    </w:p>
    <w:p>
      <w:pPr>
        <w:pStyle w:val="TextBody"/>
        <w:bidi w:val="0"/>
        <w:spacing w:before="360" w:after="283"/>
        <w:jc w:val="left"/>
        <w:rPr>
          <w:rFonts w:ascii="Times New Roman" w:hAnsi="Times New Roman"/>
          <w:sz w:val="20"/>
        </w:rPr>
      </w:pPr>
      <w:bookmarkStart w:id="15" w:name="part2_item1_legal"/>
      <w:bookmarkEnd w:id="15"/>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not currently a party to any material legal proceedings. From time to time, we may become involved in legal proceedings arising in the ordinary course of our business. Regardless of outcome, litigation can have an adverse impact on us due to defense and settlement costs, diversion of management resources, negative publicity, reputational harm and other factors.</w:t>
      </w:r>
    </w:p>
    <w:p>
      <w:pPr>
        <w:pStyle w:val="TextBody"/>
        <w:bidi w:val="0"/>
        <w:spacing w:before="360" w:after="283"/>
        <w:jc w:val="left"/>
        <w:rPr>
          <w:rFonts w:ascii="Times New Roman" w:hAnsi="Times New Roman"/>
          <w:b/>
          <w:color w:val="000000"/>
          <w:sz w:val="20"/>
        </w:rPr>
      </w:pPr>
      <w:bookmarkStart w:id="16" w:name="part2_item1a_rf"/>
      <w:bookmarkEnd w:id="16"/>
      <w:r>
        <w:rPr>
          <w:rFonts w:ascii="Times New Roman" w:hAnsi="Times New Roman"/>
          <w:b/>
          <w:color w:val="000000"/>
          <w:sz w:val="20"/>
        </w:rPr>
        <w:t>Item 1A. Risk Factors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Investing in our common stock involves a high degree of risk. You should carefully consider the risks described below, together with the other information contained elsewhere in this Quarterly Report on Form 10-Q, including our unaudited condensed consolidated financial statements and the related notes, the section titled “Management’s Discussion and Analysis of Financial Condition and Results of Operations,” and our other filings with the Securities and Exchange Commission, or SEC,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also may impair our business operations and the market price of our common stock.</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 Factors Summary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Investing in our common stock involves a high degree of risk because our business is subject to numerous risks and uncertainties, as fully described below. These risks include, but are not limited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significant net losses since our inception, and we expect to continue to incur significant net losses for the foreseeable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require substantial additional capital to finance our operations, such capital may not be available to us when needed or may only be available on terms that are unfavorable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 limited operating history, have no products approved for commercial sale, and have not generated any revenue from product sales, licenses or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substantially dependent on the success of our lead product candidate, evorpacept, also known as ALX 148, which is in clinical development and which has not completed a pivotal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outcome of preclinical testing and early clinical trials may not be predictive of the success of later clinical trials, and the results of our clinical trials may not satisfy the requirements of the Food and Drug Administration, or FDA, or other comparable foreign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trials of our product candidates are expensive, time consuming and difficult to design and implement and may fail to demonstrate adequate safety, efficacy and potency of our product candidates or provide the basis for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 candidates may cause significant adverse events or other undesirable side effects when used alone or in combination with other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regulatory approval processes of the FDA and comparable foreign regulatory authorities are lengthy, time-consuming and inherently unpredictable, which could lead to our inability to generate product revenue;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unable to obtain, maintain and enforce patent protection and other intellectual property for our product candidates and related technology, our business could be materially harmed;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highly dependent on our key personnel, and if we are not successful in attracting, motivating, and retaining highly qualified personnel, we may not be able to successfully implement our business strategy;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on third-party manufacturers for clinical supplies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levels of our debt and compliance with the terms of our loan agreement could restrict our ability to operate our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outbreaks or public health crises, such as the COVID-19 pandemic, geopolitical unrest related to Russia’s war with Ukraine, and war and instability in Israel and the surrounding region could adversely impact our business including our ongoing and planned clinical trials and preclinical research;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price of our stock may be volatile, and you could lose all or part of your investment; and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past, we have identified material weaknesses in our internal control over financial reporting, and if we are unable to implement and maintain effective internal control over financial reporting in the future, investors may lose confidence in our financial reports.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Our Financial Position and Need for Additional Capital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have incurred significant net losses since our inception, and we expect to continue to incur significant net losses for the foreseeable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significant net losses in each reporting period since our inception, have not generated any revenue from product sales, licenses or collaborations to date and have financed our operations principally through public offerings of our common stock and private placements of our convertible preferred stock. Our net losses were $30.7 million and $51.0 million for the three months ended September 30, 2024 and 2023, respectively. As of September 30, 2024, we had an accumulated deficit of $592.0 million. We have devoted substantially all of our resources and efforts to research and development. Our lead product candidate, evorpacept, is in early-stage clinical trials. Our other programs are in preclinical discovery and research stages. As a result, we expect that it will be several years, if ever, before we have a commercialized product and generate revenue from product sales. Even if we succeed in receiving marketing approval for and commercializing one or more of our product candidates, we expect that we will continue to incur substantial research and development and other expenses in order to discover, develop and market additional potential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continue to incur significant expenses and increasing operating losses for the foreseeable future. 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our ability to fund the development of our product candidates and our ability to achieve and maintain profitability and the performance of our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conduct clinical trials of, and seek marketing approval for evorpacept and advance our other programs. In addition, if we obtain marketing approval for any of our product candidates, we expect to incur significant commercialization expenses related to drug sales, marketing, manufacturing and distribution activities. Our expenses could increase beyond expectations if we are required by the FDA, the European Medicines Agency, or EMA, or other regulatory agencies to perform clinical trials or preclinical studies in addition to those that we currently anticipate. Other unanticipated costs may also arise. Because the design and outcome of our planned and anticipated clinical trials are highly uncertain, we cannot reasonably estimate the actual amount of resources and funding that will be necessary to successfully complete the development and commercialization of any product candidate we develop. We have incurred and expect to continue to incur additional costs associated with operating as a public company and compliance with legal, accounting and other regulatory requirements. Accordingly, we will need to obtain substantial additional funding in order to maintain our continuing operations. If we are unable to raise capital when needed or on acceptable terms, we may be forced to delay, reduce and/or eliminate one or more of our research and drug development programs or future commercialization efforts. Further, any decline in our stock price or perceived potential decline in our stock price that may be associated with stock market volatility generally, may negatively impact our ability to raise capital.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September 30, 2024, we had cash, cash equivalents and investments of $162.6 million. Based on our current operating plan, we believe that our existing cash, cash equivalents, and investments will be sufficient to fund our operations into early 2026. Our estimate as to how long we expect our existing cash, cash equivalents, investments and funds available from our term loan will be sufficient to continue to fund our operations is based on assumptions that may prove to be wrong, and we could use our available capital resources sooner than we currently expect. Changing circumstances, some of which may be beyond our control, such as periods of a rising rate of inflation or economic downturns, could cause us to consume capital significantly faster than we currently anticipate, and we may need to seek additional funds sooner than planned.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plan to use our cash, cash equivalents and investments to advance the clinical development of evorpacept, as well as for working capital and other general corporate purposes. This may include additional preclinical research, clinical development, hiring additional personnel, capital expenditures, the potential acquisition of businesses or assets and the costs of operating as a public company, as well as for working capital and other general corporate purposes. Advancing the development of evorpacept and our other programs will require a significant amount of capital. Our current cash, cash equivalents and investments on hand, may not be sufficient to fund all of the actions that are necessary to complete the development of evorpacept or our other programs.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to obtain further funding through public or private equity offerings, debt financings, collaborations and licensing arrangements or other sources, which may dilute our stockholders or restrict our operating activities. Other than the loan and security agreement, or Loan Agreement, we entered into with Oxford Finance LLC, Oxford Finance Credit Fund II LP and Silicon Valley Bank, or SVB, collectively, the Lenders, in the fourth quarter of 2022 and most recently amended in December 2023, we do not have any committed external source of funds. SVB was closed in March 2023, and the FDIC was appointed as receiver to SVB. The FDIC created Silicon Valley Bridge Bank, or SVBB, as successor to SVB, which was acquired by First Citizens Bank, and is now operated as a division of First Citizens Bank, or SVB-First Citizens. Adequate additional financing may not be available to us on acceptable terms, or at all. To the extent that we raise additional capital through the sale of equity or convertible debt securities, your ownership interest will be diluted, and the terms may include liquidation or other preferences that adversely affect your rights as a stockholder. Debt financing may result in imposition of debt covenants, increased fixed payment obligations or other restrictions that may affect our business. For example, our Loan Agreement restricts our ability to incur additional indebtedness without the consent of the Lenders.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failure to raise capital as and when needed would have a negative impact on our financial condition and our ability to pursue our business strategy, and we may have to delay, reduce the scope of, suspend or eliminate one or more of our research-stage programs, clinical trials or future commercialization efforts.</w:t>
      </w:r>
    </w:p>
    <w:p>
      <w:pPr>
        <w:pStyle w:val="TextBody"/>
        <w:bidi w:val="0"/>
        <w:spacing w:before="120" w:after="283"/>
        <w:jc w:val="left"/>
        <w:rPr>
          <w:rFonts w:ascii="Times New Roman" w:hAnsi="Times New Roman"/>
          <w:sz w:val="20"/>
        </w:rPr>
      </w:pPr>
      <w:r>
        <w:rPr>
          <w:rFonts w:ascii="Times New Roman" w:hAnsi="Times New Roman"/>
          <w:b/>
          <w:i/>
          <w:color w:val="000000"/>
          <w:sz w:val="20"/>
        </w:rPr>
        <w:t>We have a limited operating history and have no products approved for commercial sale, which may make it difficult for you to evaluate our current business and likelihood of success and viability.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clinical-stage biopharmaceutical company with a limited operating history upon which you can evaluate our business and prospects. We were incorporated and commenced operations in 2015, have no products approved for commercial sale and have not generated any revenue from product sales, licenses or collaborations. Drug development is a highly uncertain undertaking and involves a substantial degree of risk. Our operations to date have been limited to organizing and staffing our company, business planning, raising capital, identifying and developing potential product candidates and conducting preclinical and clinical trials of our product candidates, including Phase 1 and Phase 2 clinical trials of evorpacept. We have not yet demonstrated our ability to successfully complete any large-scale, pivotal clinical trials, obtain marketing approvals, manufacture a commercial-scale drug or arrange for a third party to do so on our behalf or conduct sales and marketing activities. As a result, it may be more difficult for you to accurately predict our likelihood of success and viability than it could be if we had a longer operating history. In addition, as a business with a limited operating history, we may encounter unforeseen expenses, difficulties, complications, delays and other known and unknown factors and risks frequently experienced by early-stage biopharmaceutical companies in rapidly evolving fields. We also may need to transition from a company with a research focus to a company capable of supporting commercial activities. We have not yet demonstrated an ability to successfully overcome such risks and difficulties or to make such a transition. If we do not adequately address these risks and difficulties or successfully make such a transition, our business will suffer.</w:t>
      </w:r>
    </w:p>
    <w:p>
      <w:pPr>
        <w:pStyle w:val="TextBody"/>
        <w:bidi w:val="0"/>
        <w:spacing w:before="120" w:after="283"/>
        <w:jc w:val="left"/>
        <w:rPr>
          <w:rFonts w:ascii="Times New Roman" w:hAnsi="Times New Roman"/>
          <w:sz w:val="20"/>
        </w:rPr>
      </w:pPr>
      <w:r>
        <w:rPr>
          <w:rFonts w:ascii="Times New Roman" w:hAnsi="Times New Roman"/>
          <w:b/>
          <w:i/>
          <w:color w:val="000000"/>
          <w:sz w:val="20"/>
        </w:rPr>
        <w:t>Our ability to generate revenue and achieve profitability depends significantly on our ability to achieve several objectives relating to the discovery, development and commercialization of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depends entirely on the successful development and commercialization of our product candidates. We currently generate no revenue from any product sales, licenses or collaborations and do not expect to generate any revenue from the sale of product candidates in the foreseeable future. We have no products approved for commercial sale and do not anticipate generating any revenue from product sales for the next several years, if ever. Our ability to generate revenue and achieve profitability depends significantly on our ability to achieve a number of objectives,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 and timely completion of preclinical and clinical development of our lead product candidate, evorpacept, and our other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and maintaining relationships with contract research organizations, or CROs, and clinical sites for the clinical development of evorpacept and our other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timely receipt of marketing approvals from applicable regulatory authorities for any product candidates for which we successfully complete clinical development;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of any required post-marketing approval commitments to applicable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developing an efficient and scalable manufacturing process for evorpacept and any future product candidates, including establishing and maintaining commercially viable supply and manufacturing relationships with third parties to obtain finished products that are appropriately packaged for sale;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and maintaining commercially viable supply and manufacturing relationships with third parties that can provide adequate, in both amount and quality, products and services to support clinical development and meet the market demand for our product candidates, if approved;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 commercial launch following any marketing approval, including the development of a commercial infrastructure, whether in-house or with one or more collaborators;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continued acceptable safety profile following any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commercial acceptance of evorpacept and any future product candidates as viable treatment options by patients, the medical community and third-party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favorable coverage and adequate reimbursement by third-party payors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addressing any competing therapies and technological and market developments;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identifying, assessing, acquiring and developing new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maintaining and expanding patent protection, trade secret protection and regulatory exclusivity, both in the United States and internationally;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protecting our rights in our intellectual property portfolio, including our licensed intellectual property;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defending against third-party interference or infringement claims, if 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entering into, on favorable terms, any collaboration, licensing or other arrangements that may be necessary or desirable to develop, manufacture or commercialize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negotiating favorable terms in any collaboration, licensing or other arrangements that may be necessary to develop, manufacture or commercialize our product candidate;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attracting, hiring and retaining qualified personnel.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never be successful in achieving our objectives and, even if we do, we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maintain or further our research and development efforts, raise additional necessary capital, grow our business and/or continue our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terms of our Loan Agreement require us to meet certain operating and financial covenants, place restrictions on our operating and financial flexibility, and may subject us to default.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October 2022, we entered into the Loan Agreement, most recently amended in December 2023, under which we have borrowed $10.0 million. A further $90.0 million may become available to us, with a total of $65.0 million available upon the achievement of pre-determined development milestones, split equally between each of the two tranches, and $25.0 million at the Lenders’ sole discretion. The proceeds of the loans may be used by us for working capital and to fund our general business requirements.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loans under the Loan Agreement mature on October 1, 2027. We will begin to make principal payments in equal monthly installments beginning on December 1, 2025, and if either of the milestone related tranche term loans are funded, then we will begin to make principal payments in equal monthly installments beginning on December 1, 2026. The term loans accrue interest at a floating rate as described elsewhere in this report, and interest is payable monthly in arrears. The term loans once repaid or prepaid may not be reborrowed. The term loans may be prepaid in full or in part in increments of $10.0 million, with various prepayment premiums. Upon the earlier of prepayment or maturity of any term loan, we are required to pay a fee of 6.0% of the original principal amount of such funded term loan, and a contingency fee may apply in connection with a prepayment of such term loan under certain circumstances. We are also obligated to pay other customary fees for a loan facility of this type and size.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loans under the Loan Agreement are secured by substantially all of our assets, except our intellectual property, which is the subject of a negative pledge, and will be guaranteed by our future subsidiaries, subject to certain limitations. Upon the outstanding balance of the term loans reaching $75.0 million or greater, our intellectual property will become collateral.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Loan Agreement contains customary affirmative and negative covenants, including covenants limiting our ability to, among other things, dispose of assets, effect certain mergers, incur debt, grant liens, pay dividends and distributions on our capital stock, make investments and acquisitions, and enter into transactions with affiliates, in each case subject to customary exceptions for a loan facility of this size and type.</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default under the Loan Agreement, the Lenders will be able to declare all obligations immediately due and payable and take control of our pledged assets, potentially requiring us to renegotiate our agreement on terms less favorable to us or to immediately cease operations. The events of default under the Loan Agreement include, among others, payment defaults, material misrepresentations, breaches of covenants, cross defaults with certain other material indebtedness, bankruptcy and insolvency events, and judgment defaults. The occurrence of an event of default could result in the acceleration of our obligations under the Loan Agreement, the termination of the Lenders’ commitments, a 5.0% increase in the applicable rate of interest and the exercise by the Lender of other rights and remedies provided for under the Loan Agreement. Any declaration by the Lenders of an event of default could significantly harm our business and prospects and could cause the price of our common stock to decline.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the Discovery, Development and Commercialization of Our Product Candidates</w:t>
      </w:r>
    </w:p>
    <w:p>
      <w:pPr>
        <w:pStyle w:val="TextBody"/>
        <w:bidi w:val="0"/>
        <w:spacing w:before="120" w:after="283"/>
        <w:jc w:val="left"/>
        <w:rPr>
          <w:rFonts w:ascii="Times New Roman" w:hAnsi="Times New Roman"/>
          <w:sz w:val="20"/>
        </w:rPr>
      </w:pPr>
      <w:r>
        <w:rPr>
          <w:rFonts w:ascii="Times New Roman" w:hAnsi="Times New Roman"/>
          <w:b/>
          <w:i/>
          <w:color w:val="000000"/>
          <w:sz w:val="20"/>
        </w:rPr>
        <w:t>We are substantially dependent on the success of our lead product candidate, evorpacept, which is in clinical development and which has not completed a pivotal trial. If we do not obtain regulatory approval for and successfully commercialize evorpacept in one or more indications, or we experience significant delays in doing so, we may never generate any revenue or become profitable.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have any products that have received regulatory approval and may never be able to develop marketable product candidates. We expect that a substantial portion of our efforts and expenses over the next several years will be devoted to the development of our lead product candidate, evorpacept, in our ongoing clinical trials. As a result, our business currently depends heavily on the successful development, regulatory approval and, if approved, commercialization of evorpacept in one or more of these indications, such as head and neck squamous cell carcinoma, or HNSCC, gastric/gastroesophageal junction, or GEJ, carcinoma, urothelial cancer, breast cancer, NHL, multiple myeloma, or colorectal cancer. We cannot be certain that evorpacept will receive regulatory approval or will be successfully commercialized even if it receives regulatory approval. The research, testing, manufacturing, safety, efficacy and potency, labeling, approval, sale, marketing and distribution of evorpacept is, and will remain, subject to comprehensive regulation by the FDA and comparable foreign regulatory authorities. Our failure to timely complete clinical trials, obtain regulatory approval or, if approved, commercialize evorpacept or any of our future product candidates, would materially harm our business, financial condition and results of operations. We are not permitted to market or promote evorpacept, or any other product candidate, before we receive marketing approval from the FDA and comparable foreign regulatory authorities, and we may never receive such marketing approvals. If we do not receive marketing approvals for evorpacept, we may not be able to continue our operations. </w:t>
      </w:r>
    </w:p>
    <w:p>
      <w:pPr>
        <w:pStyle w:val="TextBody"/>
        <w:bidi w:val="0"/>
        <w:spacing w:before="120" w:after="283"/>
        <w:jc w:val="left"/>
        <w:rPr>
          <w:rFonts w:ascii="Times New Roman" w:hAnsi="Times New Roman"/>
          <w:sz w:val="20"/>
        </w:rPr>
      </w:pPr>
      <w:r>
        <w:rPr>
          <w:rFonts w:ascii="Times New Roman" w:hAnsi="Times New Roman"/>
          <w:b/>
          <w:i/>
          <w:color w:val="000000"/>
          <w:sz w:val="20"/>
        </w:rPr>
        <w:t>The outcome of preclinical testing and early clinical trials may not be predictive of the success of later clinical trials, and the results of our clinical trials may not satisfy the requirements of the FDA or other comparable foreign regulatory authorities. The clinical trials of our product candidates may not produce positive results or demonstrate adequate safety, purity and efficacy and potency to the satisfaction of regulatory authorities.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Before obtaining marketing approval from regulatory authorities for the sale of our product candidates, we must complete preclinical development and then conduct extensive clinical trials to demonstrate the safety and efficacy/potency of our product candidates. Clinical testing is expensive, difficult to design and implement, can take many years to complete, and its ultimate outcome is uncertain. A failure of one or more clinical trials can occur at any stage of the process. The outcome of preclinical studies and early-stage clinical trials may not be predictive of the success of later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approval of their drugs.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Positive or timely results from preclinical or early-stage trials do not ensure positive or timely results in future clinical trials or registrational clinical trials because product candidates in later-stage clinical trials may fail to demonstrate sufficient safety, purity and efficacy and potency to the satisfaction of the FDA or comparable international regulatory authorities, despite having progressed through preclinical studies or initial clinical trials. In addition, the FDA or any comparable international regulatory authorities may conclude that the results from our clinical trials are insufficient to support any accelerated approval that we may seek with respect to evorpacept or any of our future product candidates in general or with respect to any specific indications. Product candidates that have shown promising results in early clinical trials may still suffer significant setbacks in subsequent clinical trials or registration clinical trials. For example, a number of companies in the pharmaceutical industry, including those with greater resources and experience than us, have suffered significant setbacks in advanced clinical trials, even after obtaining promising results in earlier clinical trials. Additionally, in March 2023, the FDA issued a draft guidance on clinical trial considerations for supporting accelerated approval of oncology therapeutics, noting that although single-arm trials have been commonly used to support accelerated approval, a randomized controlled trial is the preferred approach for providing a more robust efficacy and safety assessment, among other recommendations. To the extent the FDA requires us to collect additional data or to conduct additional clinical trials in accordance with the new guidance, our clinical timelines may be delayed.</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Clinical trials of our product candidates are expensive, time consuming and difficult to design and implement and may fail to demonstrate adequate safety, purity and efficacy and potency of our product candidates or provide the basis for marketing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Before obtaining marketing approval from regulatory authorities for the sale of our product candidates, we must conduct preclinical development and then extensive clinical trials (including initiation of a pediatric study) to demonstrate their safety, purity and efficacy and potency. Clinical trials are expensive and difficult to design and implement. Clinical trials can take many years to complete, and their ultimate outcome is uncertain. A failure of one or more clinical trials can occur at any stage of the process. We will be required to demonstrate with substantial evidence through well-controlled clinical trials that our product candidates are safe, pure and effective or potent for use in a diverse patient population before we can seek regulatory approvals for their commercial sale. Our clinical trials may produce negative or inconclusive results and we may decide, or regulators may require us, to conduct additional and expansive preclinical or clinical testing.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know whether our future clinical trials will begin or enroll subjects on time or whether our ongoing and/or future clinical trials will be completed on schedule or at all. Clinical trials can be delayed for a variety of reasons, including delays related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approval to commence a clinical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reaching agreement on acceptable terms with prospective CROs and clinical trial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institutional review board approval at each clinical trial site;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adding necessary new clinical trial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recruiting suitable subjects to participate in a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noncompliance with clinical trial protocols;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investigational site or trial subjects withdrawing or dropping out of clinical trials at a higher rate than anticipated;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manufacturing sufficient quantities of product candidate for use in clinical trials.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experience numerous unforeseen events during, or as a result of, clinical trials that could delay or prevent receipt of marketing approval or our ability to commercialize our product candidates,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receipt of feedback from regulatory authorities that requires us to modify the design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negative or inconclusive clinical trial results or interval changes to standards of care for the treatment of specific tumor types that may require us to conduct additional clinical trials or abandon certain drug development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subjects required for clinical trials is larger than anticipated, enrollment in these clinical trials is slower than anticipated or subjects dropping out of these clinical trials at a higher rate than anticipated;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clinical trials due to outbreaks or public health crises, such as the COVID-19 pandemic, that impact both trial site operations, subject selection and participation;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contractors failing to comply with regulatory requirements or meet their contractual obligations to us in a timely manner,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suspension or termination of our clinical trials for various reasons, including non-compliance with regulatory requirements, a finding that our product candidates have undesirable side effects or other unexpected characteristics or risks;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clinical trials of our product candidates are greater than anticipated;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supply or quality of our product candidates or other materials necessary to conduct clinical trials of our product candidates being insufficient or inadequate;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regulators revising the requirements for approving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result of any of these delays or other circumstances, we may incur unplanned costs, not obtain or be delayed in obtaining marketing approval, receive more limited or restrictive marketing approval, be subject to additional post-marketing testing requirements or have our drug removed from the market after obtaining marketing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know whether any clinical trials we may conduct will demonstrate consistent or adequate safety and efficacy sufficient to obtain marketing approval of our product candidates or to market our drugs after any such approval.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We have experienced and, if we continue to experience delays or difficulties in the enrollment of subjects in clinical trials and/or retention of subjects in clinical trials in the future, our regulatory submissions or receipt of necessary marketing approvals could be delayed or prevented.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be able to initiate or continue clinical trials for our product candidates if we are unable to locate and enroll a sufficient number of eligible subjects to participate in these trials as required by the FDA or comparable international regulatory authorities. Subject enrollment is a significant factor in the timing of clinical trials. In particular, because certain of our clinical trials of evorpacept are focused on indications with small patient populations, our ability to enroll eligible subjects may be limited or may result in slower enrollment than we anticipate.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past, clinical trial enrollment and data collection has been adversely impacted by staff shortages, site closures, travel limitations and physical distancing requirements and personal safety concerns resulting from and associated with the COVID-19 pandemic. Going forward we expect to continue to experience some of these clinical trial enrollment difficulties associated with the pandemic. For example, subjects who enroll in our clinical trials and then become infected with the COVID-19 virus may complicate the clinical trial data, procedures and analysis, which could delay the anticipated readouts from our clinical trials and our regulatory submissions and increase the costs associated with clinical trials.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Subject enrollment may also be affected if new standards of care become widely available or our competitors have ongoing competing clinical trials for product candidates that are under development for the same indications as our product candidates, and patients who would otherwise be eligible for our clinical trials instead enroll in clinical trials of our competitors’ product candidates. In addition, regulatory requirements governing clinical trials have changed and may continue to change in the future. The timing of our clinical trials depends on our ability to recruit subjects to participate in our studies and changes to regulatory requirements, if any, governing clinical trials may impede our ability to enroll subjects. Subject enrollment may also be affected by other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size and nature of the patient population;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severity of the disease under investigation;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availability and efficacy or potency of current or newly approved drugs for the disease under investigation and other changes in standard of care that could make our clinical trials less attractive, including the drugs or other product candidates we use in our combination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patient eligibility criteria for the trial in question;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perceived risks and benefits of the product candidate under study;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efforts to facilitate timely enrollment in clinical trials by us and the clinical trial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patient referral practices of physicians;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to monitor subjects adequately during and after the clinical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proximity of clinical trial sites to prospective subjects;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risk of subjects enrolled in clinical trials dropping out before completion;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inability or delay in enrollment of subjects due to a variety of reasons, including outbreaks and public health crises, such as the COVID-19 pandemic;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inability to appropriately enroll an ethnically and racially diverse patient population representative of the target patient population;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non-compliance with regulatory requirements;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subjects experiencing severe or unexpected adverse effects related to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enroll a sufficient number of subjects in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drugs.</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Interim, topline and preliminary data from our clinical trials that we announce or publish from time to time may change as more subject data become available and are subject to audit and verification procedures that could result in material changes in the final data.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publicly disclose preliminary, interim or topline data from our clinical trials such as our July 2024 announcement of topline Phase 2 ASPEN-06 clinical trial results of evorpacept for the treatment of advanced HER2-Positive gastric cancer. These interim updates are based on a preliminary analysis of then-available data, and the results and related findings and conclusions are subject to change following a more comprehensive review of the data related to the particular study or trial. Further, interim, topline and preliminary data include certain assumptions, estimations, calculations and conclusions as part of our analyses of data available at that time, and we may not have received or had the opportunity to evaluate all data fully and carefully. As a result, the topline results that we report may differ from future results of the same trials,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Interim data from clinical trials that we may complete are subject to the risk that one or more of the clinical outcomes may materially change as subject enrollment continues and more subject data become available. Adverse changes between interim data and final data could significantly harm our business and prospects. Further, additional disclosure of interim data by us or by our competitors in the future could result in volatility in the price of our common stock. Some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or topline data that we report differ from late, final or actual results, or if others, including regulatory authorities, disagree with the conclusions reached, our ability to obtain approval for product candidates may be harmed, which could harm our business, financial condition, results of operations and prospects.</w:t>
      </w:r>
    </w:p>
    <w:p>
      <w:pPr>
        <w:pStyle w:val="TextBody"/>
        <w:bidi w:val="0"/>
        <w:spacing w:before="120" w:after="283"/>
        <w:jc w:val="left"/>
        <w:rPr>
          <w:rFonts w:ascii="Times New Roman" w:hAnsi="Times New Roman"/>
          <w:sz w:val="20"/>
        </w:rPr>
      </w:pPr>
      <w:r>
        <w:rPr>
          <w:rFonts w:ascii="Times New Roman" w:hAnsi="Times New Roman"/>
          <w:b/>
          <w:i/>
          <w:color w:val="000000"/>
          <w:sz w:val="20"/>
        </w:rPr>
        <w:t>Our product candidates may cause significant adverse events, toxicities or other undesirable side effects when used alone or in combination with other approved products or investigational new drugs that may result in a safety profile that could prevent regulatory approval, prevent market acceptance, limit their commercial potential or result in significant negative consequences.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evorpacept or any of our other product candidates are associated with undesirable side effects or have unexpected characteristics in preclinical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For example, in ALX-Oncology-sponsored clinical trials, the most common adverse events of any grade associated with evorpacept (frequency ≥20%) are fatigue, anemia, nausea, diarrhea, constipation, and neutrophil count decrease. These events have been reported across the program in patients administered evorpacept as a single agent, in combination with pembrolizumab, trastuzumab, rituximab, or azacitidine and as a multiproduct regimen in combination with pembrolizumab, platinum, and 5 FU, or in combination with trastuzumab, ramucirumab, and paclitaxel, or in combination with azacitidine + venetoclax. Such side effects could also affect subject recruitment or the ability of enrolled subjects to complete the trial or result in potential product liability claims. Any adverse events as a result of evorpacept or any of our future product candidates, including in combination with therapy, may prevent us from achieving or maintaining market acceptance of the affected product candidate and may harm our business, financial condition and prospects significantly.</w:t>
      </w:r>
    </w:p>
    <w:p>
      <w:pPr>
        <w:pStyle w:val="TextBody"/>
        <w:bidi w:val="0"/>
        <w:spacing w:before="120" w:after="283"/>
        <w:jc w:val="left"/>
        <w:rPr>
          <w:rFonts w:ascii="Times New Roman" w:hAnsi="Times New Roman"/>
          <w:sz w:val="20"/>
        </w:rPr>
      </w:pPr>
      <w:r>
        <w:rPr>
          <w:rFonts w:ascii="Times New Roman" w:hAnsi="Times New Roman"/>
          <w:b/>
          <w:i/>
          <w:color w:val="000000"/>
          <w:sz w:val="20"/>
        </w:rPr>
        <w:t>We face substantial competition which may result in others discovering, developing or commercializing products before or more successfully than we do.</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development and commercialization of new product candidates is highly competitive. We face competition with respect to evorpacept and will face competition with respect to any product candidates that we may seek to develop or commercialize in the future, from major pharmaceutical, specialty pharmaceutical and biotechnology companies among others. We compete in the segments of the pharmaceutical, biotechnology and other related markets that develop immuno-oncology therapies for the treatment of cancer. There are other companies working to develop immuno-oncology therapies for the treatment of cancer including divisions of large pharmaceutical and biotechnology companies of various sizes. The large pharmaceutical and biotechnology companies that have commercialized and/or are developing immuno-oncology treatments for cancer include, but are not limited to, AstraZeneca, Bristol Myers Squibb, Coherus BioSciences, Gilead Sciences, GSK plc, Incyte Corporation, Merck, Merck KGaA, Novartis, Pfizer, Regeneron Pharmaceuticals and Roche/Genentech. Newly approved therapeutics could change the treatment paradigm or standard of care, which could negatively impact the design of our clinical trials and the prospects of our product candidates.</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Some of these competitive products and therapies are based on scientific approaches that are the same as or similar to our approach, including with respect to the targeting of the CD47 pathway and others are based on entirely different approaches. We are aware that Adagene, Akesobio, Bio-Thera Solutions, Boehringer Ingelheim, Bristol Myers Squibb, Byondis, Centessa, Conjupro Biotherapeutics, CTTQ (SinoBiological), Daiichi Sankyo, Exelixis, GenSci, Gilead Sciences (through its acquisition of Forty Seven), Hanchor Bio, Hisun, Hutchmed, I-Mab, Ichnos, ImmuneOncia Therapeutics, ImmuneOnco Biopharma, Innovent, Kahr, LaNova, Lightchain Bioscience, Mabwell Therapeutics, Mabworks, Novimmune, OSE Immunotherapeutics, Pfizer (through its acquisition of Trillium Therapeutics), Phanes, Pyxis Oncology (through its acquisition of Apexigen), Shandong New Time, Shattuck Labs, Sorrento Therapeutics, Sumgen, SunHo Pharmaceutical, TG Therapeutics, Waterstone, and Zai Lab, among others, are developing or have begun development of drugs targeting the CD47 pathway that may have utility for the treatment of indications that we are targeting. Potential competitors also include academic institutions, government agencies and other public and private research organizations that conduct research, seek patent protection and establish collaborative arrangements for research, development, manufacturing and commercialization.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are already a variety of available drug therapies marketed for cancer and some of the currently approved drug therapies are branded and subject to patent protection and others are available on a generic basis. Many of these approved drugs are well established therapies and are widely accepted by physicians, patients and third-party payors. Insurers and other third-party payors may also encourage the use of generic products. We expect that if evorpacept and/or any of our other future product candidates are approved, they will be priced at a significant premium over competitive generic products. This may make it difficult for us to achieve our business strategy of using our product candidates in combination with existing therapies or replacing existing therapies with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in establishing clinical trial sites and enrolling subjects for our clinical trials and in acquiring technologies complementary to, or necessary for, our programs.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see a reduction or elimination of our commercial opportunity if our competitors develop and commercialize products that are safer, more effective, more convenient or less expensive than any products that we or our collaborators may develop. Our competitors also may obtain FDA or foreign regulatory approval for their products more rapidly than we may obtain approval for ours, which could result in our competitors establishing a strong market position before we are able to enter the market. The key competitive factors affecting the success of all our product candidates, if approved, are likely to be their efficacy, safety, convenience, price, the level of biosimilar or generic competition and the availability of reimbursement from government and other third-party payors. The inability to compete with existing or subsequently introduced drugs would harm our business, financial condition and results of operations.</w:t>
      </w:r>
    </w:p>
    <w:p>
      <w:pPr>
        <w:pStyle w:val="TextBody"/>
        <w:bidi w:val="0"/>
        <w:spacing w:before="120" w:after="283"/>
        <w:jc w:val="left"/>
        <w:rPr>
          <w:rFonts w:ascii="Times New Roman" w:hAnsi="Times New Roman"/>
          <w:sz w:val="20"/>
        </w:rPr>
      </w:pPr>
      <w:r>
        <w:rPr>
          <w:rFonts w:ascii="Times New Roman" w:hAnsi="Times New Roman"/>
          <w:b/>
          <w:i/>
          <w:color w:val="000000"/>
          <w:sz w:val="20"/>
        </w:rPr>
        <w:t>Even if our product candidates receive regulatory approval, they will be subject to significant post-marketing regulatory requirements and oversight.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Even after approval, our manufacturing processes, labeling, packaging, distribution, adverse event reporting, storage, advertising, promotion, import, export and recordkeeping for our approved products will be subject to extensive and ongoing regulatory requirements. These requirements include submissions of safety and other post-marketing information and reports, registration, as well as on-going compliance with current good manufacturing practices, or cGMPs, and current good clinical practices, or cGCPs, for any clinical trials that we conduct post-approval. Regulatory approvals may contain significant limitations related to use restrictions for specific target population subsets, </w:t>
      </w:r>
      <w:r>
        <w:rPr>
          <w:rFonts w:ascii="Times New Roman" w:hAnsi="Times New Roman"/>
          <w:i/>
          <w:color w:val="000000"/>
          <w:sz w:val="20"/>
        </w:rPr>
        <w:t>e.g.</w:t>
      </w:r>
      <w:r>
        <w:rPr>
          <w:rFonts w:ascii="Times New Roman" w:hAnsi="Times New Roman"/>
          <w:color w:val="000000"/>
          <w:sz w:val="20"/>
        </w:rPr>
        <w:t xml:space="preserve">, age groups, warnings, precautions or contraindications, or may include costly and burdensome post-approval study or risk management requirements and regulatory inspection. For example, the FDA may require a risk evaluation and mitigation strategy, or REMS, as a condition for approval of our product candidates, which could entail requirements for a medication guide, physician training and communication plans or additional elements to ensure safe use, such as restricted distribution methods, patient registries and other risk mitigation tools.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manufacturers of drug products and their facilities are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a contract supplier, vendor, or facility where the product is manufactured or processed, a regulatory agency may impose restrictions on that product, the manufacturing facility or contractor, or us, including requiring recall or withdrawal of the product from the market or suspension of manufacturing. In addition, failure to comply with FDA, EMA and other comparable foreign regulatory requirements may subject our company to administrative or judicially imposed sanctions or enforcement actions,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or the rejection of product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our ability to conduct clinical trials, including full or partial clinical holds on ongoing or planned trials;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the products, manufacturers or manufacturing process;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warning or untitled letters;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civil and criminal penalties;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injunctions;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suspension or withdrawal of regulatory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seizures, detentions or import bans;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voluntary or mandatory product recalls and publicity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total or partial suspension of production;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imposition of restrictions on operations, including costly new manufacturing requirements.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occurrence of any of these sanctions, enforcement actions or penalties described above may inhibit our ability to commercialize our product candidates, even if approved, and generate revenue.</w:t>
      </w:r>
    </w:p>
    <w:p>
      <w:pPr>
        <w:pStyle w:val="TextBody"/>
        <w:bidi w:val="0"/>
        <w:spacing w:before="120" w:after="283"/>
        <w:jc w:val="left"/>
        <w:rPr>
          <w:rFonts w:ascii="Times New Roman" w:hAnsi="Times New Roman"/>
          <w:sz w:val="20"/>
        </w:rPr>
      </w:pPr>
      <w:r>
        <w:rPr>
          <w:rFonts w:ascii="Times New Roman" w:hAnsi="Times New Roman"/>
          <w:b/>
          <w:i/>
          <w:color w:val="000000"/>
          <w:sz w:val="20"/>
        </w:rPr>
        <w:t>We previously relied on Tallac Therapeutics Inc., a third-party service provider, to conduct substantially all of our preclinical research activities for evorpacept. If we are unable to successfully transition preclinical research activities in-house, there may be disruptions or delays to our evorpacept development pipeline and our business could be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the ability to independently conduct our preclinical research activities but we previously relied on a third-party service provider to conduct all of our preclinical research activities for evorpacept. Effective as of July 1, 2020, we transferred our preclinical research capabilities at such time and nine of our employees, including a former Chief Scientific Officer, to Tallac Therapeutics Inc., a third-party service provider, formerly known as Tollnine, Inc., or Tallac Therapeutics, and entered into a research and development services agreement, or the Tallac Services Agreement, with Tallac Therapeutics. Under the terms of the Tallac Services Agreement, Tallac Therapeutics provided preclinical research services to us for the cost of these services plus a mark-up equal to 10.0% of such costs. The Tallac Services Agreement terminated on July 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unable to successfully transition preclinical research activities in-house, our preclinical research efforts and studies may be extended or delayed, and there may be disruptions or delays to our evorpacept development pipeline. As a result, our evorpacept product candidate research and development efforts may be delayed or harmed, and our costs could increase and our future ability to generate revenues could be delayed.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Hiring additional internal research and development employees will involve additional efforts and costs and could divert management’s time and focus. In addition, there is a natural transition period to train new employees. As a result, delays may occur, which can materially impact our ability to meet our desired preclinical timelines.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 success depends, in part, on our ability to conduct our research and develop our product pipeline without infringing the intellectual property and other proprietary rights of third parties. If we ever become involved in any dispute with Tallac Therapeutics over ownership of intellectual property or proprietary rights in the future because of the access that Tallac Therapeutics had to our intellectual property, including trade secrets, we may need to negotiate or engage in litigation to preserve our intellectual property rights, which may be time-consuming, expensive and ultimately unsuccessful. In addition, our former employees who are now employees of Tallac Therapeutics may possess our proprietary information. Although these former employees have signed confidentiality and invention assignment agreements with us, we cannot guarantee that they will not breach these agreements in the future. If these former employees disclose our proprietary information to Tallac Therapeutics or other third parties, we may not be able to obtain adequate remedies for such breaches.</w:t>
      </w:r>
    </w:p>
    <w:p>
      <w:pPr>
        <w:pStyle w:val="TextBody"/>
        <w:bidi w:val="0"/>
        <w:spacing w:before="120" w:after="283"/>
        <w:jc w:val="left"/>
        <w:rPr>
          <w:rFonts w:ascii="Times New Roman" w:hAnsi="Times New Roman"/>
          <w:sz w:val="20"/>
        </w:rPr>
      </w:pPr>
      <w:r>
        <w:rPr>
          <w:rFonts w:ascii="Times New Roman" w:hAnsi="Times New Roman"/>
          <w:b/>
          <w:i/>
          <w:color w:val="000000"/>
          <w:sz w:val="20"/>
        </w:rPr>
        <w:t>We contract with third parties for the manufacture of our product candidates for preclinical development and clinical trials, and we expect to continue to do so for commercialization. This reliance on third parties increases the risk that we will not have sufficient quantities of our product candidates or drugs or such quantities at an acceptable cost or quality, which could delay, prevent or impair our development or commercialization efforts.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currently own or operate, nor do we have any plans to establish in the future, any manufacturing facilities or personnel. We rely, and expect to continue to rely, on third parties for the manufacture of our product candidates for preclinical development and clinical testing, as well as for the commercial manufacture of our drugs if any of our product candidates receive marketing approval. No assurance can be given that long-term, scalable manufacturers can be identified or that they can make clinical and commercial supplies of our product candidates that meet the product specifications of previously manufactured batches, or are of a sufficient quality, or at an appropriate scale and cost to make it commercially feasible. Such third-party manufacturers may also be subject to delays due to circumstances outside of their control for a variety of reasons, including outbreaks and public health crises, such as the COVID-19 pandemic, that could shut down or cause limited staffing of their facilities. Our reliance on third parties increases the risk that we will not have sufficient quantities of our product candidates or drugs or such quantities at an acceptable cost or quality, which could delay, prevent or impair our development or commercialization efforts. If they are unable to do so, it could have a material adverse impact on our business.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facilities used by contract manufacturers to manufacture our product candidates must be approved by the FDA or any applicable foreign regulatory authority pursuant to inspections that may be conducted after we submit our marketing applications to the FDA or any such foreign regulatory authority. We do not control the manufacturing process of, and will be completely dependent on, our contract manufacturers for compliance with cGMPs in connection with the manufacture of our product candidates.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any applicable foreign regulatory authority does not approve these facilities for the manufacture of our product candidates or if it withdraws any such approval in the future, we may need to find alternative manufacturing facilities, which would significantly impact, including causing substantial delay in, our ability to develop, obtain regulatory approval for or market our product candidates.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drug candidates or drugs, operating restrictions and criminal prosecutions, any of which could significantly and adversely affect our business and supplies of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 candidates and any drugs that we may develop may compete with other product candidates and approved drugs for access to manufacturing facilities. There are a limited number of manufacturers that operate under cGMP regulations and that might be capable of manufacturing for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also expect to rely on other third parties to label, package, store and distribute product candidate supplies for our clinical trials. Any performance failure on the part of our distributors could delay clinical development or marketing approval of any future product candidates or commercialization of our products, producing additional losses and depriving us of potential drug revenue.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performance failure on the part of our existing or future manufacturers could delay clinical development, marketing approval or commercial drug supply after marketing approval. If our current contract manufacturers cannot perform as agreed, we may be required to replace such manufacturers causing additional costs and delays in identifying and qualifying any such replacement. </w:t>
      </w:r>
    </w:p>
    <w:p>
      <w:pPr>
        <w:pStyle w:val="TextBody"/>
        <w:bidi w:val="0"/>
        <w:spacing w:before="120" w:after="283"/>
        <w:jc w:val="left"/>
        <w:rPr>
          <w:rFonts w:ascii="Times New Roman" w:hAnsi="Times New Roman"/>
          <w:sz w:val="20"/>
        </w:rPr>
      </w:pPr>
      <w:r>
        <w:rPr>
          <w:rFonts w:ascii="Times New Roman" w:hAnsi="Times New Roman"/>
          <w:b/>
          <w:i/>
          <w:color w:val="000000"/>
          <w:sz w:val="20"/>
        </w:rPr>
        <w:t>Material modifications in the methods of product candidate manufacturing or formulation may result in additional costs or delay.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manufacture of drugs is complex, and our third-party manufacturers may encounter difficulties in production. If any of our third-party manufacturers encounter such difficulties, our ability to provide adequate supply of our product candidates for clinical trials or our products for patients, if approved, could be delayed or prevented. We have previously encountered challenges in the production of a drug substance batch, and as a result incurred additional costs to address and rectify the manufacturing process. Also, as product candidates progress through preclinical and clinical trials to marketing approval and commercialization, it is common that various aspects of the development program, such as manufacturing, suppliers and formulation, are altered in an effort to optimize yield and manufacturing batch size, minimize costs and achieve consistent quality and results. Any of these changes could cause our product candidates to perform differently and affect the results of planned clinical trials or other future clinical trials conducted with the modified manufacturing, materials or process. This could delay completion of clinical trials, require the conduct of additional clinical trials, such as bridging studies to demonstrate the product is substantially equivalent to product used during earlier clinical trials or the repetition of one or more clinical trials, increase clinical trial costs, delay approval of our product candidates and jeopardize our ability to commercialize our product candidates, if approved, and generate revenue. </w:t>
      </w:r>
    </w:p>
    <w:p>
      <w:pPr>
        <w:pStyle w:val="TextBody"/>
        <w:bidi w:val="0"/>
        <w:spacing w:before="120" w:after="283"/>
        <w:jc w:val="left"/>
        <w:rPr>
          <w:rFonts w:ascii="Times New Roman" w:hAnsi="Times New Roman"/>
          <w:sz w:val="20"/>
        </w:rPr>
      </w:pPr>
      <w:r>
        <w:rPr>
          <w:rFonts w:ascii="Times New Roman" w:hAnsi="Times New Roman"/>
          <w:b/>
          <w:i/>
          <w:color w:val="000000"/>
          <w:sz w:val="20"/>
        </w:rPr>
        <w:t>Development of product candidates in combination with other therapies could expose us to additional risks. Lack of third-party combination drugs may materially and adversely affect demand for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any of our product candidates were to receive marketing approval or be commercialized for use in combination with other existing therapies, we would continue to be subject to the risks that the FDA, EMA or other comparable foreign regulatory authorities could revoke approval of the therapy used in combination with any of our product candidates, or safety, efficacy, manufacturing or supply issues could arise with these existing therapies. In addition, it is possible that existing therapies with which our product candidates are approved for use could themselves fall out of favor or be relegated to later lines of treatment. This could result in the need to identify other combination therapies for our product candidates or our own products being less successful commercially. We may also evaluate our product candidates in combination with one or more other cancer therapies that have not yet been approved for marketing by the FDA, EMA or comparable foreign regulatory authorities. We will not be able to market and sell any product candidate in combination with any such unapproved cancer therapies that do not ultimately obtain marketing approval. If the FDA, EMA or other comparable foreign regulatory authorities do not approve or revoke their approval of these other therapies, or if safety, efficacy, commercial adoption, manufacturing or supply issues arise with the therapies we choose to evaluate in combination with any other product candidate, we may be unable to obtain approval of or successfully market any one or all of the product candidates we develop. </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to the extent the regulatory authorities require concurrent updates to the drug labeling of an approved drug product to include the combination use to allow approval of one of our product candidates, we will need to coordinate with the third-party manufacturer regarding such combination labeling changes, which could delay or impact the approval of our product candidate. Changes in standard of care and treatment paradigm can materially and adversely affect our business and results of operations, including the design of our clinical trials. Additionally, if the third-party providers of therapies or therapies in development used in combination with our product candidates are unable to produce sufficient quantities for clinical trials or for commercialization of our product candidates, or if the cost of combination therapies are prohibitive, our development and commercialization efforts would be impaired, which would have an adverse effect on our business, financial condition, results of operations and growth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 candidates may be administered in combination with drugs of other pharmaceutical companies as one regimen. In addition, we currently use, and plan to use in the future, third-party drugs in our development and clinical trials as controls for our studies, such as conducting Phase 2 and Phase 2/3 clinical trials of evorpacept in combination with pembrolizumab for HNSCC and trastuzumab for gastric/GEJ carcinoma, respectively. As a result, both the results of our clinical trials and the sales of our drugs may be affected by the availability of these third-party drugs. For instance, we entered into clinical trial collaboration and supply agreements with Merck, Eli Lilly and Jazz, pursuant to which our collaboration counterparties will supply doses of pembrolizumab, ramucirumab, and zanidatamab, respectively, for use in certain clinical trials. If the agreements with Merck and Eli Lilly are terminated before the trials are completed, we may need to find another source of pembrolizumab and ramucirumab, respectively, in order to continue our trials. Zanidatamab is not approved for commercial use by the FDA or any comparable regulatory authority, and as a result, no alternative source of zanidatamab exists. As such, if the agreement with Jazz is terminated before the trials are completed, our ability to continue the trials with zanidatamab would be limited.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other pharmaceutical companies discontinue these drugs for combination therapies in the future, regimens that use these combination drugs may no longer be prescribed, and we may not be able to introduce or find an alternative drug to be used in combination with our drugs at all or in a timely manner and on a cost-effective basis. Use of new combination drugs with our approved product candidates will require further regulatory approval before we can promote such new combination therapies. As a result, demand for our product candidates may be lowered, which would in turn materially and adversely affect our business and results of operations.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not be able to obtain regulatory approval for our product candidates or commercialize any product candidates that may result from our development efforts, or may miss expected deadlines, if we are not able to maintain or secure agreements with the third parties that conduct the activities related to our clinical trials on acceptable terms, if these third parties do not perform their services as contractually required, or if these third parties fail to timely transfer any regulatory information held by them to us.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on entities outside of our control, which may include academic institutions, CROs, hospitals, clinics and other third-party strategic partners, to monitor, support, conduct and oversee preclinical studies and clinical trials of our current and future product candidates. As a result, we have less control over the timing and cost of these studies and the ability to recruit trial subjects than if we conducted these trials with our own personnel. If we are unable to maintain or enter into agreements with these third parties on acceptable terms, or if any such engagement is terminated prematurely, we may be unable to enroll subjects on a timely basis or otherwise conduct our clinical trials as planned. In addition, there is no guarantee that these third parties will devote adequate time and resources to our clinical trials or perform as required by our contract or in accordance with regulatory requirements, including maintenance of clinical trial information regarding our product candidates. For example, these third parties may be adversely impacted by outbreaks and public health crises, such as the COVID-19 pandemic. If these third parties fail to meet expected deadlines, fail to transfer to us any regulatory information in a timely manner, fail to adhere to protocols or fail to act in accordance with regulatory requirements or our agreements with them, or if they otherwise perform in a substandard manner or in a way that compromises the quality or accuracy of their activities or the data they obtain, then clinical trials of our product candidates may be extended or delayed with additional costs incurred, or our data may be rejected by the FDA or other regulatory agencies. Ultimately, we are responsible for ensuring that each of our clinical trials is conducted in accordance with the applicable protocol, legal, regulatory and scientific standards, and our reliance on third parties does not relieve us of our regulatory responsibilities.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and our CROs are required to comply with cGCPs, regulations and guidelines enforced by the FDA and comparable foreign regulatory authorities for products in clinical development. Regulatory authorities enforce these cGCPs through periodic inspections of clinical trial sponsors, principal investigators and clinical trial sites. If we or any of our CROs fail to comply with applicable cGCPs, the clinical data generated in our clinical trials may be deemed unreliable and our submission of marketing applications may be delayed, or the FDA or foreign regulatory authority may require us to perform additional clinical trials before approving our marketing applications. Upon inspection, the FDA or foreign regulatory authority could determine that any of our clinical trials fail or have failed to comply with applicable cGCPs.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also may be implicated if any of our CROs violates fraud and abuse or false claims laws and regulations or healthcare privacy and security laws. </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our third-party clinical trial sites terminate for any reason, we may experience the loss of follow-up information on subjects enrolled in our ongoing clinical trials unless we are able to transfer the care of those subjects to another qualified clinical trial site. Further, our CROs are not required to work indefinitely or exclusively with us. Our existing agreements with our CROs may be subject to termination by the counterparty upon the occurrence of certain circumstances. If any CRO terminates its agreement with us, the research and development of the relevant product candidate would be suspended, and our ability to research, develop and license future product candidates would be impaired. We may be required to devote additional resources to the development of our product candidates or seek a new CRO partner, and the terms of any additional arrangements that we establish may not be favorable to us. Switching or adding CROs or other service providers can involve substantial cost and require extensive management time and focus. In addition, there is a natural transition period when a new CRO or service provider commences work. As a result, delays may occur, which can materially impact our ability to meet our desired clinical development timelines. If we are required to seek alternative arrangements, the resulting delays and potential inability to find suitable replacements could materially and adversely impact our business. </w:t>
      </w:r>
    </w:p>
    <w:p>
      <w:pPr>
        <w:pStyle w:val="TextBody"/>
        <w:bidi w:val="0"/>
        <w:spacing w:before="120" w:after="283"/>
        <w:jc w:val="left"/>
        <w:rPr>
          <w:rFonts w:ascii="Times New Roman" w:hAnsi="Times New Roman"/>
          <w:sz w:val="20"/>
        </w:rPr>
      </w:pPr>
      <w:r>
        <w:rPr>
          <w:rFonts w:ascii="Times New Roman" w:hAnsi="Times New Roman"/>
          <w:b/>
          <w:i/>
          <w:color w:val="000000"/>
          <w:sz w:val="20"/>
        </w:rPr>
        <w:t>Even if we receive marketing approval for any of our product candidates, we may not achieve market acceptance, which would limit the revenue that we can generate from sales of any of our approved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the FDA and applicable foreign regulatory authorities approve the marketing of any product candidates that we develop, physicians, patients, third-party payors or the medical community may not accept or use our product candidates. Efforts to educate the medical community and third-party payors on the benefits of our product candidates may require significant resources and may not be successful. Market acceptance of evorpacept and any other product candidates, if any are approved, will depend on a number of factors, including, among others: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of evorpacept and our other product candidates to treat cancer or other applicable targeted diseases, as compared with other available drugs, treatments or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market introduction of the product candidate as well as competitive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clinical indications for which a product candidate is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approval of other new therapies for the same indications;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prevalence and severity of any adverse side effects associated with evorpacept and our other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limitations or warnings contained in the labeling approved for evorpacept or our other product candidates by the FDA or foreign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availability of alternative treatments and the potential and perceived advantages of our product candidates over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size of the target patient population and the willingness of the target patient population to try new therapies and of physicians to prescribe these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strength and effectiveness of marketing and distribution support and timing of market introduction of competitive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publicity for our product candidates and competing products and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pricing and cost-effectiveness in relation to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relative convenience and ease of administration;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sufficient third-party coverage or reimbursement, and the willingness of patients to pay out-of-pocket in the absence of third-party coverage;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likelihood that the FDA or any foreign regulatory authority may impose additional requirements that limit the promotion, advertising, distribution or sales of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events in clinical trials for our product candidates or in clinical trials of others developing similar products and the resulting publicity, as well as any other adverse events in the field of immuno-oncology that may occur in the future, could result in a decrease in demand for evorpacept or any other product candidate that we may develop. If public perception is influenced by claims that the use of cancer immunotherapies is unsafe, whether related to our therapies or those of our competitors, our products may not be accepted by the general public or the medical community. Future adverse events in immuno-oncology or the biopharmaceutical industry generally could also result in greater governmental regulation and stricter labeling requirements.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our product candidates is approved but does not achieve an adequate level of acceptance by patients, physicians and/or third-party payors, we may not generate sufficient revenue to become or remain profitable and our business may be harmed. </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We have never commercialized a product candidate and we may lack the necessary expertise, personnel and resources to successfully commercialize any of our products that receive regulatory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have no marketing and sales organization and we have never commercialized a product candidate. To achieve commercial success of our product candidates, if any are approved, we will have to develop our own medical affairs, sales, marketing and supply capabilities or outsource these activities to a third party.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our product candidates ultimately receives regulatory approval, we may choose to establish an internal marketing and sales organization with technical expertise and supporting distribution capabilities to commercialize each such product in major markets, which will be expensive and time consuming. We have no prior experience as a company in the marketing, sale and distribution of pharmaceutical products and there are significant risks involved in building and managing a sales organization. Factors that may affect our ability to commercialize our product candidates on our own include recruiting and retaining adequate numbers of effective sales and marketing personnel, obtaining access to or persuading adequate numbers of physicians to prescribe our product candidates and other unforeseen costs associated with creating an independent sales and marketing organization. Developing a sales and marketing organization requires significant investment, is time-consuming and could delay the launch of our product candidates. We may not be able to build an effective sales and marketing organization in the United States, the European Union or other key global markets. If we are unable to build our own distribution and marketing capabilities or to find suitable partners for the commercialization of our product candidates, we may have difficulties generating revenue from them.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also choose to collaborate with third parties that have direct sales forces and established distribution systems, either to augment our own sales force and distribution systems or in lieu of our own sales force and distribution systems. We may not be able to enter into collaborations or hire consultants or external service providers to assist us in sales, marketing and distribution functions on acceptable financial terms, or at all. In addition, our product revenue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 We have no internal sales, marketing or distribution capabilities. </w:t>
      </w:r>
    </w:p>
    <w:p>
      <w:pPr>
        <w:pStyle w:val="TextBody"/>
        <w:bidi w:val="0"/>
        <w:spacing w:before="120" w:after="283"/>
        <w:jc w:val="left"/>
        <w:rPr>
          <w:rFonts w:ascii="Times New Roman" w:hAnsi="Times New Roman"/>
          <w:sz w:val="20"/>
        </w:rPr>
      </w:pPr>
      <w:r>
        <w:rPr>
          <w:rFonts w:ascii="Times New Roman" w:hAnsi="Times New Roman"/>
          <w:b/>
          <w:i/>
          <w:color w:val="000000"/>
          <w:sz w:val="20"/>
        </w:rPr>
        <w:t>The market opportunities for the product candidates we develop, if approved, may be limited to certain smaller patient subsets.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is no guarantee that the product candidates we develop, even if approved, would be approved for the currently proposed indications. We may have to conduct additional clinical trials that may be costly, time-consuming and subject to risk. Regulators, like the FDA, may require us to narrow our indications to smaller patient subsets, and the number of patients in such subsets may turn out to be lower than expected. If this were to occur, it could have a material adverse effect on our business.</w:t>
      </w:r>
    </w:p>
    <w:p>
      <w:pPr>
        <w:pStyle w:val="TextBody"/>
        <w:bidi w:val="0"/>
        <w:spacing w:before="120" w:after="283"/>
        <w:jc w:val="left"/>
        <w:rPr>
          <w:rFonts w:ascii="Times New Roman" w:hAnsi="Times New Roman"/>
          <w:sz w:val="20"/>
        </w:rPr>
      </w:pPr>
      <w:r>
        <w:rPr>
          <w:rFonts w:ascii="Times New Roman" w:hAnsi="Times New Roman"/>
          <w:b/>
          <w:i/>
          <w:color w:val="000000"/>
          <w:sz w:val="20"/>
        </w:rPr>
        <w:t>Our current and future product candidates may have undesirable side effects that may delay or prevent marketing approval or, if approval is received, require them to be taken off the market, require them to include new safety warnings, contraindications or precautions, or otherwise limit their sales. No regulatory agency has made a determination that any of our product candidates are safe, pure, potent or effective for use by the target patient population for any indication.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lead product candidate, evorpacept, is at an early stage of clinical development and not all adverse effects can be predicted or anticipated. Unforeseen side effects from evorpacept or any of our future product candidates may arise at any time during clinical development or, if approved by regulatory authorities, after the approved drug product has been marketed. Any undesirable or unacceptable side effects of evorpacept or our future product candidates could interrupt, delay or halt clinical trials, and result in delay of, or failure to obtain, marketing approval from the FDA or comparable international regulatory authorities, or result in marketing approval from the FDA or comparable international regulatory authorities with restrictive label warnings or for limited patient populations. Ultimately, such side effects could result in product liability claims. No regulatory agency has made any determination that any of our product candidates or discovery programs is safe or effective for use by the general public for any indication.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any of our product candidates receive marketing approval, if we or others later identify undesirable or unacceptable side effects caused by such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require us to take our approved product off the market;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require the addition of labeling statements, specific warnings, contraindication, precaution or field alerts to physicians and pharmacies;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change the way the product is administered, including changing the dose and/or schedule of administration, limit the patient population who can use the product or conduct additional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subject to limitations on how we may promote the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the product may decrease significantly;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subject to litigation or product liability claims; and </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reputation may suffer.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these events could prevent us from achieving or maintaining market acceptance of the affected product or could substantially increase commercialization costs and expenses, which in turn could delay or prevent us from generating revenue from the sale of any future product candidates. </w:t>
      </w:r>
    </w:p>
    <w:p>
      <w:pPr>
        <w:pStyle w:val="TextBody"/>
        <w:bidi w:val="0"/>
        <w:spacing w:before="120" w:after="283"/>
        <w:jc w:val="left"/>
        <w:rPr>
          <w:rFonts w:ascii="Times New Roman" w:hAnsi="Times New Roman"/>
          <w:sz w:val="20"/>
        </w:rPr>
      </w:pPr>
      <w:r>
        <w:rPr>
          <w:rFonts w:ascii="Times New Roman" w:hAnsi="Times New Roman"/>
          <w:b/>
          <w:i/>
          <w:color w:val="000000"/>
          <w:sz w:val="20"/>
        </w:rPr>
        <w:t>Failure to obtain or maintain adequate coverage and reimbursement for our product candidates, if approved, could limit our ability to market those products and decrease our ability to generate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availability and adequacy of coverage and reimbursement by governmental healthcare programs such as Medicare and Medicaid, private health insurers and other third-party payors are essential for most patients to be able to afford products such as our product candidates, if approved. Our ability to achieve and maintain acceptable levels of coverage and reimbursement for products by governmental authorities, private health insurers and other organizations will have an effect on our ability to successfully commercialize our product candidates. Coverage under certain government programs, such as Medicare, Medicaid and TRICARE, may not be available for certain of our product candidates. Assuming we obtain coverage for a given product by a third-party payor, the resulting reimbursement payment rates may not be adequate or may require co-payments that patients find unacceptably high. We cannot be sure that coverage and reimbursement in the United States, the European Union or elsewhere will be available for any product that we may develop, and any reimbursement that may become available may be decreased or eliminated in the future.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payors increasingly are challenging prices charged for pharmaceutical products and services, and many third-party payors may refuse to provide coverage and reimbursement for particular drugs when an equivalent generic drug, biosimilar or a less expensive therapy is available. It is possible that a third-party payor may consider our product candidates and other therapies as substitutable and only offer to reimburse patients for the less expensive product. Even if we show improved efficacy and potency or improved convenience of administration with our product candidates, pricing of existing drugs may limit the amount we will be able to charge for our product candidates. These payors may deny or revoke the reimbursement status of a given product or establish prices for new or existing marketed products at levels that are too low to enable us to realize an appropriate return on our investment in product development. If reimbursement is not available or is available only at limited levels, we may not be able to successfully commercialize our product candidates and may not be able to obtain a satisfactory financial return on products that we may develop.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maintaining reimbursement status is time-consuming and costly. No uniform policy for coverage and reimbursement for products exists among third-party payors in the United States. Therefore, coverage and reimbursement for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has become very intense. As a result, increasingly high barriers are being erected to the entry of new products. The continuing efforts of the government, insurance companies, managed care organizations and other payors of health care services to contain or reduce costs of health care may adversely affect: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demand for any products for which we may obtain regulatory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set a price that we believe is fair for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and maintain coverage and adequate reimbursement for a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generate revenue and achieve or maintain profitability;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 of taxes that we are required to pay. </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The FDA and other regulatory agencies actively enforce the laws and regulations prohibiting the promotion of off-label uses.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strictly regulates manufacturers’ promotional claims of drug products. In particular, a product may not be promoted for uses that are not approved by the FDA as reflected in the FDA-approved labeling. The FDA, the Department of Justice, the Inspector General of the Department of Health and Human Services, or HHS, among other government agencies, actively enforce the laws and regulations prohibiting the promotion of off-label uses, and a company that is found to have improperly promoted off-label uses may be subject to significant liability, including large civil and criminal fines, penalties and enforcement actions. The FDA has also imposed consent decrees or permanent injunctions under which specified promotional conduct is changed or curtailed for companies that engaged in such prohibited activities. If we cannot successfully manage the promotion of our approved product candidates, we could become subject to significant liability, which would materially adversely affect our business and financial condition.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Government Regulation</w:t>
      </w:r>
    </w:p>
    <w:p>
      <w:pPr>
        <w:pStyle w:val="TextBody"/>
        <w:bidi w:val="0"/>
        <w:spacing w:before="120" w:after="283"/>
        <w:jc w:val="left"/>
        <w:rPr>
          <w:rFonts w:ascii="Times New Roman" w:hAnsi="Times New Roman"/>
          <w:sz w:val="20"/>
        </w:rPr>
      </w:pPr>
      <w:r>
        <w:rPr>
          <w:rFonts w:ascii="Times New Roman" w:hAnsi="Times New Roman"/>
          <w:b/>
          <w:i/>
          <w:color w:val="000000"/>
          <w:sz w:val="20"/>
        </w:rPr>
        <w:t>Even if we receive regulatory approval to commercialize any of our product candidates, we will be subject to ongoing regulatory obligations and continued regulatory review with respect to our drugs, which will result in significant additional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regulatory approvals that we receive for our product candidates may be subject to limitations on the approved indicated uses for which the product may be marketed, or subject to certain conditions of approval and may contain requirements for potentially costly post-approval trials and surveillance to monitor the safety, purity and efficacy/potency of the marketed product. For any approved drug, we will be subject to ongoing regulatory obligations and extensive oversight by regulatory authorities, including with respect to manufacturing processes, labeling, packaging, distribution, adverse event reporting, storage, advertising, promotion and recordkeeping for the product. These requirements include submissions of safety and other post-approval information and reports, as well as continued compliance with cGMPs and cGCPs for any clinical trials that we conduct post-approval. Later discovery of previously unknown problems with a drug, including adverse events of unanticipated severity or frequency, or with third-party manufacturers or manufacturing processes, or failure to comply with regulatory requirements, may result in,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the marketing or manufacturing of the drug;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withdrawal of the drug from the market or voluntary or mandatory product recalls;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publicity, fines, warning letters or holds on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refusal by the FDA or any other applicable regulatory authority to approve pending applications or supplements to approved applications filed by us, or suspension or revocation of product license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drug product seizure or detention, or refusal to permit the import or export of product candidates;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injunctions or the imposition of civil or criminal penalties.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occurrence of any of the foregoing could have a material and adverse effect on our business and results of operations. Further, the policies of the FDA or other comparable foreign regulatory authorities may change, and additional government regulations may be enacted that could prevent, limit or delay regulatory approval of our product candidates or impact any already approved drugs.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generate revenue or achieve or sustain profitability. </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The regulatory approval processes of the FDA and comparable foreign regulatory authorities are lengthy, time-consuming and inherently unpredictable, which could lead to our inability to generate product revenue. Even if we obtain FDA approval of any of our product candidates, we may never obtain approval or commercialize such products outside of the United States, which would limit our ability to realize their full market potential.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time required to obtain approval by the FDA and comparable foreign regulatory authorities is unpredictable, typically takes many years following the commencement of clinical trials and depends upon numerous factors, including the type, complexity and novelty of the product candidates involved.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 candidates in those countries.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For example, the FDA’s Oncology Center of Excellence initiated Project Optimus to reform the dose optimization and dose selection paradigm in oncology drug development and Project FrontRunner to help develop and implement strategies to support approvals in the early clinical setting, among other goals. How the FDA plans to implement these goals and their impact on specific clinical programs and the industry are unclear. Regulatory authorities have substantial discretion in the approval process and may refuse to accept any application or may decide that our data are insufficient for approval and require additional preclinical, clinical or other data. Satisfying these and other regulatory requirements is costly, time consuming, uncertain and subject to unanticipated delays. Our failure to obtain regulatory approval in any country may delay or have negative effects on the process for regulatory approval in other countries. Even if we eventually complete clinical testing and receive approval of any regulatory filing for our product candidates, the FDA and comparable foreign regulatory authorities may approve our product candidates for a more limited indication or a narrower patient population than we originally requested. We have not submitted for or obtained regulatory approval for any product candidate and it is possible that we may never obtain regulatory approval for evorpacept, or any other product candidates we seek to develop in the future. If we fail to comply with regulatory requirements in international markets or to obtain and maintain required approvals, our target market will be reduced and our ability to realize the full market potential of our product candidates will be harmed.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Applications for our product candidates could fail to receive regulatory approval for many reasons, including but not limited to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comparable international regulatory authorities may disagree with the design, implementation or results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comparable international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population studied in the clinical program may not be sufficiently broad or representative to assure efficacy and potency and safety in the full population for which we seek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comparable international regulatory authorities may disagree with our interpretation of data from preclinical studies 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data collected from clinical trials of our product candidates may not be sufficient to support the submission of a Biologics License Application, New Drug Application or other submission or to obtain regulatory approval in the United States or elsewhere;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demonstrate to the FDA or comparable international regulatory authorities that a product candidate’s risk-benefit ratio for its proposed indication is acceptable;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comparable international regulatory authorities may fail to approve the manufacturing processes, test procedures and specifications or facilities of third-party manufacturers with which we contract for clinical and commercial supplies;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approval policies or regulations of the FDA or international foreign regulatory authorities may significantly change in a manner rendering our clinical data insufficient for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order to market any product candidates outside of the United States, we must establish and comply with numerous and varying regulatory requirements of other countries regarding safety and efficacy and potency and approval standards. Clinical trials conducted in one country may not be accepted by regulatory authorities in other countries, and regulatory approval in one country does not mean that regulatory approval will be obtained in any other country. </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of the FDA to review and approve new products can be affected by a variety of factors, including government budget and funding levels, ability to hire and retain key personnel and accept the payment of user fees, government shutdowns, including as a result of budget delays or other circumstances like the COVID-19 pandemic and statutory, regulatory and policy changes. Average review times at the agency have fluctuated in recent years as a result. This lengthy approval process, as well as the unpredictability of the results of clinical trials, may result in our failing to obtain regulatory approval to market any of our product candidates, which would significantly harm our business, results of operations and prospects. </w:t>
      </w:r>
    </w:p>
    <w:p>
      <w:pPr>
        <w:pStyle w:val="TextBody"/>
        <w:bidi w:val="0"/>
        <w:spacing w:before="120" w:after="283"/>
        <w:jc w:val="left"/>
        <w:rPr>
          <w:rFonts w:ascii="Times New Roman" w:hAnsi="Times New Roman"/>
          <w:sz w:val="20"/>
        </w:rPr>
      </w:pPr>
      <w:r>
        <w:rPr>
          <w:rFonts w:ascii="Times New Roman" w:hAnsi="Times New Roman"/>
          <w:b/>
          <w:i/>
          <w:color w:val="000000"/>
          <w:sz w:val="20"/>
        </w:rPr>
        <w:t>While we have received certain FDA Fast Track designations, such Fast Track designations may not lead to a faster development or regulatory review or approval process, and do not increase the likelihood that the drug will receive marketing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granted Fast Track designation for evorpacept in combination with pembrolizumab, platinum, and fluorouracil for the first-line treatment of adult patients with metastatic or unresectable, recurrent HNSCC in February 2020, for evorpacept in combination with trastuzumab, ramucirumab and paclitaxel for the treatment of patients with HER2-overexpressing advanced gastric or GEJ adenocarcinoma with disease progression on or after prior trastuzumab, and fluoropyrimidine or platinum-containing chemotherapy in January 2020, and for evorpacept in combination with pembrolizumab for first-line treatment of adult patients with metastatic or unresectable, recurrent HNSCC whose tumors express PD-L1 in July 2022. If a product candidate is intended for the treatment of a serious condition and preclinical or clinical data demonstrate the potential to address unmet medical need for such condition, a sponsor may apply for FDA Fast Track designation. Even though we received these Fast Track designations for evorpacept, Fast Track designation does not ensure that we will receive marketing approval or that approval will be granted within any particular timeframe.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While we have received certain orphan drug designations from the FDA and the European Commission, we may be unable to maintain the benefits associated with such orphan drug designation. If we decide to seek orphan drug designation for additional indications for our product candidates in the future, we may be unsuccessful.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Orphan Drug Act, the FDA may designate a product candidate as an orphan drug if it is a drug intended to treat a rare disease or condition, which is generally defined as a patient population of fewer than 200,000 individuals annually in the United States. In January 2022, the FDA’s Office of Orphan Products Development granted Orphan Drug Designation, ODD, to evorpacept for treatment for gastric/GEJ cancer. We may seek ODD for certain additional indications for our product candidates in the future. ODD neither shortens the development time or regulatory review time of a product candidate nor gives the product candidate any advantage in the regulatory review or approval process. Generally, if a product candidate with ODD subsequently receives the first marketing approval for the indication for which it has such designation, the drug is entitled to a period of marketing exclusivity that precludes the FDA from approving another marketing application for the same drug for the same indication for seven years. Therefore, if our competitors are able to obtain orphan product exclusivity for their product candidates in the same indications we are pursuing, we may not be able to have competing product candidates approved in those indications by the FDA for a significant period of time. There are also limited circumstances where the FDA may reduce the seven-year exclusivity for a product candidate with an orphan drug designation where other product candidates show clinical superiority to the product with orphan exclusivity or if the FDA finds that the holder of the orphan exclusivity has not shown that it can assure the availability of sufficient quantities of the orphan product to meet the needs of patients with the disease or condition for which the drug was designated. However, even if one of our product candidates receives orphan exclusivity, the FDA can still approve other drugs that have a different active ingredient for use in treating the same indication or disease. Furthermore, the FDA can waive orphan exclusivity if we are unable to manufacture a sufficient supply of our product. In response to recent litigation, the FDA clarified in a January 2023 notice that the FDA will continue tying the scope of orphan-drug exclusivity to the uses or indications for which a drug is approved, which permits other sponsors to obtain approval of a drug for new uses or indications within the same orphan designated disease or condition that have not yet been approved. It is unclear how future litigation, legislation, agency decisions, and administrative actions will impact the scope of the orphan drug exclusivity.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June 2023, the European Commission granted ODD to evorpacept for the treatment of patients with gastric/GEJ cancer. In the European Union approved orphan medicines are granted 10 years of market exclusivity, which can be extended to 12 years if a pediatric investigation plan is completed. The market exclusivity period can be shortened if the approved orphan drug becomes commercially successful. An orphan designation can also be revoked if, for example, the prevalence of the condition increased to more than 5 per 10,000 individuals of the total population, if additional therapies are introduced after the initial designation and have improved the morbidity or mortality of a condition so that it is no longer chronically debilitating and/or life-threatening, or if we are unable to demonstrate significant benefit over existing authorized products. We can provide no assurance that we will be able to maintain all the benefits associated with the designation or that we will be successful in commercializing our product if approved. </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Current and future legislation may increase the difficulty and cost for us to commercialize our products, if approved, and affect the prices we may obtain. We may face difficulties from changes to current regulations and future legislation.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Recently, the U.S. Supreme Court overruled the Chevron doctrine, which gives deference to regulatory agencies’ statutory interpretations in litigation against federal government agencies, such as the FDA, where the law is ambiguous. This landmark Supreme Court decision may invite more companies and other stakeholders to bring lawsuits against the FDA to challenge longstanding decisions and policies of the FDA, including FDA’s statutory interpretations of market exclusivities and the “substantial evidence” requirements for drug approvals, which could undermine the FDA’s authority, lead to uncertainties in the industry, and disrupt the FDA’s normal operations, any of which could delay the FDA’s review of our regulatory submissions. We cannot predict the full impact of this decision, future judicial challenges brought against the FDA, or the nature or extent of government regulation that may arise from future legislation or administrative action.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payors, whether domestic or foreign, or governmental or commercial, are developing increasingly sophisticated methods of controlling healthcare costs. In both the United States and certain foreign jurisdictions, there have been, and likely will continue to be, legislative and regulatory proposals at the foreign, federal and state levels directed at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demand for our drugs, if we obtain regulatory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receive or set a price that we believe is fair for our drugs;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generate revenue and achieve or maintain profitability;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 of taxes that we are required to pay;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availability of capital.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Patient Protection and Affordable Care Act, as amended by the Health Care and Education Reconciliation Act, or collectively ACA, was enacted in 2010 and includes measures that have significantly changed the way healthcare is financed by both governmental and private insurers. The ACA continues to impact the U.S. pharmaceutical industry. Since its enactment, there have been judicial, executive and Congressional challenges to certain aspects of the ACA. In June 2021, the United States Supreme Court held that Texas and other challengers had no legal standing to challenge the ACA, dismissing the case without specifically ruling on the constitutionality of the ACA. Accordingly, the ACA remains in effect in its current form. It is possible that the ACA will be subject to judicial or Congressional challenges in the future. It is unclear how additional challenges and healthcare reform measures of the Biden administration will impact the ACA. Complying with any new legislation or reversing changes implemented under the ACA could be time-intensive and expensive, resulting in a material adverse effect on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other legislative changes have been proposed and adopted since the ACA was enacted. These changes include aggregate reductions to Medicare payments to providers of up to 2% per fiscal year pursuant to the Budget Control Act of 2011, which began in 2013 and will remain in effect through 2032, with the exception of temporary suspension under COVID-19 relief legislation.</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also has recently been heightened governmental scrutiny over the manner in which drug manufacturers set prices for their drugs, which has resulted in several U.S.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under the American Rescue Plan Act of 2021, effective January 1, 2024, the statutory cap on Medicaid Drug Rebate Programs rebates that manufacturers pay to state Medicaid programs was eliminated. Elimination of this cap may require pharmaceutical manufacturers to pay more in rebates than it receives on the sale of products, which could have material impact on our business. Further, in July 2021, the Biden administration released an executive order, “Promoting Competition in the American Economy,” with multiple provisions aimed at increasing competition for prescription drugs. Congress is considering legislation that, if passed, could have significant impact on prices of prescription drugs covered by Medicare, including limitations on drug price increases. In August 2022, Congress passed the Inflation Reduction Act of 2022,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Various industry stakeholders, including the U.S. Chamber of Commerce, the National Infusion Center Association, the Global Colon Cancer Association, and the Pharmaceutical Research and Manufacturers of America, have initiated lawsuits against the federal government asserting that the price negotiation provisions of the Inflation Reduction Act are unconstitutional. The impact of these judicial challenges as well as future judicial challenges in view of the U.S. Supreme Court’s overturn of the Chevron doctrine, and other legislative, executive, and administrative actions and agency rules implemented by the government on us and the pharmaceutical industry as a whole is unclear. The implementation of cost containment measures or other healthcare reforms may prevent us from being able to generate revenue, attain profitability, or commercialize our product candidates if approved.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a number of states are considering or have recently enacted state drug price transparency and reporting laws that could substantially increase our compliance burdens and expose us to greater liability under such state laws once we begin commercialization. FDA recently authorized the state of Florida to import certain prescription drugs from Canada for a period of two years to help reduce drug costs, provided that Florida’s Agency for Health Care Administration meets the requirements set forth by the FDA. Other states may follow Florida.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ACA, as well as other healthcare reform measures that may be adopted in the future, may result in additional reductions in Medicare and other healthcare funding, more rigorous coverage criteria, lower reimbursement and new payment methodologies. This could lower the price that we receive for any approved drug product. Any denial in coverage or reduction in reimbursement from Medicare or other government funded programs may result in a similar denial or reduction in payments from private payors, which may prevent us from being able to generate sufficient revenue, attain profitability or commercialize our product candidates, if approved.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European Union, similar political, economic and regulatory developments may affect our ability to profitably commercialize our current or any future product candidates. In addition to continuing pressure on prices, price controls and cost containment measures, legislative developments at the European Union or member state level may result in significant additional requirements or obstacles that may increase our operating costs. In international markets, reimbursement and healthcare payment systems vary significantly by country, and many countries have instituted price ceilings on specific products and therapies. Our future product candidates, if any, might not be considered medically reasonable and necessary for a specific indication or cost-effective by third-party payors, an adequate level of reimbursement might not be available for such product candidates and third-party payors’ reimbursement policies might adversely affect our ability to sell any future product candidates profitably.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the commercial launch of the product candidate, possibly for lengthy time periods, and negatively impact the revenue that are generated from the sale of the product in that country. If reimbursement of such product candidates is unavailable or limited in scope or amount, or if pricing is set at unsatisfactory levels, or if there is competition from lower-priced cross-border sales, our profitability will be negatively affected. </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our product candidates may lose any marketing approval that may have been obtained and we may not achieve or sustain profitability, which would adversely affect our business. </w:t>
      </w:r>
    </w:p>
    <w:p>
      <w:pPr>
        <w:pStyle w:val="TextBody"/>
        <w:bidi w:val="0"/>
        <w:spacing w:before="120" w:after="283"/>
        <w:jc w:val="left"/>
        <w:rPr>
          <w:rFonts w:ascii="Times New Roman" w:hAnsi="Times New Roman"/>
          <w:sz w:val="20"/>
        </w:rPr>
      </w:pPr>
      <w:r>
        <w:rPr>
          <w:rFonts w:ascii="Times New Roman" w:hAnsi="Times New Roman"/>
          <w:b/>
          <w:i/>
          <w:color w:val="000000"/>
          <w:sz w:val="20"/>
        </w:rPr>
        <w:t>Our business operations and current and future relationships with investigators, health care professionals, consultants, third-party payors and customers will be subject, directly or indirectly, to federal and state healthcare fraud and abuse laws, false claims laws, health information privacy and security laws and other healthcare laws and regulations. If we are unable to comply, or have not fully complied, with such laws, we could face substantial penalties.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we do not currently have any products on the market, our operations may be directly, or indirectly through our prescribers, consultants, customers and third-party payors, subject to various U.S. federal and state healthcare laws and regulations, including, without limitation, the U.S. federal Anti-Kickback Statute, the U.S. federal civil and criminal false claims laws and the Physician Payments Sunshine Act and regulations. Healthcare providers and others play a primary role in the recommendation and prescription of any products for which we obtain marketing approval. These laws may impact, among other things, our current business operations, including our clinical research activities and proposed sales, marketing and education programs and constrain the business of financial arrangements and relationships with healthcare providers, physicians and other parties through which we market, sell and distribute our products for which we obtain marketing approval. In addition, we may be subject to patient data privacy and security regulation by both the U.S. federal government and the states in which we conduct our business. Finally, we may be subject to additional healthcare, statutory and regulatory requirements and enforcement by foreign regulatory authorities in jurisdictions in which we conduct our business. The laws that may affect our ability to operate are described in the following paragraphs: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U.S. federal Anti-Kickback Statute prohibits, among other things, persons or entities from knowingly and willfully soliciting, offering, receiving or paying any remuneration (including any kickback, bribe or certain rebates), directly or indirectly, overtly or covertly, in cash or in kind, to induce or reward either the referral of an individual for, or the purchase, lease, order or recommendation of, any good, facility, item or service, for which payment may be made, in whole or in part, under U.S. federal and state healthcare programs such as Medicare and Medicaid. Moreover, the ACA provides that the government may assert that a violation of the federal Anti-Kickback Statute also constitutes a false or fraudulent claim for purposes of the civil False Claims Act, or FCA.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civil and criminal false claims, including the civil FCA, that can be enforced by private citizens through civil whistleblower or qui tam actions,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No specific intent to defraud is required under the civil FCA. The criminal FCA provides for criminal penalties for submitting false claims, including imprisonment and criminal fines.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Civil Monetary Penalty Act of 1981 and implementing regulations impose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 or offering or transferring remuneration to a federal healthcare beneficiary that a person knows or should know is likely to influence the beneficiary’s decision to order or receive items or services reimbursable by the government from a particular provider or supplier.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Health Insurance Portability and Accountability Act, or HIPAA,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HIPAA, as amended by the Health Information Technology for Economic and Clinical Health Act of 2009, or HITECH, and its implementing regulations, as amended again by the Modifications to the HIPAA Privacy, Security, Enforcement and Breach Notification Rules Under HITECH and the Genetic Information Nondiscrimination Act and Other Modifications to the HIPAA Rules, commonly referred to as the Final HIPAA Omnibus Rule, published in January 2013, impose certain obligations, including mandatory contractual terms, on covered entities subject to the Final HIPAA Omnibus Rule, </w:t>
      </w:r>
      <w:r>
        <w:rPr>
          <w:rFonts w:ascii="Times New Roman" w:hAnsi="Times New Roman"/>
          <w:i/>
          <w:color w:val="000000"/>
          <w:sz w:val="20"/>
        </w:rPr>
        <w:t>i.e.</w:t>
      </w:r>
      <w:r>
        <w:rPr>
          <w:rFonts w:ascii="Times New Roman" w:hAnsi="Times New Roman"/>
          <w:color w:val="000000"/>
          <w:sz w:val="20"/>
        </w:rPr>
        <w:t xml:space="preserve">, health plans, healthcare clearinghouses and healthcare providers, and their business associates that perform certain services for or on their behalf involving the use or disclosure of individually identifiable health information as well as their covered subcontractors with respect to safeguarding the privacy, security and transmission of individually identifiable health information.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U.S. Federal Food, Drug and Cosmetic Act prohibits, among other things, the adulteration or misbranding of drugs, biologics and medical devices. </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Physician Payments Sunshine Act requires applicable manufacturers of covered drugs, medical devices, biologics and medical supplies for which payment is available under Medicare, Medicaid or the Children’s Health Insurance Program, with specific exceptions, to annually report to Centers for Medicare &amp; Medicaid Services, or CMS, information regarding payments and other transfers of value made to covered recipients, including physicians (defined to include doctors, dentists, optometrists, podiatrists and chiropractors), certain non-physician healthcare professionals (such as physician assistants and nurse practitioners, among others), and teaching hospitals as well as information regarding ownership and investment interests held by physicians and their immediate family members.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distribution of pharmaceutical products is subject to additional requirements and regulations, including extensive record-keeping, licensing, price reporting, storage and security requirements intended to prevent the unauthorized sale of pharmaceutical products. Pricing and rebate programs must also comply with the Medicaid rebate requirements of the U.S. Omnibus Budget Reconciliation Act of 1990 and more recent requirements in the ACA. If products are made available to authorized users of the Federal Supply Schedule of the General Services Administration, additional laws and requirements apply. Manufacturing, sales, promotion and other activities also are potentially subject to federal and state consumer protection and unfair competition laws.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Analogous state laws and regulations impose additional obligations,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state and local laws requiring the registration of pharmaceutical sales representatives; and state laws governing the privacy and security of health information in certain circumstances, many of which differ from each other in significant ways and often are not preempted by HIPAA, thus complicating compliance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European and other foreign law equivalents of each of the laws also impose legal requirements, including reporting requirements detailing interactions with and payments to healthcare providers.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U.S. government funded healthcare programs, such as Medicare and Medicaid, or similar programs in other countries or jurisdictions, disgorgement, imprisonment, contractual damages, reputational harm, diminished profits, additional reporting requirements and oversight, and the delay, reduction, termination or restructuring of our operations. Further, defending against any such actions can be costly and time-consuming,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is found not to be in compliance with applicable laws, they may be subject to significant criminal, civil or administrative sanctions, including exclusions from government funded healthcare programs and imprisonment. If any of the above occur, it could adversely affect our ability to operate our business and our results of operations. </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If we, our employees, independent contractors, principal investigators, consultants, vendors or agents acting on our behalf fail to comply with healthcare laws and regulatory requirements, we could be subject to fines, penalties or enforcement actions, or incur costs that could have a material adverse effect on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the risk of employee fraud or other misconduct as well as risks of noncompliance by contractors or agents acting on our behalf. Misconduct by employees and independent contractors, such as principal investigators, consultants and vendors, could include intentional failures to comply with FDA regulations, to provide accurate information to the FDA, to comply with health care fraud and abuse laws, to report financial information or data accurately or to disclose unauthorized activities to us. In particular, research, sales, marketing and business arrangements in the health care industry are subject to extensive laws intended to prevent fraud, misconduct, kickbacks, self-dealing and other abusive practices. These laws may restrict or prohibit a wide range of research, pricing, discounting, marketing and promotion, sales commission, customer incentive programs and other business arrangements. Employee and independent contractor misconduct could also involve the improper use of information obtained in the course of clinical trials, which could result in regulatory sanctions and serious harm to our reputation. We have adopted a written code of business conduct and ethics, but it is not always possible to identify and deter employee or independent contractor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exclusion from participation in government-funded healthcare programs, or other sanctions. </w:t>
      </w:r>
    </w:p>
    <w:p>
      <w:pPr>
        <w:pStyle w:val="TextBody"/>
        <w:bidi w:val="0"/>
        <w:spacing w:before="120" w:after="283"/>
        <w:jc w:val="left"/>
        <w:rPr>
          <w:rFonts w:ascii="Times New Roman" w:hAnsi="Times New Roman"/>
          <w:sz w:val="20"/>
        </w:rPr>
      </w:pPr>
      <w:r>
        <w:rPr>
          <w:rFonts w:ascii="Times New Roman" w:hAnsi="Times New Roman"/>
          <w:b/>
          <w:i/>
          <w:color w:val="000000"/>
          <w:sz w:val="20"/>
        </w:rPr>
        <w:t>If we do not comply with laws regulating the protection of the environment and health and human safety, our business could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numerous environmental, health and safety laws and regulations, including those governing laboratory procedures and the handling, use, storage, treatment and disposal of hazardous materials and wastes. Our research and development involve, and may in the future involve, the use of potentially hazardous materials and chemicals. Our operations may produce hazardous waste products. Although we believe that our safety procedures for handling and disposing of these materials comply with the standards mandated by local, state and federal laws and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and fire and building codes, including those governing laboratory procedures, exposure to blood-borne pathogens, use and storage of flammable agents and the handling of biohazardous materials. Although we maintain workers’ compensation insurance as prescribed by the State of California to cover us for costs and expenses, we may incur costs and expenses due to injuries to our employees resulting from the use of these materials, as this insurance may not provide adequate coverage against potential liabilities. We do not maintain insurance for environmental liability or toxic tort claims that may be asserted against us. Additional laws and regulations affecting our operations may be adopted in the future. Current or future laws and regulations may impair our research, development or commercialization efforts. We may incur substantial costs to comply with, and substantial fines or penalties if we violate, any of these laws or regulations. </w:t>
      </w:r>
    </w:p>
    <w:p>
      <w:pPr>
        <w:pStyle w:val="TextBody"/>
        <w:bidi w:val="0"/>
        <w:spacing w:before="120" w:after="283"/>
        <w:jc w:val="left"/>
        <w:rPr>
          <w:rFonts w:ascii="Times New Roman" w:hAnsi="Times New Roman"/>
          <w:sz w:val="20"/>
        </w:rPr>
      </w:pPr>
      <w:r>
        <w:rPr>
          <w:rFonts w:ascii="Times New Roman" w:hAnsi="Times New Roman"/>
          <w:b/>
          <w:i/>
          <w:color w:val="000000"/>
          <w:sz w:val="20"/>
        </w:rPr>
        <w:t>Disruptions at the FDA, SEC or other government agencies caused by funding shortages or global health concerns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the FDA to review and approve new products can be affected by a variety of factors, including government budget and funding levels and the ability to hire and retain key personnel.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For example, the U.S. government has shut down in the past, forcing regulatory authorities such as the FDA and SEC to furlough employees, and in response to the COVID-19 pandemic, the FDA has postponed certain inspections. If global health concerns or other causes continue to prevent the FDA or other regulatory authorities from conducting their normal operations, such as regular inspections, reviews, or other regulatory activities in a timely manner, or if the FDA and other agencies experience other delays, backlogs or disruptions, it could significantly impact the ability of the FDA or other regulatory authorities to timely review and process our regulatory submissions, which could have a material adverse effect on our business.</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Our business activities may be subject to the Foreign Corrupt Practices Act and similar anti-bribery and anti-corruption laws, as well as U.S. and certain foreign export controls, trade sanctions and import laws and regulations, all of which can subject us to criminal liability and other serious consequences for violations.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activities may be subject to the Foreign Corrupt Practices Act, or FCPA, and similar anti-bribery or anti-corruption laws, regulations or rules of other countries in which we operate. These laws generally prohibit companies and their employees and third party business partners, representatives and agents from engaging in corruption and bribery, including offering, promising, giving or authorizing the provision of anything of value, either directly or indirectly, to a government official or commercial party in order to influence official action, direct business to any person, gain any improper advantage, or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government officials, including officials of non-U.S. governments.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in many countries, healthcare providers are employed by the government, and the purchasers of biopharmaceuticals are government entities. As a result, our dealings with these providers and purchasers are subject to regulation and such healthcare providers and employees of such purchasers may be considered “foreign officials” as defined in the FCPA. Recently, the SEC and Department of Justice have increased their FCPA enforcement activities with respect to biotechnology companies. In addition to our own employees, we leverage third parties to conduct our business abroad, such as obtaining government licenses and approvals. We and our third-party business partners, representatives and agents may have direct or indirect interactions with officials and employees of government agencies, state-owned or affiliated entities and we may be held liable for the corrupt or other illegal activities of our employees, our third-party business partners, representatives and agents, even if we do not explicitly authorize such activities. There is no certainty that our employees or the employees of our third-party business partners, representatives and agents will comply with all applicable laws and regulations, particularly given the high level of complexity of these laws. Violations of these laws and regulations could result in whistleblower complaints, adverse media coverage, investigations, loss of export privileges, debarment from U.S. government contracts, substantial diversion of management’s attention, significant legal fees and fines, severe criminal or civil sanctions against us, our officers or our employees, disgorgement and other penalties and remedial measures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financial condition and stock price.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business. Furthermore, U.S. export control laws and economic sanctions prohibit the provision of certain products and services to countries, governments and persons targeted by U.S. sanctions. If we fail to comply with export and import regulations and such economic sanctions, penalties could be imposed, including fines and/or denial of certain export privileges.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Data collection under European and U.S. laws is governed by restrictive regulations addressing the collection, use, processing and, in the case of Europe, cross-border transfer, of personal information (i.e., information that relates to an identified or identifiable individual).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collect, process, use or transfer personal information from individuals located in the European Economic Area, or EEA, Switzerland and the United Kingdom in connection with our business, including in connection with conducting clinical trials in these regions.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if any of our product candidates are approved, we may seek to commercialize those products in the EEA or the United Kingdom or Switzerland. The collection and use of personal information (which includes health data) in the EEA is governed, in part, by the provisions of the General Data Protection Regulation (EU) 2016/679, or the GDPR, or its UK equivalent, the UK GDPR, or the new Swiss Federal Act on Data Protection, or FADP. These regulations impose requirements relating to having a legal basis for processing personal information and transferring such information outside of the EEA, the United Kingdom and Switzerland, respectively, as applicable, including to the United States, informing concerned individuals about the processing of their personal information, keeping personal information secure, having data processing agreements with third parties who process personal information on our behalf, responding to individuals’ requests to exercise their rights in respect of their personal information, reporting security breaches involving personal information to the competent national data protection authority and affected individuals, appointing data protection officers, conducting data protection impact assessments and record-keeping.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actual or alleged failure to comply with the GDPR, UK GDPR, FADP, or related national data protection laws may result in regulatory inquiries and other proceedings, substantial fines, other administrative penalties and civil claims being brought against us, which could have a material adverse effect on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GDPR, UK GDPR and FADP also restrict the transfer of personal information outside of the EEA, United Kingdom and Switzerland respectively, unless appropriate safeguards are in place. </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One primary set of safeguards, the Standard Contractual Clauses adopted by the European Commission, have been recently updated. With regard to data transfers outside of the EEA to the United States, in March 2022, the European Union and United States announced a political agreement on a new framework for personal information transfers, the EU-U.S. Data Privacy Framework, or the EU-U.S. DPF. A related framework, the Swiss-U.S. Data Privacy Framework, or Swiss-U.S. DPF, also was established, and was the subject of an adequacy decision by the Swiss Federal Council on August 14, 2024. On July 10, 2023, the European Commission adopted an adequacy decision relating to the EU-U.S. DPF. Additionally, a UK Extension to the EU-U.S. DPF, Swiss-U.S. DPF, became effective on October 12, 2023. We are evaluating whether to make use of the EU-U.S. DPF and the UK Extension to the EU-U.S. DPF to transfer personal information from the EEA to the United States.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Brexit has created uncertainty with regard to data protection regulation in the United Kingdom. Although the European Commission granted “adequacy” status to the United Kingdom in June 2021, and personal information can flow from the European Union to the United Kingdom and back, the United Kingdom is expected to change its policy with respect to the export of personal information to third countries, such as the United States, and the European Commission’s adequacy determination for the United Kingdom requires renewal after four years and it may be modified or revoked in the interim. In addition, in February 2022, the United Kingdom’s Information Commissioner’s Office issued new Standard Contractual Clauses for the transfer of personal information outside of the United Kingdom. While we believe we are currently compliant with the new Standard Contractual Clauses, the data transfers enforcement landscape and the EU-U.S. DPF’s longer term stability remain uncertain, which could increase our compliance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therefore, incur liabilities, expenses, costs, and other operational losses under the GDPR, UK GDPR, the FADP, and applicable laws and regulations of European Union member states in connection with any measures we take to comply with them.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U.S. states are adopting new laws or amending existing laws, requiring attention to frequently changing regulatory requirements related to personal information. For example, California enacted the California Consumer Privacy Act, or the CCPA, in 2018, which took effect on January 1, 2020 and has been dubbed the first “GDPR-like” law in the United States. The CCPA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which can include any of our current or future employees who may be California residents or any other California residents whose data we collect or process) and provide such residents new ways to opt out of certain sales of personal information. The CCPA provides for civil penalties for violations, as well as a private right of action for data breaches that is expected to increase data breach litigation.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the California Privacy Rights Act, or the CPRA, was approved by California voters in November 2020. The CPRA modifies the CCPA significantly, potentially resulting in further uncertainty and requiring us to incur additional costs and expenses in an effort to comply. Other states are beginning to consider and pass similar laws, including laws enacted in Colorado, Connecticut, Delaware, Florida, Indiana, Iowa, Kentucky, Maryland, Minnesota, Montana, Nebraska, New Hampshire, New Jersey, Oregon, Rhode Island, Tennessee, Texas, Utah, and Virginia. As we expand our operations, preclinical studies and clinical trials, these new state laws and other state laws and regulations relating to privacy and data security may increase our compliance costs and potential liability. Privacy and data security laws and regulations are not consistent across jurisdictions, and they may impose conflicting or uncertain obligations. Compliance with these and any other applicable privacy and data security laws and regulations is a rigorous, costly and time-intensive process, and we may be required to put in place additional mechanisms ensuring compliance with new and changing data protection obligations under these laws and regulations. Actual or alleged noncompliance with any such laws and regulations may lead to regulatory investigations, enforcement actions, claims and litigation, and if we fail to comply with any such laws or regulations, we may face significant fines and penalties. Any of these could adversely affect our business, financial condition and results of operations.</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Intellectual Property</w:t>
      </w:r>
    </w:p>
    <w:p>
      <w:pPr>
        <w:pStyle w:val="TextBody"/>
        <w:bidi w:val="0"/>
        <w:spacing w:before="120" w:after="283"/>
        <w:jc w:val="left"/>
        <w:rPr>
          <w:rFonts w:ascii="Times New Roman" w:hAnsi="Times New Roman"/>
          <w:sz w:val="20"/>
        </w:rPr>
      </w:pPr>
      <w:r>
        <w:rPr>
          <w:rFonts w:ascii="Times New Roman" w:hAnsi="Times New Roman"/>
          <w:b/>
          <w:i/>
          <w:color w:val="000000"/>
          <w:sz w:val="20"/>
        </w:rPr>
        <w:t>If we are unable to obtain, maintain and enforce patent protection for our product candidates and related technology, our business could be materially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strategy depends on our ability to identify, seek, obtain and maintain patent protection for our product candidates and other research and development discoveries. Our patent portfolio is relatively small compared to many large and more established pharmaceutical and biotechnology companies. As our patent portfolio grows, we expect patent protection will continue to be an important part of our strategy. The patent protection process is expensive and time-consuming, and we may not be able to file and prosecute all necessary or desirable patent applications or maintain and enforce any patents that may issue from such patent applications, at a reasonable cost or in a timely manner or in all jurisdictions where protection may be commercially advantageous. It is also possible that we will fail to identify patentable aspects of our research and development discoveries in a timely manner to obtain patent protection. Moreover, in some circumstances, we may not have the right to control the preparation, filing and prosecution of patent applications, or to maintain the patents, covering technology that we have licensed from third parties. Therefore, our in-licensed patents and patent applications may not be prosecuted and enforced in a manner consistent with the best interests of our business. Our patent applications cannot be enforced against third parties practicing the technology claimed in such applications unless, and until, patents issue from such applications, and then only to the extent the issued claims cover the technology. The patent applications that we own or in-license may fail to result in issued patents with claims that cover our current and future product candidates in the United States or in foreign countries or may fail to effectively prevent third parties from commercializing competitive product candidates.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patent position of biotechnology companies generally is highly uncertain, involves complex legal and factual questions, and has in recent years been the subject of much litigation. We may be subject to a third-party pre-issuance submission of prior art to the U.S. Patent and Trademark Office, or USPTO, and such prior art may affect the scope of any allowable claims or it may prevent our patent applications from issuing as patents. Further, the issuance of a patent does not ensure that it is valid or enforceable, nor is the issuance conclusive as to inventorship or the scope of any claims. Third parties may challenge the validity, enforceability or scope of our issued patents or claim that they should be inventors on such patents, and such patents may be narrowed, invalidated, circumvented or deemed unenforceable and such third parties may gain rights to such patents. We could also become involved in reexamination, </w:t>
      </w:r>
      <w:r>
        <w:rPr>
          <w:rFonts w:ascii="Times New Roman" w:hAnsi="Times New Roman"/>
          <w:i/>
          <w:color w:val="000000"/>
          <w:sz w:val="20"/>
        </w:rPr>
        <w:t>inter partes</w:t>
      </w:r>
      <w:r>
        <w:rPr>
          <w:rFonts w:ascii="Times New Roman" w:hAnsi="Times New Roman"/>
          <w:color w:val="000000"/>
          <w:sz w:val="20"/>
        </w:rPr>
        <w:t xml:space="preserve"> review, post-grant review, opposition or derivation proceedings challenging our patent rights or the patent rights of others.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changes in law may introduce uncertainty in the enforceability or scope of patents we own. If our patents are narrowed, invalidated or held unenforceable, third parties may be able to commercialize our technology or products and compete directly with us without payment to us. There is no assurance that all potentially relevant prior art relating to our patents and patent applications has been found, and such prior art could potentially invalidate one or more of our patents or prevent a patent from issuing from one or more of our pending patent applications. There is also no assurance that there is no prior art that may ultimately be found to affect the validity or enforceability of a claim. Furthermore, even if our patents are unchallenged, they may not adequately protect our intellectual property, provide exclusivity for our product candidates, prevent others from designing around our claims or provide us with a competitive advantage. The legal systems of certain countries do not favor the aggressive enforcement of patents, and the laws of foreign countries may not allow us to protect our inventions with patents to the same extent as the laws of the United States. Because patent applications in the United States and many foreign jurisdictions are typically not published until 18 months after filing, or in some cases not at all, and because publications of discoveries in scientific literature lag behind actual discoveries, we cannot be certain that we were the first to make the inventions claimed in our issued patents or pending patent applications, or that we were the first to file for protection of the inventions set forth in our patents or patent applications. As a result, we may not be able to obtain or maintain protection for certain inventions.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all of the foregoing reasons, the issuance, validity, enforceability, scope and commercial value of our patents in the United States and in foreign countries cannot be predicted with certainty and, as a result, any patents that we own or license may not provide sufficient protection against competitors. We may not be able to obtain or maintain patent protection from our pending patent applications, from those we may file in the future, or from those we may license from third parties. Moreover, even if we are able to obtain patent protection, such patent protection may be of insufficient scope to achieve our business objectives. In addition, the issuance of a patent does not give us the right to practice the patented invention. Third parties may have blocking patents that could prevent us from marketing our own patented product and practicing our own patented technology. </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not be able to protect our intellectual property rights throughout the world.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to develop their own products in jurisdictions where we have not obtained patent protection and further, may export otherwise infringing products to territories where we have patent protection, but enforcement is not as strong as that in the United States. These products may compete with our current or future products, if any, and our patents or other intellectual property rights may not be valid or sufficient to prevent them from competing.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Beginning June 1, 2023, European patent applications and patents may be subjected to the jurisdiction of the Unified Patent Court, or UPC. Also, European patent applications will have the option, upon grant of a patent, of becoming a Unitary Patent, which will be subject to the jurisdiction of the UPC. The UPC and Unitary Patent are significant changes in European patent practice. As the UPC is a new court system, there is no precedent for the court, increasing the uncertainty of any litigation in the UPC.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court proceedings to enforce our intellectual property rights, and the damages or other remedies awarded to us, if any, may not be commercially meaningful. Accordingly, our efforts to enforce our intellectual property rights around the world may be inadequate to obtain a significant commercial advantage from the intellectual property that we develop or license.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the requirements for patentability may differ in certain countries. For example, in certain countries, there is no link between regulatory approval of a drug and its patent status, and patenting of medical uses of a claimed drug are prohibited. In addition, certain countries in Europe and other countries, including China,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efforts to enforce intellectual property rights around the world may be inadequate to obtain a significant commercial advantage from the intellectual property that we own or license. </w:t>
      </w:r>
    </w:p>
    <w:p>
      <w:pPr>
        <w:pStyle w:val="TextBody"/>
        <w:bidi w:val="0"/>
        <w:spacing w:before="120" w:after="283"/>
        <w:jc w:val="left"/>
        <w:rPr>
          <w:rFonts w:ascii="Times New Roman" w:hAnsi="Times New Roman"/>
          <w:sz w:val="20"/>
        </w:rPr>
      </w:pPr>
      <w:r>
        <w:rPr>
          <w:rFonts w:ascii="Times New Roman" w:hAnsi="Times New Roman"/>
          <w:b/>
          <w:i/>
          <w:color w:val="000000"/>
          <w:sz w:val="20"/>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Periodic maintenance fees, renewal fees, annuity fees and various other governmental fees on patents or applications will be due to the USPTO and various foreign patent offices at various points over the lifetime of our patents or applications. We have systems in place to remind us to pay these fees, and we rely on our outside patent annuity service to pay these fees automatically when due, but we must notify the provider of any new patents or applications. Additionally, the USPTO and various foreign patent offices require compliance with many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 </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Changes in patent laws or patent jurisprudence could diminish the value of patents in general, thereby impairing our ability to protect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 positions of biotechnology companies can be highly uncertain and involve complex legal and factual questions for which important legal principles remain unresolved. Changes in either the patent laws or in the interpretations of patent laws in the United States and other countries may diminish the value of our intellectual property. We cannot predict the breadth of claims that may be allowed or found to be enforceable in our patents or in third-party patents. The United States has enacted and implemented wide-ranging patent reform legislation. Further, recent U.S. Supreme Court rulings have either narrowed the scope of patent protection available in certain circumstances or weakened the rights of patent owners in certain situations. In addition to increasing uncertainty with regard to our ability to obtain patents in the future, this combination of events has created uncertainty with respect to the validity, scope and value of patents, once obtained.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our U.S. patent applications containing a priority claim after March 16, 2013, there is a higher level of uncertainty in the patent law. In September 2011, the Leahy-Smith America Invents Act, also known as the America Invents Act, or AIA, was signed into law. The AIA includes a number of significant changes to U.S. patent law, including provisions that affect the way patent applications are prosecuted and may also affect patent litigation. The AIA and its implementation may increase the uncertainties and costs surrounding the prosecution of our patent applications and the enforcement or defense of our issued patents, all of which could have an adverse effect on our business. An important change introduced by the AIA is that, as of March 16, 2013, the United States transitioned to a “first-to-file” system for deciding which party should be granted a patent when two or more patent applications are filed by different parties disclosing or claiming the same invention. A third party that has filed, or does file a patent application in the USPTO after March 16, 2013 but before us, could be awarded a patent covering a given invention, even if we had made the invention before it was made by the third party. This requires us to be cognizant going forward of the time from invention to filing of a patent application.</w:t>
      </w:r>
    </w:p>
    <w:p>
      <w:pPr>
        <w:pStyle w:val="TextBody"/>
        <w:bidi w:val="0"/>
        <w:spacing w:before="120" w:after="283"/>
        <w:jc w:val="left"/>
        <w:rPr>
          <w:rFonts w:ascii="Times New Roman" w:hAnsi="Times New Roman"/>
          <w:sz w:val="20"/>
        </w:rPr>
      </w:pPr>
      <w:r>
        <w:rPr>
          <w:rFonts w:ascii="Times New Roman" w:hAnsi="Times New Roman"/>
          <w:color w:val="000000"/>
          <w:sz w:val="20"/>
        </w:rPr>
        <w:t>Among some of the other changes introduced by the AIA are changes that limit where a patentee may file a patent infringement suit and providing opportunities for third parties to file third party submissions of prior art to the USPTO during patent prosecution and to challenge any issued patent in the USPTO (</w:t>
      </w:r>
      <w:r>
        <w:rPr>
          <w:rFonts w:ascii="Times New Roman" w:hAnsi="Times New Roman"/>
          <w:i/>
          <w:color w:val="000000"/>
          <w:sz w:val="20"/>
        </w:rPr>
        <w:t>e.g.</w:t>
      </w:r>
      <w:r>
        <w:rPr>
          <w:rFonts w:ascii="Times New Roman" w:hAnsi="Times New Roman"/>
          <w:color w:val="000000"/>
          <w:sz w:val="20"/>
        </w:rPr>
        <w:t xml:space="preserve">, via post-grant reviews or </w:t>
      </w:r>
      <w:r>
        <w:rPr>
          <w:rFonts w:ascii="Times New Roman" w:hAnsi="Times New Roman"/>
          <w:i/>
          <w:color w:val="000000"/>
          <w:sz w:val="20"/>
        </w:rPr>
        <w:t>inter partes</w:t>
      </w:r>
      <w:r>
        <w:rPr>
          <w:rFonts w:ascii="Times New Roman" w:hAnsi="Times New Roman"/>
          <w:color w:val="000000"/>
          <w:sz w:val="20"/>
        </w:rPr>
        <w:t xml:space="preserve"> reviews). Because of a lower evidentiary standard in USPTO proceedings compared to the evidentiary standard in U.S. federal court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Depending on decisions by the U.S. Congress, the U.S. federal courts, the USPTO or similar authorities in foreign jurisdictions, the laws and regulations governing patents could change in unpredictable ways that may weaken our and our licensors’ ability to obtain new patents or to enforce existing patents we and our licensors or partners may obtain in the future.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patents covering one or more of our product candidates could be found invalid or unenforceable if challenged.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of our intellectual property rights could be challenged or invalidated despite measures we take to obtain patent and other intellectual property protection with respect to our product candidates and proprietary technology. For example, if we were to initiate legal proceedings against a third party to enforce a patent covering one of our product candidates, the defendant could counterclaim that our patent is invalid and/or unenforceable. In patent litigation in the United States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material information from the USPTO, or the applicable foreign counterpart, or made a misleading statement, during prosecution. A litigant or the USPTO itself could challenge our patents on this basis even if we believe that we have conducted our patent prosecution in accordance with the duty of candor and in good faith. The outcome following such a challenge is unpredictable.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 respect to challenges to the validity of our patents, for example, there might be invalidating prior art, of which the patent examiner and we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The cost of defending such a challenge, particularly in a foreign jurisdiction, and any resulting loss of patent protection could have a material adverse impact on one or more of our product candidates and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 </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Patent terms may be inadequate to protect our competitive position on our product candidates for an adequate amount of time.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w:t>
      </w:r>
    </w:p>
    <w:p>
      <w:pPr>
        <w:pStyle w:val="TextBody"/>
        <w:bidi w:val="0"/>
        <w:spacing w:before="120" w:after="283"/>
        <w:jc w:val="left"/>
        <w:rPr>
          <w:rFonts w:ascii="Times New Roman" w:hAnsi="Times New Roman"/>
          <w:sz w:val="20"/>
        </w:rPr>
      </w:pPr>
      <w:r>
        <w:rPr>
          <w:rFonts w:ascii="Times New Roman" w:hAnsi="Times New Roman"/>
          <w:b/>
          <w:i/>
          <w:color w:val="000000"/>
          <w:sz w:val="20"/>
        </w:rPr>
        <w:t>Patent protection, prosecution, assertion and defense for some of our product candidates may be dependent on third parties.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may be times in the future when certain patents that relate to our product candidates or any approved products are controlled by our licensees or licensors, such as with respect to our license agreements. Although we may, under such arrangements, have rights to consult with our strategic partners on actions taken as well as back-up rights of prosecution and enforcement, we have in the past and may in the future relinquish rights to prosecute and maintain patents and patent applications within our portfolio as well as the ability to assert such patents against infringers. If any current or future licensee or licensor with rights to prosecute, assert or defend patents related to our product candidates fails to appropriately prosecute and maintain patent protection for patents covering any of our product candidates, or if patents covering any of our product candidates are asserted against infringers or defended against claims of invalidity or unenforceability in a manner which adversely affects such coverage, our ability to develop and commercialize any such product candidate may be adversely affected and we may not be able to prevent competitors from making, using and selling competing products. </w:t>
      </w:r>
    </w:p>
    <w:p>
      <w:pPr>
        <w:pStyle w:val="TextBody"/>
        <w:bidi w:val="0"/>
        <w:spacing w:before="120" w:after="283"/>
        <w:jc w:val="left"/>
        <w:rPr>
          <w:rFonts w:ascii="Times New Roman" w:hAnsi="Times New Roman"/>
          <w:sz w:val="20"/>
        </w:rPr>
      </w:pPr>
      <w:r>
        <w:rPr>
          <w:rFonts w:ascii="Times New Roman" w:hAnsi="Times New Roman"/>
          <w:b/>
          <w:i/>
          <w:color w:val="000000"/>
          <w:sz w:val="20"/>
        </w:rPr>
        <w:t>If we are unable to protect the confidentiality of our trade secrets and proprietary information or obtain proper assignment of such intellectual property, the value of our technology and products could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patent protection, we also rely on other proprietary rights, including protection of trade secrets and other proprietary information. Trade secrets and know-how can be difficult to protect. Trade secrets and know-how can also in some instances be independently derived or reverse-engineered by a third party. We maintain the confidentiality of trade secrets and proprietary information in part by entering into confidentiality agreements with our employees, consultants, other service providers, including former service provider Tallac Therapeutics, strategic partners and others upon the commencement of their relationships with us. These agreements require that all confidential information developed by the individual or made known to the individual by us during the course of the individual’s relationship with us be kept confidential and not disclosed to third parties. Our agreements with employees and our personnel policies in addition to our service provider agreements, such as the Tallac Services Agreement, also provide that any inventions conceived by the individual in the course of rendering services to us shall be our exclusive property. However, we may not obtain these agreements in all circumstances, and even when we obtain these agreements, individuals with whom we have these agreements may not comply with their terms. Any of the parties to these agreements may breach such agreements and disclose our proprietary information, including our trade secrets, and we may not be able to obtain adequate remedies for such breaches. In the event of unauthorized use or disclosure of our trade secrets or proprietary information, these agreements, even if obtained, may not provide meaningful protection, particularly for our trade secrets or other confidential information. We may also become involved in inventorship disputes relating to inventions and patents developed by our employees, consultants, contractors and other service providers, including former service provider Tallac Therapeutics, under such agreements. To the extent that our employees, consultants, contractors or other service providers use technology or know-how owned by third parties in their work for us, disputes may arise between us and those third parties as to the rights in related inventions. To the extent that an individual who is not obligated to assign rights in intellectual property to us is rightfully an inventor of intellectual property, we may need to obtain an assignment or a license to that intellectual property from that individual, or a third party or from that individual’s assignee. Such assignment or license may not be available on commercially reasonable terms or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Enforcing a claim that a party illegally disclosed or misappropriated a trade secret is difficult, expensive and time-consuming and the outcome is unpredictable. In addition, some courts in the United States and certain foreign jurisdictions are less willing or unwilling to protect trade secrets. The disclosure of our trade secrets would impair our competitive position and may materially harm our business, financial condition and results of operations. Costly and time-consuming litigation could be necessary to enforce and determine the scope of our proprietary rights, and failure to maintain trade secret protection could adversely affect our competitive business position. In addition, if any of our trade secrets were to be lawfully obtained or independently developed by a competitor, we would have no right to prevent such third party, or those to whom they communicate such technology or information, from using that technology or information to compete with us. If any of our trade secrets were to be disclosed to or independently developed by a competitor or if we otherwise lose protection for our trade secrets or proprietary know-how, the value of this information may be greatly reduced, and our business and competitive position could be harmed. Adequate remedies may not exist in the event of unauthorized use or disclosure of our proprietary information. </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become involved in lawsuits to protect or enforce our patents and trade secrets, which could be expensive, time-consuming and unsuccessful.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 parties may seek approval to market their own products similar to or otherwise competitive with our product candidates or biosimilar versions of any approved product candidates. In these circumstances, we may need to defend or assert our patents, including by filing lawsuits alleging patent infringement. If we were to initiate legal proceedings against a third party to enforce a patent covering our product candidates, the defendant could counterclaim that the patent covering our product candidate is invalid and/or unenforceable. In patent litigation in the United States, defendant counterclaims alleging invalidity and/or unenforceability are commonplace. Grounds for an invalidity challenge could be an alleged failure to meet any of several statutory requirements, including lack of novelty, obviousness, written description or 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In any of these types of proceedings, a court or agency with jurisdiction may find our patents invalid or unenforceable. Even if we have valid and enforceable patents, these patents still may not provide protection against competing products sufficient to achieve our business objectives.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after they have issued, our patents and any patents that we license may be challenged, narrowed, invalidated or circumvented. If our patents are invalidated or otherwise limited or will expire prior to the commercialization of our product candidates, other companies may be better able to develop products that compete with ours, which could adversely affect our competitive business position, business prospects and financial condition. In addition, if the breadth or strength of protection provided by our patents and patent applications is threatened, it could dissuade companies from collaborating with us to license, develop or commercialize current or future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are examples of litigation and other adversarial proceedings or disputes that we could become a party to involving our patents or patents licensed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initiate litigation or other proceedings against third parties to enforce our patent and trade secret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 parties may initiate litigation or other proceedings seeking to invalidate patents owned by or licensed to us or to obtain a declaratory judgment that their product or technology does not infringe our patents or patents licensed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 parties may initiate opposition or other proceedings challenging the validity or scope of our patent rights, requiring us and/or licensors to participate in such proceedings to defend the validity and scope of our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may be a challenge or dispute regarding inventorship or ownership of patents or trade secrets currently identified as being owned by or licensed to us, including disputes that may arise from our previous reliance on Tallac Therapeutics as the sole provider of our preclinical research services and the intellectual property generated under the Tallac Services Agreement;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 parties may seek approval to market biosimilar versions of our future approved products prior to the expiration of relevant patents owned by or licensed to us under the Biologics Price Competition and Innovation Act of 2009, requiring us to defend our patents, including by filing lawsuits alleging patent infringement.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litigation or other proceedings would be costly and could affect our results of operations and divert the attention of our management and scientific personnel. Some of our competitors may be able to sustain the cost of such litigation and proceedings more effectively than we can because of their substantially greater resources. There is a risk that a court would decide that we are infringing the third party’s patents and would order us to stop the activities covered by the patents. In that event, we may not have a viable alternative to the technology protected by the patent and may need to halt work on the affected product candidate or cease commercialization of an approved drug. In addition, there is a risk that a court will order us to pay third party damages or some other monetary award, depending upon the jurisdiction. An adverse outcome in any litigation or other proceeding could subject us to significant liabilities to third parties, potentially including treble damages and attorneys’ fees if we are found to have willfully infringed, and we may be required to cease using the technology that is at issue or to license the technology from third parties. We may not be able to obtain any required licenses on commercially acceptable terms or at all. We may not be able to prevent, alone or with our licensors, infringement or misappropriation of our intellectual property rights, particularly in countries where the laws may not protect those rights as fully as in the United States. Any litigation or other proceedings to enforce our intellectual property rights may fail, and even if successful, may result in substantial costs and distract our management and other employees.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stock. In addition, any uncertainties resulting from the initiation and continuation of any litigation could have a material adverse effect on our ability to raise additional funds or on our business, results of operations, financial condition and prospects. Any of these outcomes could have a material adverse effect on our business. </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be subject to claims that we or our employees or consultants have wrongfully used or disclosed alleged trade secrets or other proprietary information of our employees’ or consultants’ former employers or their clients.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employ individuals who were previously or concurrently employed at research institutions and/or other biotechnology or pharmaceutical companies, including our competitors or potential competitors. We may be subject to claims that these employees, or we, have inadvertently or otherwise used or disclosed trade secrets or other proprietary information of their former employers, or that patents and applications we have filed to protect inventions of these employees, even those related to one or more of our product candidates, are rightfully owned by their former or concurrent employer. Litigation may be necessary to defend against these claims. If we fail in defending such claims, in addition to paying monetary damages, trade secrets or other proprietary information could be awarded to a third party, and we could be required to obtain a license from such third party to commercialize our technology or products. Such license may not be available on commercially reasonable terms or at all. A loss of key research personnel or their work product could limit our ability to commercialize, or prevent us from commercializing, our current or future technologies or product candidates, which could materially harm our business. Even if we are successful in defending against these claims, litigation would expose us to the risk described above under “We may become involved in lawsuits to protect or enforce our patents and trade secrets, which could be expensive, time-consuming and unsuccessful.” </w:t>
      </w:r>
    </w:p>
    <w:p>
      <w:pPr>
        <w:pStyle w:val="TextBody"/>
        <w:bidi w:val="0"/>
        <w:spacing w:before="120" w:after="283"/>
        <w:jc w:val="left"/>
        <w:rPr>
          <w:rFonts w:ascii="Times New Roman" w:hAnsi="Times New Roman"/>
          <w:sz w:val="20"/>
        </w:rPr>
      </w:pPr>
      <w:r>
        <w:rPr>
          <w:rFonts w:ascii="Times New Roman" w:hAnsi="Times New Roman"/>
          <w:b/>
          <w:i/>
          <w:color w:val="000000"/>
          <w:sz w:val="20"/>
        </w:rPr>
        <w:t>Our commercial success depends in part on our ability to operate without infringing the patents and other proprietary rights of third parties.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will depend in part on our ability to operate without infringing the proprietary rights of third parties. Other entities may have or obtain patents or proprietary rights that could limit our ability to make, use, sell, offer for sale or import our future approved products or impair our competitive position. Our research, development and commercialization activities may be subject to claims that we infringe or otherwise violate patents or other intellectual property rights owned or controlled by third parties.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aware of third-party patents and patent applications containing claims in the immuno-oncology field based on scientific approaches that are the same as or similar to our approach, including with respect to the targeting of the CD47 and signal regulatory protein alpha, or SIRPα, pathways, and others that are based on entirely different approaches. These patents and applications could potentially be construed to cover our product candidates and their use. For example, we are aware of U.S. patent 10,907,209 and U.S. patent application 16/118,038 (and related applications in other jurisdictions) owned by University Health Network, or UHN, and The Hospital for Sick Children that may encompass certain therapies for the treatment of cancer using polypeptides comprising soluble human SIRPα. This patent and patent application relate to the treatment of cancer with polypeptides comprising soluble human SIRPα. Pfizer, through its acquisition of Trillium Therapeutics, has an exclusive license to the U.S. patent and application. The European counterpart patent (EP 2 429 574) was revoked by the Opposition Division of the European Patent Office (Opposition Division) on November 6, 2017. The revocation was appealed by UHN and The Hospital for Sick Children, and on October 18, 2022, the Board of Appeal of the European Patent Office (Board of Appeal) ruled in favor of UHN with respect to the matter on appeal, but remanded the case back to the Opposition Division for consideration of a further ground of invalidity (sufficiency of disclosure). On December 8, 2023, the Opposition Board held that the disclosure in EP 2 429 574 was sufficient and upheld the patent in amended form. On February 15, 2024, the Board of Appeal announced that it had received a notice of appeal with respect to the Opposition Board’s ruling regarding sufficiency of disclosure. The hearing before the Board of Appeal has been scheduled for December 9, 2025. Additionally, on December 27, 2023, a second European Patent (EP 2 995 315), a divisional of European patent (EP 2 429 574), was granted to UHN and The Hospital for Sick Children. This patent relates to the eradication of hematological CD47+ cancer cells and tumors with polypeptides comprising soluble human SIRPα, or a CD47-binding fragment thereof. On February 27, 2024, the Opposition Division announced that it had received a notice of opposition with respect to EP 2 995 315. A date for the opposition hearing has not yet been announced. The patent claims of both EP 2 429 574 and EP 2 995 315, if not revoked or otherwise limited by the European Patent Office, could potentially limit our ability to pursue evorpacept in certain indications in certain geographies in the future. With respect to U.S. patent 10,907,209, we believe that we do not infringe claims listed in this U.S. patent. As the biotechnology industry expands and more patents are issued, the risk increases that we may be subject to claims of infringement of the patent rights of third parties. There is no assurance that there are not third-party patents or patent applications of which we are aware, but which we do not believe are relevant to our business, which may, nonetheless, ultimately be found to limit our ability to make, use, sell, offer for sale or import our future approved products or impair our competitive position.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 parties may have or obtain valid and enforceable patents or proprietary rights that could block us from developing product candidates. These patents may not expire before we receive any marketing approval for our product candidates, and they could delay the commercial launch of one or more future product candidates. If our product candidates were to be found to infringe any such patents, and we were unable to invalidate those patents, or if licenses for them are not available on commercially reasonable terms or at all, our business, financial condition and results of operations could be materially harmed. Furthermore, even if a license is available, it may be non-exclusive, which could result in our competitors gaining access to the same intellectual property. Our failure to maintain a license to any technology that we require may also materially harm our business, financial condition and results of operations, and we would be exposed to a threat of litigation. </w:t>
      </w:r>
    </w:p>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litigation resulting from claims of infringement or failure to license patents and proprietary rights of others would expose us to the risk described above under “We may become involved in lawsuits to protect or enforce our patents and trade secrets, which could be expensive, time consuming and unsuccessful.” Any of the aforementioned threats to our competitive advantage could have a material adverse effect on our business. </w:t>
      </w:r>
    </w:p>
    <w:p>
      <w:pPr>
        <w:pStyle w:val="TextBody"/>
        <w:bidi w:val="0"/>
        <w:spacing w:before="120" w:after="283"/>
        <w:jc w:val="left"/>
        <w:rPr>
          <w:rFonts w:ascii="Times New Roman" w:hAnsi="Times New Roman"/>
          <w:sz w:val="20"/>
        </w:rPr>
      </w:pPr>
      <w:r>
        <w:rPr>
          <w:rFonts w:ascii="Times New Roman" w:hAnsi="Times New Roman"/>
          <w:b/>
          <w:i/>
          <w:color w:val="000000"/>
          <w:sz w:val="20"/>
        </w:rPr>
        <w:t>Our intellectual property rights will not necessarily provide us with competitive advantages.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degree of future protection afforded by our intellectual property rights is uncertain because intellectual property rights have limitations and may not adequately protect our business or permit us to maintain our competitive advantage. The following examples are illustrative: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be able to make products that are similar to our product candidates but that are not covered by the claims of the patents that we own or have exclusively licensed;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independently develop similar or alternative technologies without infringing our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issued patents that we own or have exclusively licensed may not provide us with competitive advantages, or may be held invalid or unenforceable, as a result of legal challenges by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obtain patents for product candidates many years before we obtain marketing approval for such product candidates and because patents have a limited life, which may begin to run prior to the commercial sale of the related product, the commercial value of our patents may be limited;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competitors might conduct research and development activities in countries where we do not have patent rights and then use the information learned from such activities to develop competitive products for sale in our major commercial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fail to develop additional proprietary technologies that are patentable;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laws of certain foreign countries may not protect our intellectual property rights to the same extent as the laws of the United States, or we may fail to apply for or obtain adequate intellectual property protection in all the jurisdictions in which we operate;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patents of others may have an adverse effect on our business, for example by preventing us from marketing one or more of our product candidates for one or more indications.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the aforementioned threats to our competitive advantage could have a material adverse effect on our business. </w:t>
      </w:r>
    </w:p>
    <w:p>
      <w:pPr>
        <w:pStyle w:val="TextBody"/>
        <w:bidi w:val="0"/>
        <w:spacing w:before="120" w:after="283"/>
        <w:jc w:val="left"/>
        <w:rPr>
          <w:rFonts w:ascii="Times New Roman" w:hAnsi="Times New Roman"/>
          <w:sz w:val="20"/>
        </w:rPr>
      </w:pPr>
      <w:r>
        <w:rPr>
          <w:rFonts w:ascii="Times New Roman" w:hAnsi="Times New Roman"/>
          <w:b/>
          <w:i/>
          <w:color w:val="000000"/>
          <w:sz w:val="20"/>
        </w:rPr>
        <w:t>We will need to obtain FDA approval for any proposed product candidate names, and any failure or delay associated with product candidate name approval may adversely affect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proprietary name or trademark we intend to use for our product candidates will require approval from the FDA regardless of whether we have secured a formal trademark registration from the USPTO. The FDA typically conducts a review of proposed product candidate names, including an evaluation of the potential for confusion with other product names and potential pharmacy dispensing errors. The FDA may also object to a product name if it believes the name inappropriately implies certain medical claims or contributes to an overstatement of efficacy. If the FDA objects to any product candidate names we propose, we may be required to adopt an alternative name for our product candidates. If we adopt an alternative name, we will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 </w:t>
      </w:r>
    </w:p>
    <w:p>
      <w:pPr>
        <w:pStyle w:val="TextBody"/>
        <w:bidi w:val="0"/>
        <w:spacing w:before="120" w:after="283"/>
        <w:jc w:val="left"/>
        <w:rPr>
          <w:rFonts w:ascii="Times New Roman" w:hAnsi="Times New Roman"/>
          <w:sz w:val="20"/>
        </w:rPr>
      </w:pPr>
      <w:r>
        <w:rPr>
          <w:rFonts w:ascii="Times New Roman" w:hAnsi="Times New Roman"/>
          <w:b/>
          <w:i/>
          <w:color w:val="000000"/>
          <w:sz w:val="20"/>
        </w:rPr>
        <w:t>Our rights to develop and commercialize our product candidates may be subject, in part, to the terms and conditions of agreements with others.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current agreements do not, and future agreements we may enter into in the future may not, provide exclusive rights to use certain intellectual property and technology retained by a collaborator in all relevant fields of use and in all territories in which we may wish to develop or commercialize our technology and products in the future. As a result, we may not be able to prevent competitors or other third parties from developing and commercializing competitive products that utilize technology retained by such collaborators to the extent such products are not also covered by our intellectual property. </w:t>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need to obtain additional intellectual property rights from others to advance our research or allow commercialization of product candidates we may develop. We may be unable to obtain additional intellectual property rights at a reasonable cost or on reasonable terms, if at all.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our current or our future collaborators’ patents may be subject to a reservation of rights by one or more third parties. The U.S. government may have certain rights to resulting intellectual property. When new technologies are developed with U.S. government funding, the U.S. government generally obtains certain rights in any resulting patents, including a non-exclusive license authorizing the U.S. government to use the invention or to have others use the invention on its behalf. The U.S. government’s rights may also permit it to disclose the funded inventions and technology to third parties and to exercise march-in rights to use or allow third parties to use the technology developed using U.S. government funding. The U.S. government may exercise its march-in rights if it determines that action is necessary because we fail to achieve the practical application of the government funded technology, or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facilities in the United States in certain circumstances and if this requirement is not waived. Any exercise by the U.S. government of such rights or by any third-party of its reserved rights could have a material adverse effect on our competitive position, business, financial condition, results of operations and prospects. </w:t>
      </w:r>
    </w:p>
    <w:p>
      <w:pPr>
        <w:pStyle w:val="TextBody"/>
        <w:bidi w:val="0"/>
        <w:spacing w:before="120" w:after="283"/>
        <w:jc w:val="left"/>
        <w:rPr>
          <w:rFonts w:ascii="Times New Roman" w:hAnsi="Times New Roman"/>
          <w:sz w:val="20"/>
        </w:rPr>
      </w:pPr>
      <w:r>
        <w:rPr>
          <w:rFonts w:ascii="Times New Roman" w:hAnsi="Times New Roman"/>
          <w:b/>
          <w:i/>
          <w:color w:val="000000"/>
          <w:sz w:val="20"/>
        </w:rPr>
        <w:t>If we fail to comply with our obligations in agreements under which we option or license intellectual property rights from collaborators or licensors or otherwise experience disruptions to our business relationships with future collaborators or licensors, we could lose intellectual property rights that are important to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current agreements do, and our future agreements may, impose various economic, development, diligence, commercialization and other obligations on us. Such agreements may also require us to meet development timelines, or to exercise commercially reasonable efforts to develop and commercialize licensed products. It might be concluded that we have materially breached our obligations under such agreements and licensors or collaborators might therefore terminate or seek damages under the agreements, thereby removing or limiting our ability to develop and commercialize products and technology covered by these agreements. Termination of these agreements could cause us to lose the rights to certain patents or other intellectual property, or the underlying patents could fail to provide the intended exclusivity, and competitors or other third parties may have the freedom to seek regulatory approval of, and to market, products similar to or identical to ours and we may be required to cease our development and commercialization of certain of our product candidates. Any of the foregoing could have a material adverse effect on our competitive position, business, financial conditions, results of operations and growth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disputes may arise regarding intellectual property subject to a collaboration agreement,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of the option or license rights granted under the agreement and other interpretation-related issues;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to which our technology and processes infringe on intellectual property of the collaborator that is not subject to the option or license rights granted under the agreement;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sublicensing of patent and other rights under our collaborative development relationships;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diligence obligations under the agreement and what activities satisfy those diligence obligations;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inventorship and ownership of inventions and know-how resulting from the joint creation or use of intellectual property by our collaborators and us and our other partners;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priority of invention of patented technology.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enter into agreements to option or license intellectual property or technology from third parties that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growth prospects. Moreover, if disputes over intellectual property that we have optioned or licensed prevent or impair our ability to maintain such arrangements on commercially acceptable terms, we may be unable to successfully develop and commercialize the affected product candidates, which could have a material adverse effect on our business, financial conditions, results of operations and growth prospects.</w:t>
      </w:r>
    </w:p>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Our Operations</w:t>
      </w:r>
    </w:p>
    <w:p>
      <w:pPr>
        <w:pStyle w:val="TextBody"/>
        <w:bidi w:val="0"/>
        <w:spacing w:before="120" w:after="283"/>
        <w:jc w:val="left"/>
        <w:rPr>
          <w:rFonts w:ascii="Times New Roman" w:hAnsi="Times New Roman"/>
          <w:sz w:val="20"/>
        </w:rPr>
      </w:pPr>
      <w:r>
        <w:rPr>
          <w:rFonts w:ascii="Times New Roman" w:hAnsi="Times New Roman"/>
          <w:b/>
          <w:i/>
          <w:color w:val="000000"/>
          <w:sz w:val="20"/>
        </w:rPr>
        <w:t>In order to successfully implement our plans and strategies, we will need to grow the size of our organization, and we may experience difficulties in managing this growth.</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September 30, 2024, we had 89 employees, including 71 employees engaged in research and development. In order to successfully implement our development and commercialization plans and strategies, and as we continue to operate as a public company, we expect we will need additional managerial, scientific, technical, medical, operational, sales, marketing, financial and other personnel. Future growth may impose significant added responsibilities on members of management,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identifying, recruiting, integrating, retaining and motivating additional employees;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managing our internal development efforts effectively, including the clinical and FDA review process for evorpacept and any other future product candidates, while complying with applicable contractual obligations to contractors and other third parties;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maintaining and updating our operational, financial and management controls, reporting systems and procedures.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future financial performance and our ability to successfully develop and, if approved, commercialize evorpacept and any other future product candidates will depend, in part, on our ability to effectively manage any future growth, which may require our management team to divert its attention away from day-to-day activities of the business and devote a substantial amount of time to the added responsibilities associated with managing these growth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rely, and for the foreseeable future will continue to rely, in substantial part on specific independent organizations, advisors and consultants to provide certain services, including substantially all aspects of clinical management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clinical trials may be extended, delayed or terminated, and we may not be able to obtain marketing approval of evorpacept and any other future product candidates or otherwise advance our business. We cannot assure you that we will be able to manage our existing third-party service providers or find other qualified outside contractors and consultants on economically reasonable terms, or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not able to effectively expand our organization by hiring new employees and/or engaging additional third-party service providers, we may not be able to successfully implement the tasks necessary to further develop and commercialize evorpacept and other future product candidates and, accordingly, may not achieve our research, development and commercialization goals.</w:t>
      </w:r>
    </w:p>
    <w:p>
      <w:pPr>
        <w:pStyle w:val="TextBody"/>
        <w:bidi w:val="0"/>
        <w:spacing w:before="120" w:after="283"/>
        <w:jc w:val="left"/>
        <w:rPr>
          <w:rFonts w:ascii="Times New Roman" w:hAnsi="Times New Roman"/>
          <w:sz w:val="20"/>
        </w:rPr>
      </w:pPr>
      <w:r>
        <w:rPr>
          <w:rFonts w:ascii="Times New Roman" w:hAnsi="Times New Roman"/>
          <w:b/>
          <w:i/>
          <w:color w:val="000000"/>
          <w:sz w:val="20"/>
        </w:rPr>
        <w:t>Our product candidates are based on a novel technology, which makes it difficult to predict the time and cost of product candidate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concentrated our product research and development efforts on our novel immuno-oncology approach, and our future success depends on the successful development of our lead product candidate, evorpacept, and any future product candidates that we develop. There can be no assurance that any development problems we experience in the future related to our novel immuno-oncology approach will not cause significant delays or unanticipated costs or that such development problems can be solved. We may also experience delays in developing a sustainable, reproducible and scalable manufacturing process or transferring that process to commercial partners, which may prevent us from completing our clinical trials or commercializing our product candidates on a timely or profitable basis, if at all. </w:t>
      </w:r>
    </w:p>
    <w:p>
      <w:pPr>
        <w:pStyle w:val="TextBody"/>
        <w:bidi w:val="0"/>
        <w:spacing w:before="120" w:after="283"/>
        <w:jc w:val="left"/>
        <w:rPr>
          <w:rFonts w:ascii="Times New Roman" w:hAnsi="Times New Roman"/>
          <w:sz w:val="20"/>
        </w:rPr>
      </w:pPr>
      <w:r>
        <w:rPr>
          <w:rFonts w:ascii="Times New Roman" w:hAnsi="Times New Roman"/>
          <w:b/>
          <w:i/>
          <w:color w:val="000000"/>
          <w:sz w:val="20"/>
        </w:rPr>
        <w:t>We are highly dependent on our key personnel, and if we are not successful in attracting, motivating and retaining highly qualified personnel, we may not be able to successfully implement our business strategy.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compete in the highly competitive biotechnology and life science industries depends upon our ability to attract, motivate and retain highly qualified managerial, scientific and medical personnel. We are highly dependent on our management and our scientific, technical, business and medical personnel. The loss of the services provided by any of our executive officers, other key employees and other scientific and medical advisors, our inability to find suitable replacements, and the impacts of any executive officer changes, could result in delays in the development of our product candidates and harm our business. Additionally, layoffs or furloughs, pausing recruiting efforts, or employee attrition could also create delays in the development of our product candidates and harm our business. </w:t>
      </w:r>
    </w:p>
    <w:p>
      <w:pPr>
        <w:pStyle w:val="TextBody"/>
        <w:bidi w:val="0"/>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conduct our operations at our facility in the San Francisco Bay Area of California, a region that is headquarters to many other biopharmaceutical companies and many academic and research institutions. To succeed, we must recruit, retain, manage and motivate qualified clinical, scientific, manufacturing and sales and marketing personnel, and we face significant competition for experienced personnel. We expect that we may need to recruit talent from outside of our region and doing so may be costly and difficult. In addition, we will need to expand and effectively manage our managerial, operational, financial, development and other resources in order to successfully pursue our research, development and commercialization efforts for our existing and future product candidates. Furthermore, replacing executive officers and key employees may be difficult and may take an extended period of time because of the limited talent pool in our industry due to the breadth of skills and experience required to successfully develop, gain regulatory approval of and commercialize products. Competition for skilled personnel is intense and the turnover rate can be high, which may limit our ability to hire and retain highly qualified personnel on acceptable terms or at all. Additionally, the U.S. has recently experienced historically high levels of inflation and an acute workforce shortage generally, which has created a hyper-competitive wage environment that may increase our operating costs.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of the other biotechnology companies that we compete against for qualified personnel have considerably more financial and other resources, different risk profiles and a more extended history in the industry than we do. They also may provide more diverse opportunities and better prospects for career advancement. Some of these characteristics may be more appealing to high-quality candidates than what we can offer. We also experience competition for the hiring of scientific and clinical personnel from universities and research institutions. In addition to competition for personnel, the San Francisco Bay Area in particular is characterized by a high cost of living. We could in the future have difficulty attracting experienced personnel to our company and may be required to expend significant financial resources in our employee recruitment and retention efforts. To induce valuable employees to remain at our company, in addition to salary and cash incentives, we have provided equity grants that vest over time. The value to employees of these equity grants that vest over time may be significantly affected by movements in our stock price that are beyond our control and therefore any declining value in our equity grants could negatively impact our ability to successfully retain existing employees or effectively recruit new employees. Although we have employment agreements with our key employees, these employment agreements provide for at-will employment, which means that any of our employees could leave our employment at any time, with or without notice. If we are unable to attract and incentivize quality personnel on acceptable terms, or at all, it may cause our business and operating results to suffer. </w:t>
      </w:r>
    </w:p>
    <w:p>
      <w:pPr>
        <w:pStyle w:val="TextBody"/>
        <w:bidi w:val="0"/>
        <w:spacing w:before="120" w:after="283"/>
        <w:jc w:val="left"/>
        <w:rPr>
          <w:rFonts w:ascii="Times New Roman" w:hAnsi="Times New Roman"/>
          <w:sz w:val="20"/>
        </w:rPr>
      </w:pPr>
      <w:r>
        <w:rPr>
          <w:rFonts w:ascii="Times New Roman" w:hAnsi="Times New Roman"/>
          <w:b/>
          <w:i/>
          <w:color w:val="000000"/>
          <w:sz w:val="20"/>
        </w:rPr>
        <w:t>Our international operations may expose us to business, regulatory, political, operational, financial, pricing and reimbursement risks associated with doing business outside of the United States.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predecessor company, which after our internal reorganization is now our wholly-owned subsidiary, was an Irish private company limited by shares. Our business is subject to risks associated with conducting business internationally. Some of our subsidiaries and operations, in addition to suppliers, industry partners and clinical study centers, are located outside of the United States. Furthermore, our business strategy incorporates potential international expansion as we seek to obtain regulatory approval for, and commercialize, our product candidates in patient populations outside the United States. If approved, we expect to hire sales representatives and conduct physician and patient association outreach activities outside of the United States. Doing business internationally involves a number of risks and complexities, including but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multiple, conflicting and changing laws and regulations such as privacy regulations, tax laws, export and import restrictions, employment laws, regulatory requirements and other governmental approvals, permits and licenses, including within the European Union and in the United Kingdom as a result of Brexit;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failure to obtain and maintain regulatory approvals for the use of our products in various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rejection or qualification of foreign clinical trial data by the competent authorities of other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complexities and difficulties in obtaining, maintaining, protecting and enforcing our intellectual property, including as a result of potentially relevant third-party patent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difficulties in staffing and managing foreign operations;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complexities associated with managing multiple payor reimbursement regimes, government payors or patient self-pay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limits in our ability to penetrate international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financial risks, such as longer payment cycles, difficulty collecting accounts receivable, the impact of local and regional financial crises on demand and payment for our drugs;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exposure to foreign currency exchange rate fluctuations;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political and economic instability, such as the geopolitical unrest and regional economic disruptions caused by Russia’s war with Ukraine, and war and instability in Israel and the surrounding region, and including wars, terrorism and political unrest, boycotts, curtailment of trade and other business restrictions; </w:t>
      </w:r>
    </w:p>
    <w:p>
      <w:pPr>
        <w:pStyle w:val="TextBody"/>
        <w:bidi w:val="0"/>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natural disasters, such as a fire, an earthquake or a flood, or outbreaks or public health crises, such as the COVID-19 pandemic;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cybersecurity breach or incident or a related breach of our information systems or data;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expenses including, among others, expenses for travel, translation and insurance;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and compliance risks that relate to anti-corruption compliance and record-keeping that may fall within the purview of the FCPA, its accounting provisions or its anti-bribery provisions, or provisions of anti-corruption or anti-bribery laws in other countries.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these factors could harm our future international expansion and operations and, consequently, our results of operations. </w:t>
      </w:r>
    </w:p>
    <w:p>
      <w:pPr>
        <w:pStyle w:val="TextBody"/>
        <w:bidi w:val="0"/>
        <w:spacing w:before="120" w:after="283"/>
        <w:jc w:val="left"/>
        <w:rPr>
          <w:rFonts w:ascii="Times New Roman" w:hAnsi="Times New Roman"/>
          <w:sz w:val="20"/>
        </w:rPr>
      </w:pPr>
      <w:r>
        <w:rPr>
          <w:rFonts w:ascii="Times New Roman" w:hAnsi="Times New Roman"/>
          <w:b/>
          <w:i/>
          <w:color w:val="000000"/>
          <w:sz w:val="20"/>
        </w:rPr>
        <w:t>If any of the third parties that we rely on for various operational and administrative aspects of our business fail to provide timely, accurate and ongoing service or if the technology systems and infrastructure suffer outages that we are unable to mitigate, our business may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rely upon third-party consultants and contractors to provide specific operational and administrative services, including research and clinical consultation and management. The failure of any of these third parties to provide accurate and timely service may adversely impact our business operations. In addition, if such third-party service providers were to cease operations, temporarily or permanently, face financial distress or other business disruption, increase their fees or if our relationships with these providers deteriorate, we could suffer increased costs until an equivalent provider could be found, if at all, or we could develop internal capabilities, if ever. In addition, if we are unsuccessful in choosing or finding high-quality partners, if we fail to negotiate cost-effective relationships with them, or if we ineffectively manage these relationships, it could have an adverse impact on our business and financial performance.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our operations depend on the continuing and efficient operation of our information technology, communications systems and infrastructure, and on cloud-based platforms. Any of these systems and infrastructure are vulnerable to damage or interruption from earthquakes, vandalism, sabotage, terrorist attacks, floods, fires, power outages, telecommunications failures, computer viruses or other deliberate attempts to harm the systems. The occurrence of a natural or intentional disaster, any decision to close a facility we are using without adequate notice, or particularly an unanticipated problem at a cloud-based virtual server facility, could result in harmful interruptions in our service, resulting in adverse effects to our business.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become exposed to costly and damaging product liability claims, either when testing our product candidates in the clinic or at the commercial stage, and our product liability insurance may not cover all damages from such claims.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potential product liability and professional indemnity risks that are inherent in the research, development, manufacturing, marketing and use of pharmaceutical products. We currently have no products that have been approved for commercial sale. However, the current and future use of product candidates by us in clinical trials and the sale of any approved products in the future, may expose us to liability claims. These claims might be made by patients that use the product, healthcare providers, pharmaceutical companies or others selling such products. In addition, we have agreed to indemnify various counterparties related to our product candidates against certain liability claims and any agreements or collaborations in the future may include such indemnification obligations. Any claims against us, or with respect to which we are obligated to provide indemnification, regardless of their merit, could be difficult and costly to defend or settle and could compromise the market acceptance of our product candidates or any prospects for commercialization of our product candidates, if approved.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the clinical trial process is designed to identify and assess potential side effects, it is always possible that a drug, even after regulatory approval, may exhibit unforeseen side effects. If any of our product candidates were to cause adverse side effects during clinical trials or after approval of the product candidate, we may be exposed to substantial liabilities. Physicians and patients may not comply with any warnings that identify known potential adverse effects or that certain patients should not use our drugs for various reasons.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we maintain product liability insurance coverage, such insurance may not be adequate to cover all liabilities that we may incur. We may need to increase our insurance coverage each time we commence a clinical trial and if we successfully commercialize any product candidate. As the expense of insurance coverage is increasing, we may not be able to maintain insurance coverage at a reasonable cost or in an amount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expend our limited resources to pursue a particular product candidate or indication and fail to capitalize on product candidates or indications that may be more profitable or for which there is a greater likelihood of success.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we have limited financial and managerial resources, we focus on research programs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therapies or profitable market opportunities. </w:t>
      </w:r>
    </w:p>
    <w:p>
      <w:pPr>
        <w:pStyle w:val="TextBody"/>
        <w:bidi w:val="0"/>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spending on current and future research and development programs, such as evorpacept,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For example, we entered into clinical trial collaborations with our collaborators, including I-SPY, Sanofi, Jazz and the ISTs, to supply evorpacept for clinical trials to advance new combination therapies. We have limited control over the amount and timing of resources that our collaborators dedicate to the development of our products. Any termination or disruption of collaborations could result in delays in the development of products, increases in our costs to develop the products or the termination of development of a product.</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seek to enter into collaborations, including strategic collaborations, licenses and other similar arrangements related to our product candidates and may not be successful in doing so, and even if we are, we may not be able to maintain or realize the benefits of such relationships. If we are not able to establish future collaborations, we may have to alter some of our future development and commercialization plans and our business could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seek to enter into collaborations, licenses and other similar arrangements for the development or commercialization of our product candidates, due to strategic advantages to partnering with third parties and capital costs required to develop or commercialize the product candidate in such markets. For instance, we entered into a collaboration agreement with Tallac Therapeutics pursuant to which we expect to jointly develop, manufacture, and commercialize a novel cancer immunotherapy. We may not be successful in our efforts to establish such collaborations for our product candidates because our product candidates may be deemed to be at too early of a stage of development for collaborative effort or third parties may not view our product candidates as having the requisite potential to demonstrate safety and efficacy or significant commercial opportunity. Further, any future collaboration agreements may restrict us from entering into additional agreements with potential collaborators. We cannot be certain that, following a strategic transaction or license, we will achieve an economic benefit that justifies such transaction.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we are successful in our efforts to establish such collaborations, the terms that we agree upon may not be favorable to us, and we may not be able to maintain such collaborations if, for example, development of a product candidate is delayed, the safety of a product candidate is questioned or sales of an approved product are unsatisfactory. We also may not be able to realize the benefit of such collaborations if we are unable to successfully integrate them with our existing operations and company culture. In any such collaborations, we may likely have limited control over the amount and timing of resources that our collaborators dedicate to the development or commercialization of any product candidates we may seek to develop with them. We cannot predict the success of any collaboration that we may enter into.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face significant competition in seeking appropriate collaborators and a number of more established companies may also be pursuing strategies to license or acquire third-party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comparable foreign regulatory authorities, the potential market for the subject product candidate, the costs and complexities of manufacturing and delivering such product candidate to patients,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Collaborations are complex and time-consuming to negotiate and document. In addition, there have been a significant number of recent business combinations among large pharmaceutical companies that have resulted in a reduced number of potential future collaborators.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be able to negotiate further collaborations on a timely basis, on acceptable terms, or at all. We also may find that our programs require the use of proprietary rights held by third parties, and the growth of our business may depend in part on our ability to acquire, in-license or use these proprietary rights. Even if we are able to obtain a license to intellectual property of interest, we may not be able to secure exclusive rights, in which case others could use the same rights and compete with us. Our future collaboration partners may not prioritize our product candidates or otherwise not effectively pursue the development of our product candidates which may delay, reduce or terminate the development of such product candidate, reduce or delay its development program, or delay its potential commercialization. Further, if we are unable to successfully obtain rights to required third-party intellectual property rights or maintain the existing intellectual property rights we have, we may have to delay, reduce or terminate the development of such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Any of the foregoing factors would likely harm our ability to execute our business plans.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 </w:t>
      </w:r>
    </w:p>
    <w:p>
      <w:pPr>
        <w:pStyle w:val="TextBody"/>
        <w:bidi w:val="0"/>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acquire businesses or assets and we may not realize the benefits of such acquisitions.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acquire businesses or assets or create joint ventures with third parties that we believe may complement our existing product candidates. For example, in October 2021, we acquired ScalmiBio, Inc., or ScalmiBio. We are developing new anti-cancer drug candidates based on ScalmiBio’s platform, and the acquisition of ScalmiBio enhanced our internal research and development capabilities. In order to realize the continuing benefits of the ScalmiBio acquisition, we will need to continue to make a substantial investment of time and resources to support research and development efforts. Additionally, we may not be able to realize the benefit of acquiring businesses or assets or joint ventures if we are not able to successfully integrate them with our existing operations and company culture. We may encounter difficulties in developing, manufacturing and marketing any new product candidates resulting from an acquisition, which may delay or prevent us from realizing their expected benefits.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Also, the anticipated benefit of any joint venture or acquisition may not materialize, and any potential or future joint venture or acquisition may be prohibited. Additionally,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pStyle w:val="TextBody"/>
        <w:bidi w:val="0"/>
        <w:spacing w:before="120" w:after="283"/>
        <w:jc w:val="left"/>
        <w:rPr>
          <w:rFonts w:ascii="Times New Roman" w:hAnsi="Times New Roman"/>
          <w:sz w:val="20"/>
        </w:rPr>
      </w:pPr>
      <w:r>
        <w:rPr>
          <w:rFonts w:ascii="Times New Roman" w:hAnsi="Times New Roman"/>
          <w:b/>
          <w:i/>
          <w:color w:val="000000"/>
          <w:sz w:val="20"/>
        </w:rPr>
        <w:t>Our ability to utilize our net operating loss carryforwards and certain other tax attributes may be limited.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U.S. Internal Revenue Code of 1986, as amended, if a corporation undergoes an “ownership change” (generally defined as a greater than 50 percentage points change (by value) in the ownership of its equity by its shareholders holding 5% or more over a rolling three-year period), the corporation’s ability to use its pre-change net operating loss carryforwards and other pre-change tax attributes to offset its post-change income and taxes may be limited. We may have experienced such ownership changes in the past, and we may experience ownership changes in the future, in either case as a result of shifts in our stock ownership, some of which are outside our control. As of December 31, 2023, we had net operating loss carryforwards of approximately $93.5 million and $69.0 million for U.S. federal and state income tax purposes, respectively. Our ability to utilize those net operating loss carryforwards could be limited by an “ownership change” as described above, which could result in increased tax liability to our company. The federal net operating losses carry forward indefinitely and may only offset 80% of taxable income in periods of future utilization. The state net operating loss will begin to expire beginning in 2038. Other limitations may apply under state law. For example, recently enacted California legislation suspends the use of state net operating losses by taxpayers with net business income or modified adjusted gross income of $1 million or more for tax years beginning on or after January 1, 2024 and before January 1, 2027.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2023, we had Irish net operating loss carryforwards of approximately $4.9 million. These Irish net operating loss carryforwards do not expire but may not be fully utilized unless we generate sufficient income in Ireland. We may also be limited in the amount of loss carryforwards that we can use in the future to offset taxable income for Irish corporation tax purposes if we experience ownership changes in the future as a result of subsequent movements in our share ownership, some of which are outside of our control, or if we experience a major change in the nature or conduct of our trade or our trade becomes small or negligible. Furthermore, in the event we incur net income in certain jurisdictions but incur losses (or have loss carryforwards) in other jurisdictions, we cannot offset the income from one jurisdiction with the loss from another, which could increase our effective tax rate.</w:t>
      </w:r>
    </w:p>
    <w:p>
      <w:pPr>
        <w:pStyle w:val="TextBody"/>
        <w:bidi w:val="0"/>
        <w:spacing w:before="120" w:after="283"/>
        <w:jc w:val="left"/>
        <w:rPr>
          <w:rFonts w:ascii="Times New Roman" w:hAnsi="Times New Roman"/>
          <w:sz w:val="20"/>
        </w:rPr>
      </w:pPr>
      <w:r>
        <w:rPr>
          <w:rFonts w:ascii="Times New Roman" w:hAnsi="Times New Roman"/>
          <w:b/>
          <w:i/>
          <w:color w:val="000000"/>
          <w:sz w:val="20"/>
        </w:rPr>
        <w:t>Changes in tax laws</w:t>
      </w:r>
      <w:r>
        <w:rPr>
          <w:rFonts w:ascii="Times New Roman" w:hAnsi="Times New Roman"/>
          <w:color w:val="000000"/>
          <w:sz w:val="20"/>
        </w:rPr>
        <w:t xml:space="preserve"> </w:t>
      </w:r>
      <w:r>
        <w:rPr>
          <w:rFonts w:ascii="Times New Roman" w:hAnsi="Times New Roman"/>
          <w:b/>
          <w:i/>
          <w:color w:val="000000"/>
          <w:sz w:val="20"/>
        </w:rPr>
        <w:t>or in their implementation or interpretation may adversely affect our business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or may become subject to income and non-income taxes in the United States under federal, state and local jurisdictions and in certain foreign jurisdictions in which we operate. Tax laws, regulations and administrative practices in these jurisdictions may be subject to significant change, with or without advance notice. For example, on January 1, 2022, a provision of the Tax Cuts and Jobs Act of 2017 went into effect that eliminated the option to deduct domestic research and development costs in the year incurred and instead requires taxpayers to amortize such costs over five or fifteen years. The United States has also enacted the Inflation Reduction Act of 2022, which introduced, among other provisions, a 1% excise tax on certain stock buybacks by U.S. publicly-traded corporations on or after January 1, 2023. The Organization for Economic Cooperation and Development has proposed implementing a global minimum tax of 15%, which has been implemented into the domestic laws of European Union member countries. Changes in tax laws, regulations, or rulings, changes in interpretations of existing laws and regulations, or changes in accounting principles could negatively and materially affect our financial position, cash flows, and results of operations.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Ownership of Our Common Stock</w:t>
      </w:r>
    </w:p>
    <w:p>
      <w:pPr>
        <w:pStyle w:val="TextBody"/>
        <w:bidi w:val="0"/>
        <w:spacing w:before="120" w:after="283"/>
        <w:jc w:val="left"/>
        <w:rPr>
          <w:rFonts w:ascii="Times New Roman" w:hAnsi="Times New Roman"/>
          <w:sz w:val="20"/>
        </w:rPr>
      </w:pPr>
      <w:r>
        <w:rPr>
          <w:rFonts w:ascii="Times New Roman" w:hAnsi="Times New Roman"/>
          <w:b/>
          <w:i/>
          <w:color w:val="000000"/>
          <w:sz w:val="20"/>
        </w:rPr>
        <w:t>We do not know whether an active, liquid and orderly trading market will be sustained for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 to our initial public offering, no market for shares of our common stock existed. Although our common stock is listed on the Nasdaq Global Select Market, the market for our shares has demonstrated varying levels of trading activity. It is possible that in one or more future periods our results of operations and progression of our product pipeline may not meet the expectations of public market analysts and investors, and, as a result of these and other factors, the price of our common stock may fall.</w:t>
      </w:r>
    </w:p>
    <w:p>
      <w:pPr>
        <w:pStyle w:val="TextBody"/>
        <w:bidi w:val="0"/>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sell shares of our common stock in future financings, stockholders may experience immediate dilution and, as a result, our stock price may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For example, our amended Shelf Registration Statement, declared effective by the SEC on May 31, 2022, provides for aggregate offerings of up to $450.0 million of the Company’s securities inclusive of up to $150.0 million of shares of our common stock through the at-the-market (ATM) offering. As of September 30, 2024, we sold an aggregate of 2,005,910 shares of common stock under our ATM offering. On October 10, 2023, we completed the October 2023 Offering for the issuance and sale of an aggregate of 8,663,793 shares of common stock and pre-funded warrants to purchase 1,250,000 shares of common stock at a public offering price of $6.38 per share and $6.379 per pre-funded warrant. Our stockholders may be further diluted by the exercise of the pre-funded warrants issued in the October 2023 Offering. If we issue common stock or securities convertible into common stock, our stockholders will experience additional dilution and our stock price may decline.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price of our stock may be volatile, and you could lose all or part of your investment.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price of our common stock has been and may be highly volatile and subject to wide fluctuations in response to various factors, some of which are beyond our control. In addition to those discussed in this “Risk Factors” section and elsewhere in this Quarterly Report on Form 10-Q, the following factors may cause the market price of our common stock to fluctuate: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results and timing of our preclinical studies and clinical trials and studies and trials of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or discontinuation of any of our development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issues in manufacturing our product candidates or any future approved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developments or enforcement in the United States and foreign countries with respect to our product candidates or our competitors’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competition from existing products or new products that may emerge;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actual or anticipated changes in our growth and development relative to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developments or disputes concerning patents or other proprietary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introduction of new product candidates or technological innovations by us or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announcements by us, our future strategic partners or our competitors of significant acquisitions, strategic partnerships, joint ventures or capital commitments;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actual or anticipated changes in estimates or recommendations by securities analysts, if any cover our common stock;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fluctuations in the valuation of companies perceived by investors to be comparable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public concern over our product candidates or any future approved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sales of our common stock by us, our insiders or our other stockholders including pursuant to the existing primary and secondary shelf registration statements that we have filed with the SEC;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expiration of market stand-off or lock-up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 price and volume fluctuations attributable to inconsistent trading volume levels of our shares;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additions or departures of key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structure of health care payment systems in the United States or overseas;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of any of our product candidates, if approved, to achieve commercial success;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macroeconomic conditions, such as inflation, economic downturns, disasters, and medical or public health crises, such as the COVID-19 pandemic, including the impact of recent bank failures, the ongoing geopolitical unrest related to Russia’s war with Ukraine, and war and instability in Israel and the surrounding region;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period-to-period fluctuations in our financial condition and results of operations, including the timing of payment or receipt of any future milestone or other payments under commercialization or licensing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announcements or expectations of additional financing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overall fluctuations in U.S. equity markets, general market conditions and market conditions for biotechnology stocks; and</w:t>
      </w:r>
    </w:p>
    <w:p>
      <w:pPr>
        <w:pStyle w:val="TextBody"/>
        <w:bidi w:val="0"/>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factors that may be unanticipated or out of our control.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stock market has recently experienced significant volatility, particularly with respect to biotechnology and other life sciences company stocks. The volatility of biotechnology and other life sciences company stock often does not relate to the operating performance of the companies presented by the stock. In addition, in the past, when the market price of a stock has been volatile, holders of that stock have instituted securities class action litigation against the company that issued the stock. If any of our stockholders brought a lawsuit against us, we could incur substantial costs defending the lawsuit and divert the time and attention of our management, which could seriously harm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realization of any of the above risks or any of a broad range of other risks, including those described in this “Risk Factors” section, could have a dramatic and adverse impact on the market price of our common stock.</w:t>
      </w:r>
    </w:p>
    <w:p>
      <w:pPr>
        <w:pStyle w:val="TextBody"/>
        <w:bidi w:val="0"/>
        <w:spacing w:before="120" w:after="283"/>
        <w:jc w:val="left"/>
        <w:rPr>
          <w:rFonts w:ascii="Times New Roman" w:hAnsi="Times New Roman"/>
          <w:sz w:val="20"/>
        </w:rPr>
      </w:pPr>
      <w:r>
        <w:rPr>
          <w:rFonts w:ascii="Times New Roman" w:hAnsi="Times New Roman"/>
          <w:b/>
          <w:i/>
          <w:color w:val="000000"/>
          <w:sz w:val="20"/>
        </w:rPr>
        <w:t>Our operating results may fluctuate significantly, which makes our future operating results difficult to predict and could cause our operating results to fall below expectations or our guidance.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quarterly and annual operating results may fluctuate significantly in the future, which makes it difficult for us to predict our future operating results. From time to time, we may enter into license or collaboration agreements or strategic partnerships with other companies that include development funding and significant upfront and milestone payments and/or royalties, which may become an important source of our revenue. These upfront and milestone payments may vary significantly from period to period and any such variance could cause a significant fluctuation in our operating results from one period to the next.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including our underlying stock price and stock price volatility, the magnitude of the expense that we must recognize may vary significantly.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our operating results may fluctuate due to a variety of other factors, many of which are outside of our control and may be difficult to predict,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cost of, and level of investment in, research and development activities relating to our current product candidates and any future product candidates and research-stage programs, which will change from time to time. For example, inflationary pressures have increased and we expect will continue to increase costs for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enroll subjects in clinical trials and the timing of enrollment;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manufacturing our current product candidates and any future product candidates, which may vary depending on FDA, EMA or other comparable foreign regulatory authority guidelines and requirements, the quantity of production and the terms of our agreements with manufacturers;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expenditures that we will or may incur to acquire or develop additional product candidates and technologies or other assets;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outcomes of clinical trials for evorpacept, and any of our other product candidates, or competing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need to conduct unanticipated clinical trials or trials that are larger or more complex than anticipated;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competition from existing and potential future products that compete with evorpacept and any of our other product candidates, and changes in the competitive landscape of our industry, including consolidation among our competitors or partners;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delays in regulatory review or approval of evorpacept or any of our other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 of demand for evorpacept and any of our other product candidates, if approved, which may fluctuate significantly and be difficult to predict;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risk/benefit profile, cost and reimbursement policies with respect to our product candidates, if approved, and existing and potential future products that compete with evorpacept and any of our other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commercialize evorpacept and any of our other product candidates, if approved, inside and outside of the United States, either independently or working with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establish and maintain collaborations, licensing or other arrangements;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adequately support future growth;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increase in interest expense due to an increase in the floating rate under the Loan Agreement as described elsewhere in this Quarterly Report on Form 10-Q;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unforeseen business disruptions that increase our costs or expenses; </w:t>
      </w:r>
    </w:p>
    <w:p>
      <w:pPr>
        <w:pStyle w:val="TextBody"/>
        <w:bidi w:val="0"/>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accounting pronouncements or changes in our accounting policies;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weak or declining economy resulting from adverse macroeconomic conditions such as inflation, interest rate changes, uncertainty in the financial services industry, and any U.S. federal government debt default due to a failure to increase the debt ceiling;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impact of outbreaks or public health crises, such as the COVID-19 pandemic, geopolitical unrest related to Russia’s conflict with Ukraine, war and instability in Israel and the surrounding region, and bank failures or instability in the financial services sector on the global economy.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and other risks associated with our planned international operations may materially adversely affect our ability to attain profitable operations. Further, there is currently significant uncertainty about the future relationship between the United States and various other countries, most significantly China, with respect to trade policies, treaties, tariffs, taxes, and other limitations on cross-border operations. For example, legislation has been introduced in Congress to limit certain U.S. biotechnology companies from using equipment or services produced or provided by select Chinese biotechnology companies. While we cannot predict what actions may ultimately be taken with respect to trade relations between the United States and China or other countries, if we are unable to obtain or use services or products from existing service providers, including those of contract development and manufacturing organizations, or if alternative service providers cannot be secured at an acceptable cost or at all, or if such actions cause broader disruption in drug manufacturing and related industries that impact drug product availability or pricing, our business, liquidity, financial condition, and/or results of operations would be materially and adversely affected.</w:t>
      </w:r>
    </w:p>
    <w:p>
      <w:pPr>
        <w:pStyle w:val="TextBody"/>
        <w:bidi w:val="0"/>
        <w:spacing w:before="120" w:after="283"/>
        <w:jc w:val="left"/>
        <w:rPr>
          <w:rFonts w:ascii="Times New Roman" w:hAnsi="Times New Roman"/>
          <w:sz w:val="20"/>
        </w:rPr>
      </w:pPr>
      <w:r>
        <w:rPr>
          <w:rFonts w:ascii="Times New Roman" w:hAnsi="Times New Roman"/>
          <w:b/>
          <w:i/>
          <w:color w:val="000000"/>
          <w:sz w:val="20"/>
        </w:rPr>
        <w:t>Sales of a substantial number of shares of our common stock in the public market could cause our stock price to fall.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a substantial number of shares of our common stock in the public market could occur at any time. If our stockholders sell, or the market perceives that our stockholders intend to sell, a substantial amount of our common stock in the public market, the market price of our common stock could decline significantly.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Shares issued upon the exercise of stock options outstanding under our equity incentive plans or pursuant to future awards granted under those plans will become available for sale in the public market to the extent permitted by the provisions of applicable vesting schedules and Rule 144 and Rule 701 under the Securities Act of 1933, as amended, or the Securities Act.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On October 10, 2023, we completed the October 2023 Offering for </w:t>
      </w:r>
      <w:r>
        <w:rPr>
          <w:rFonts w:ascii="Times New Roman" w:hAnsi="Times New Roman"/>
          <w:color w:val="231F20"/>
          <w:sz w:val="20"/>
        </w:rPr>
        <w:t>the sale of</w:t>
      </w:r>
      <w:r>
        <w:rPr>
          <w:rFonts w:ascii="Times New Roman" w:hAnsi="Times New Roman"/>
          <w:color w:val="000000"/>
          <w:sz w:val="20"/>
        </w:rPr>
        <w:t xml:space="preserve"> an aggregate of 8,663,793 shares of common stock and pre-funded warrants to purchase 1,250,000 shares of common stock at a public offering price of $6.38 per share and $6.379 per pre-funded warrant. Our stockholders may be further diluted by the exercise of the pre-funded warrants issued in the October 2023 Offering. Furthermore, we currently have an effective resale shelf registration statement which enables the selling stockholders thereunder, three of our largest stockholders, to sell shares in the public market which could cause our stock price to decline. In addition, any future sales of shares of common stock or other securities under our Shelf Registration Statement, including pursuant to our ATM facility, could put downward pressure on our stock price. Moreover, certain holders of our common stock have rights, subject to conditions, to require us to file registration statements covering their shares or to include their shares in registration statements that we may file for ourselves or other stockholders. Registration of these shares under the Securities Act would result in the shares becoming freely tradeable in the public market, subject to the restrictions of Rule 144 in the case of our affiliates. If any of these additional shares are sold, or if it is perceived that they will be sold, in the public market, the market price of our common stock could decline.</w:t>
      </w:r>
    </w:p>
    <w:p>
      <w:pPr>
        <w:pStyle w:val="TextBody"/>
        <w:bidi w:val="0"/>
        <w:spacing w:before="120" w:after="283"/>
        <w:jc w:val="left"/>
        <w:rPr>
          <w:rFonts w:ascii="Times New Roman" w:hAnsi="Times New Roman"/>
          <w:sz w:val="20"/>
        </w:rPr>
      </w:pPr>
      <w:r>
        <w:rPr>
          <w:rFonts w:ascii="Times New Roman" w:hAnsi="Times New Roman"/>
          <w:b/>
          <w:i/>
          <w:color w:val="000000"/>
          <w:sz w:val="20"/>
        </w:rPr>
        <w:t>If securities or industry analysts do not publish research or publish inaccurate or unfavorable research about our business, our share price and trading volume could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market for our common stock depends on the research and reports that securities or industry analysts publish about us or our business. We do not have any control over these analysts. We cannot assure you that analysts will cover us or provide favorable coverage. If no or few securities or industry analysts commence coverage of us, the trading price for our stock would be negatively impacted. If one or more of the analysts who cover us downgrade our stock or change their opinion of our common stock, our share price would likely decline. If one or more of these analysts cease coverage of our company or fail to publish reports on us regularly, we could lose visibility in the financial markets, which could cause our share price or trading volume to decline. </w:t>
      </w:r>
    </w:p>
    <w:p>
      <w:pPr>
        <w:pStyle w:val="TextBody"/>
        <w:bidi w:val="0"/>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We have incurred and will continue to incur significant increased costs and management resources as a result of operating as a public company.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and will continue to incur significant legal, accounting, compliance and other expenses as a public company. Our management and other personnel need to devote a substantial amount of time and incur significant expense in connection with compliance initiatives. For example, as a public company, we must maintain additional internal controls and disclosure controls and procedures and have retained a transfer agent and adopted an insider trading policy. As a public company, we bear all of the internal and external costs of preparing and distributing periodic public reports in compliance with our obligations under the securities laws.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maintain an enterprise resource planning, or ERP, system, which is designed to combine and streamline the management of our financial, accounting, human resources, sales and marketing and other functions, enabling us to manage operations and track performance more effectively. The ERP system has and will continue to require the investment of significant financial and human resources in order to ensure effective use of the system. Additionally, in the future, we may be limited in our ability to convert any business that we acquire to the ERP. Any disruptions or difficulties in using an ERP system could adversely affect our internal controls and harm our business, including our ability to forecast or make sales and collect our receivables. Moreover, such disruption or difficulties could result in unanticipated costs and diversion of management attention.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regulations and standards relating to corporate governance and public disclosure, including the Sarbanes-Oxley Act, or SOX, and the related rules and regulations implemented by the SEC and the Nasdaq Stock Market LLC, or Nasdaq, have and will continue to increase legal and financial compliance costs and make some compliance activities more time-consuming. We have invested and will continue to invest additional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As a public company, we maintain directors’ and officers’ insurance coverage, which has significantly increased in recent years.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While we were a large-accelerated filer for fiscal year 2022, we were a “non-accelerated filer” for fiscal year 2023 and we anticipate we will continue to be one throughout fiscal year 2024 and fiscal year 2025. This status could make our common stock less attractive to investors.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year, we re-evaluate our SEC filing status. Accordingly, due to our public float as of June 30, 2023, we were a non-accelerated filer for fiscal year 2024, and due to our public float as of June 30, 2024, we anticipate we will be a non-accelerated filer throughout fiscal year 2025. This will be re-evaluated each June 30. Pursuant to Section 404(a) of SOX, we are required to furnish a report by our management on our internal control over financial reporting. However, while we remain a non-accelerated filer, we will not be required to include an attestation report issued by our independent registered public accounting firm on the effectiveness of our internal control over financial reporting. If, after our June 30, 2025 re-evaluation, we are no longer a non-accelerated filer, we would be required to include an attestation report on internal control over financial reporting issued by our independent registered public accounting firm and adhere to earlier filing dates based on our determined status beginning with our Form 10-K for the fiscal year. We cannot predict if investors will find our common stock less attractive if we choose to rely on this exemption. If some investors find our common stock less attractive as a result of our non-accelerated filer status, there may be a less active trading market for our common stock and our stock price may be more volatile and may decline.</w:t>
      </w:r>
    </w:p>
    <w:p>
      <w:pPr>
        <w:pStyle w:val="TextBody"/>
        <w:bidi w:val="0"/>
        <w:spacing w:before="120" w:after="283"/>
        <w:jc w:val="left"/>
        <w:rPr>
          <w:rFonts w:ascii="Times New Roman" w:hAnsi="Times New Roman"/>
          <w:sz w:val="20"/>
        </w:rPr>
      </w:pPr>
      <w:r>
        <w:rPr>
          <w:rFonts w:ascii="Times New Roman" w:hAnsi="Times New Roman"/>
          <w:b/>
          <w:i/>
          <w:color w:val="000000"/>
          <w:sz w:val="20"/>
        </w:rPr>
        <w:t>Our affiliated principal stockholders and management own a significant percentage of our stock and will be able to exert significant control over matters subject to stockholder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September 30, 2024, our executive officers, directors, and affiliated holders of 5% or more of our capital stock and their respective affiliates beneficially owned approximately 25.3% of our outstanding voting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Therefore, this group of stockholders, if they act together, will have the ability to control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material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pStyle w:val="TextBody"/>
        <w:bidi w:val="0"/>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Market conditions and changing circumstances could impair our ability to access our existing cash, cash equivalents and investments and to timely pay key vendors and others.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conditions and changing circumstances, some of which may be beyond our control, could impair our ability to access our existing cash, cash equivalents and investments and to timely pay key vendors and others. For example, in March 2023, SVB, where we maintain certain immaterial accounts, was placed into receivership with the FDIC, and all funds held at SVB were temporarily inaccessible to SVB’s customers. If other banks and financial institutions with whom we have banking relationships enter receivership or become insolvent in the future, we may be unable to access, or we may lose, some or all of our existing cash, cash equivalents and investments, to the extent those funds are not insured or otherwise protected by the FDIC. In addition, in such circumstances we might not be able to timely pay key vendors, employees, and others. We regularly maintain cash balances that are not insured or are in excess of the FDIC’s insurance limit. In addition, any U.S. federal government debt default due to a failure to increase the debt ceiling may lead to lack of access to our investments in U.S. treasury securities or losses or lower returns on such investments, in addition to broader macroeconomic risk that would follow any such default. Any delay in our ability to access our cash, cash equivalents and investments, or the loss of some or all of such funds, or inability to pay key vendors and others timely, could have a material adverse effect on our operations and cause us to seek additional capital sooner than planned.</w:t>
      </w:r>
    </w:p>
    <w:p>
      <w:pPr>
        <w:pStyle w:val="TextBody"/>
        <w:bidi w:val="0"/>
        <w:spacing w:before="120" w:after="283"/>
        <w:jc w:val="left"/>
        <w:rPr>
          <w:rFonts w:ascii="Times New Roman" w:hAnsi="Times New Roman"/>
          <w:sz w:val="20"/>
        </w:rPr>
      </w:pPr>
      <w:r>
        <w:rPr>
          <w:rFonts w:ascii="Times New Roman" w:hAnsi="Times New Roman"/>
          <w:b/>
          <w:i/>
          <w:color w:val="000000"/>
          <w:sz w:val="20"/>
        </w:rPr>
        <w:t>We do not anticipate paying cash dividends and, accordingly, stockholders must rely on share appreciation for any return on their investment.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never paid any dividends on our capital stock. We currently intend to retain our future earnings, if any, to fund the development and growth of our businesses and do not anticipate that we will declare or pay any cash dividends on our capital stock in the foreseeable future. As a result, capital appreciation, if any, of our common stock will be your sole source of gain on your investment for the foreseeable future. Investors seeking cash dividends should not invest in our common stock. </w:t>
      </w:r>
    </w:p>
    <w:p>
      <w:pPr>
        <w:pStyle w:val="TextBody"/>
        <w:bidi w:val="0"/>
        <w:spacing w:before="120" w:after="283"/>
        <w:jc w:val="left"/>
        <w:rPr>
          <w:rFonts w:ascii="Times New Roman" w:hAnsi="Times New Roman"/>
          <w:sz w:val="20"/>
        </w:rPr>
      </w:pPr>
      <w:r>
        <w:rPr>
          <w:rFonts w:ascii="Times New Roman" w:hAnsi="Times New Roman"/>
          <w:b/>
          <w:i/>
          <w:color w:val="000000"/>
          <w:sz w:val="20"/>
        </w:rPr>
        <w:t>Raising additional capital may cause dilution to our stockholders, restrict our operations or require us to relinquish substantial rights.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the extent that we raise additional capital through the sale of equity or convertible debt securities, your ownership interest will be diluted, and the terms of these new securities may include liquidation or other preferences that adversely affect your rights as a common stockholder. Sales of equity securities may be made under our Shelf Registration Statement and pursuant to our related ATM facility described therein. Additionally, our stockholders may be further diluted by the exercise of the pre-funded warrants issued in the follow-on public offering. Debt financing, if available, may involve fixed payment obligations or agreements that include covenants limiting or restricting our ability to take specific actions such as incurring additional debt, making capital expenditures or declaring dividends. Our Loan Agreement with the Lenders restricts our ability to incur additional indebtedness without the consent of the Lenders. If we raise additional funds through partnerships, collaborations, strategic alliances or licensing arrangements with third parties, we may have to relinquish valuable rights to our technologies, product candidates or future revenue streams, or grant licenses on terms that are not favorable to us. We cannot assure you that we will be able to obtain additional funding if and when necessary. If we are unable to obtain adequate financing on a timely basis, we could be required to delay, scale back or eliminate one or more of our clinical or discovery programs or grant rights to develop and market product candidates that we would otherwise prefer to develop and market ourselves. In addition, we may seek additional capital due to favorable market conditions or strategic considerations even if we believe we have sufficient funds for our current or future operating plans. </w:t>
      </w:r>
    </w:p>
    <w:p>
      <w:pPr>
        <w:pStyle w:val="TextBody"/>
        <w:bidi w:val="0"/>
        <w:spacing w:before="120" w:after="283"/>
        <w:jc w:val="left"/>
        <w:rPr>
          <w:rFonts w:ascii="Times New Roman" w:hAnsi="Times New Roman"/>
          <w:sz w:val="20"/>
        </w:rPr>
      </w:pPr>
      <w:r>
        <w:rPr>
          <w:rFonts w:ascii="Times New Roman" w:hAnsi="Times New Roman"/>
          <w:b/>
          <w:i/>
          <w:color w:val="000000"/>
          <w:sz w:val="20"/>
        </w:rPr>
        <w:t>Delaware law and provisions in our amended and restated certificate of incorporation and bylaws might discourage, delay or prevent a change in control of our company or changes in our management and, therefore, depress the trading price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Provisions in our amended and restated certificate of incorporation and amended and restated bylaws may discourage, delay or prevent a merger, acquisition or other change in control that stockholders may consider favorable, including transactions in which you might otherwise receive a premium for your shares of our common stock. These provisions may also prevent or frustrate attempts by our stockholders to replace or remove our management. Therefore, these provisions could adversely affect the price of our common stock. Among other things, our charter documents: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that our board of directors is divided into three classes, with each class serving staggered three-year terms;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that vacancies on our board of directors may be filled only by a majority of directors then in office, even though less than a quorum;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that our directors may only be removed for cause;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eliminate cumulative voting in the election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authorize our board of directors to issue shares of convertible preferred stock and determine the price and other terms of those shares, including preferences and voting rights, without stockholder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our board of directors with the exclusive right to elect a director to fill a vacancy or newly created directorship;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permit stockholders to only take actions at a duly called annual or special meeting and not by written consent; </w:t>
      </w:r>
    </w:p>
    <w:p>
      <w:pPr>
        <w:pStyle w:val="TextBody"/>
        <w:bidi w:val="0"/>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prohibit stockholders from calling a special meeting of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that stockholders give advance notice to nominate directors or submit proposals for consideration at stockholder meetings;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authorize our board of directors to amend the bylaws;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the affirmative vote of at least 66 2/3% or more of the outstanding shares of common stock to amend many of the provisions described above.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Section 203 of the General Corporation Law of the State of Delaware prohibits a publicly-held Delaware corporation from engaging in a business combination with an interested stockholder, generally a person who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 </w:t>
      </w:r>
    </w:p>
    <w:p>
      <w:pPr>
        <w:pStyle w:val="TextBody"/>
        <w:bidi w:val="0"/>
        <w:spacing w:before="120" w:after="283"/>
        <w:jc w:val="left"/>
        <w:rPr>
          <w:rFonts w:ascii="Times New Roman" w:hAnsi="Times New Roman"/>
          <w:sz w:val="20"/>
        </w:rPr>
      </w:pPr>
      <w:r>
        <w:rPr>
          <w:rFonts w:ascii="Times New Roman" w:hAnsi="Times New Roman"/>
          <w:b/>
          <w:i/>
          <w:color w:val="000000"/>
          <w:sz w:val="20"/>
        </w:rPr>
        <w:t>Our amended and restated bylaws provide that the Court of Chancery of the State of Delaware and the federal district courts of the United States will be the exclusive forums for substantially all disputes between us and our stockholders, which could limit our stockholders’ ability to obtain a favorable judicial forum for disputes with us or our directors, officers or employees.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amended and restated bylaws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ten days following such determination), which is vested in the exclusive jurisdiction of a court or forum other than such court or for which such court does not have subject matter jurisdiction):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derivative action or proceeding brought on behalf of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action asserting a claim of breach of a fiduciary duty;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action asserting a claim against us arising under the Delaware General Corporation Law, or DGCL, our amended and restated certificate of incorporation or our amended and restated bylaws, as either may be amended from time to time;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action asserting a claim against us that is governed by the internal affairs doctrine.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provision would not apply to suits brought to enforce a duty or liability created by the Securities Exchange Act of 1934, as amended, or Exchange Act, or any other claim for which the U.S. federal courts have exclusive jurisdiction.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amended and restated bylaws further provide that the federal district courts of the United States will be the exclusive forum for resolving any complaint asserting a cause of action arising under the Securities Act.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either exclusive-forum provision in our amended and restated bylaws to be inapplicable or unenforceable in an action, we may incur additional costs associated with resolving the dispute in other jurisdictions, which could seriously harm our business. </w:t>
      </w:r>
    </w:p>
    <w:p>
      <w:pPr>
        <w:pStyle w:val="TextBody"/>
        <w:bidi w:val="0"/>
        <w:spacing w:before="120" w:after="283"/>
        <w:jc w:val="left"/>
        <w:rPr>
          <w:rFonts w:ascii="Times New Roman" w:hAnsi="Times New Roman"/>
          <w:sz w:val="20"/>
        </w:rPr>
      </w:pPr>
      <w:r>
        <w:rPr>
          <w:rFonts w:ascii="Times New Roman" w:hAnsi="Times New Roman"/>
          <w:b/>
          <w:i/>
          <w:color w:val="000000"/>
          <w:sz w:val="20"/>
        </w:rPr>
        <w:t>In the past, we have identified material weaknesses in our internal control over financial reporting, and if we are unable to maintain effective internal control over financial reporting in the future, investors may lose confidence in the accuracy and completeness of our financial reports, and the market price of our common stock may be materially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past, we and our independent registered public accounting firm identified two material weaknesses in our internal control over financial reporting, both of which have since been remediated. We did not identify any material weakness for the fiscal years ended December 31, 2023 and 2022.</w:t>
      </w:r>
    </w:p>
    <w:p>
      <w:pPr>
        <w:pStyle w:val="TextBody"/>
        <w:bidi w:val="0"/>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in the future, we have a material weakness in our internal controls over financial reporting, we may not be able to prevent or detect errors on a timely basis and our consolidated financial statements may be materially misstated. We or our independent registered public accounting firm, if required,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company we are required to file accurate and timely quarterly and annual reports with the SEC under the Exchange Act. Any failure to report our financial results on an accurate and timely basis could result in sanctions, lawsuits, delisting of our shares from The Nasdaq Global Select Market or other adverse consequences that would materially harm our business. In addition, we could become subject to investigations by the stock exchange on which our securities are listed, the SEC, and other regulatory authorities, and become subject to litigation from investors and stockholders, which could harm our reputation and our financial condition, or divert financial and management resources from our core business.</w:t>
      </w:r>
    </w:p>
    <w:p>
      <w:pPr>
        <w:pStyle w:val="TextBody"/>
        <w:bidi w:val="0"/>
        <w:spacing w:before="120" w:after="283"/>
        <w:jc w:val="left"/>
        <w:rPr>
          <w:rFonts w:ascii="Times New Roman" w:hAnsi="Times New Roman"/>
          <w:sz w:val="20"/>
        </w:rPr>
      </w:pPr>
      <w:r>
        <w:rPr>
          <w:rFonts w:ascii="Times New Roman" w:hAnsi="Times New Roman"/>
          <w:b/>
          <w:i/>
          <w:color w:val="000000"/>
          <w:sz w:val="20"/>
        </w:rPr>
        <w:t>If we fail to maintain an effective system of internal control over financial reporting, we may not be able to accurately report our financial results or prevent fraud, which would harm our business and the trading price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our independent registered public accounting firm in connection with Section 404(b) of SOX, as long as such attestation report is required pursuant to such section by our independent registered public accounting firm, may reveal deficiencies in our internal controls over financial reporting that are deemed to be significant deficiencies or material weaknesses or that may require prospective or retroactive changes to our consolidated financial statements or identify other areas for further attention or improvement. As discussed above, we have identified material weaknesses in the past which have since been remediated. However, our remediation of previous material weaknesses may not prevent any future deficiency in our internal control over financial reporting. Inferior internal controls could also cause investors to lose confidence in our reported financial information, which could have a negative effect on the trading price of our common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failure to maintain effective internal control over financial reporting could have a material adverse effect on our business, financial condition and results of operations and the trading price of our common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required to disclose material changes made in our internal controls over financing reporting and procedures on a quarterly basis and our management are required to assess the effectiveness of these controls annually. We were no longer an “emerging growth company” as of December 31, 2021 and as such, pursuant to Section 404(b) of SOX, our independent registered public accounting firm attested to the effectiveness of our internal control over financial reporting as of December 31, 2021. While we remain a non-accelerated filer, we will not be required to include an attestation report issued by our independent registered public accounting firm on the effectiveness of our internal control over financial reporting. Upon a change in status to an accelerated or large-accelerated filer, our independent registered public accounting firm would be required to attest to the effectiveness of our internal control over financial reporting as of the filing of the Form 10-K of that year. An independent assessment of the effectiveness of our internal controls could detect problems that our management’s assessment might not and therefore we may be less likely to detect deficiencies in our internal controls over financial reporting in the future and during any fiscal year for which we remain a non-accelerated filer.</w:t>
      </w:r>
    </w:p>
    <w:p>
      <w:pPr>
        <w:pStyle w:val="TextBody"/>
        <w:bidi w:val="0"/>
        <w:spacing w:before="120" w:after="283"/>
        <w:jc w:val="left"/>
        <w:rPr>
          <w:rFonts w:ascii="Times New Roman" w:hAnsi="Times New Roman"/>
          <w:sz w:val="20"/>
        </w:rPr>
      </w:pPr>
      <w:r>
        <w:rPr>
          <w:rFonts w:ascii="Times New Roman" w:hAnsi="Times New Roman"/>
          <w:b/>
          <w:i/>
          <w:color w:val="000000"/>
          <w:sz w:val="20"/>
        </w:rPr>
        <w:t>We are organized in a holding company structure and we are, and will be, dependent upon the results of operations and cash flows of our subsidiaries and distributions we receive from our subsidiaries.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ALX Oncology Holdings Inc. is a holding company that currently has no material assets other than cash and our ownership of all of the equity issued by ALX Oncology Limited. As such, ALX Oncology Holdings Inc. will have no independent means of generating revenue or cash flow, and our ability to pay our taxes and operating expenses or declare and pay dividends in the future, if any, will be dependent upon the results of operations and cash flows of ALX Oncology Limited and its consolidated subsidiaries, including any distributions we receive from ALX Oncology Limited. There can be no assurance that our direct and indirect subsidiaries will generate sufficient cash flow to distribute funds to us or that applicable law and contractual restrictions, such as negative covenants in any debt instruments, will permit such distributions. In addition, in the event that the board of directors and stockholders of ALX Oncology Holdings Inc. were to approve a sale of all of our equity in ALX Oncology Limited or any of our other indirect subsidiaries, your equity interest would be in a holding company with no material assets other than those assets and other consideration received in such transaction. </w:t>
      </w:r>
    </w:p>
    <w:p>
      <w:pPr>
        <w:pStyle w:val="TextBody"/>
        <w:bidi w:val="0"/>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General Risks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Business disruptions could seriously harm our future revenue and financial condition and increase our costs and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operations, and those of our service providers and suppliers and other contractors and consultants, could be subject to earthquakes, power shortages, telecommunications failures, water shortages, floods, hurricanes, typhoons, fires, extreme weather conditions, medical or public health crises, such as the COVID-19 pandemic, and other natural or man-made disasters such as the ongoing geopolitical unrest related to Russia’s war with Ukraine, war and instability in Israel and the surrounding region, or business interruptions, for which we are partly uninsured. The occurrence of any of these business disruptions could seriously harm our operations and financial condition and increase our costs and expenses. We rely on third-party manufacturers to produce and process our product candidates. Our ability to obtain clinical supplies of our product candidates could be disrupted if the operations of these suppliers are affected by a man-made or natural disaster or other business interruption.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majority of our operations including our corporate headquarters are located in the San Francisco Bay Area in California. Damage or extended periods of interruption to our corporate, development or research facilities due to fire, natural disaster, power loss, communications failure, unauthorized entry or other events could cause us to cease or delay development of some or all of our product candidates. Although we maintain property damage and business interruption insurance coverage on these facilities, our insurance might not cover all losses under such circumstances and our business may be seriously harmed by such delays and interruption.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experience disruptions and delays or incur financial damages as a result of system failures or security breaches or incidents.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Despite our implementation of security measures, any of the internal computer systems and networks belonging to or used by us or our employees and our CROs and other third-party service providers are vulnerable to damage and disruption from computer viruses, ransomware and other malicious code, unauthorized access, natural disasters, terrorism, war and telecommunication and electrical failure, as well as security breaches and incidents from inadvertent or intentional actions, or from cyber-attacks by malicious third parties (including supply chain cyber-attacks, denial-of-service attacks, social engineering and other means to affect service reliability and threaten the confidentiality, integrity and availability of information), which may compromise system infrastructure or lead to the loss, destruction, alteration, prevention of access to, disclosure, or dissemination of, or damage or unauthorized access to, our data (including trade secrets or other confidential information, intellectual property, proprietary business information, and personal information) or data that is processed or maintained on our behalf, or other assets, which could result in financial, legal, business and reputational harm to us. Any system failure, accident or security breach or incident that causes interruptions in our own or in our CROs’ and other third-party service providers’ operations could result in a material disruption of our drug discovery and development programs or other aspects of our operations. We may be more susceptible to security breaches and other security incidents while a large percentage of our employees continue to work from home for some portion of time because we and our service providers have less capability to monitor and enforce our information security and data protection policies for those employees. Also, ongoing geopolitical unrest and related events such as Russia’s war with Ukraine may subject us and our CROs and other third-party service providers to heightened risks of cybersecurity incidents and security and privacy breaches, including attacks that could materially disrupt our drug discovery and development programs or other aspects of our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system failure or security breach or incident that leads to the loss, corruption or unavailability of clinical trial data from completed or future clinical trials could result in delays in our regulatory approval efforts and significantly increase our costs in order to recover or reproduce the lost, corrupted, or unavailable data. In addition, if any disruption or security breach or incident results in loss, destruction, alteration, or unavailability of, or damage or unauthorized access to, our data or applications or unauthorized access to, disclosure, dissemination or other processing of confidential or proprietary information that we or our third-party service providers process, including personal information related to the subjects in our clinical trials, we may incur liability as a result, our drug discovery programs and competitive position may be adversely affected and further development of our product candidates may be delayed. Any such disruption, failure or security breach or incident could also cause us to incur additional costs to remedy the damages that arise from such disruption, failure or security breach or incident. Additionally, in the event of any such disruption, failure or security breach or incident, or any perception that one has occurred, we could be exposed to claims, demands, and litigation and governmental investigations and other proceedings, the further development and commercialization of our product candidates could be delayed, and we could be subject to significant liabilities, including fines or penalties for any noncompliance with certain state, federal and/or international privacy and security laws. We expect to incur significant costs in an effort to detect and prevent security breaches and incidents, and we may face increased costs and requirements to expend substantial resources in the event of an actual or perceived security breach or incident.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insurance policies may not be adequate to compensate us for the potential losses arising from any such disruption, failure or security breach or incident.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 </w:t>
      </w:r>
    </w:p>
    <w:p>
      <w:pPr>
        <w:pStyle w:val="TextBody"/>
        <w:bidi w:val="0"/>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Our disclosure controls and procedures may not prevent or detect all errors or acts of fraud.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by SEC rules and regulations. We believe that any disclosure controls and procedures or internal controls and procedures, no matter how well-conceived and operated, can provide only reasonable, not absolute, assurance that the objectives of the control system are met.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inherent limitations include the facts that judgments in decision-making can be faulty and that breakdowns can occur because of simple error or mistake. Additionally, controls can be circumvented by the individual acts of some persons, by the collusion of two or more people or by an unauthorized override of the controls. Accordingly, because of the inherent limitations in our control system, misstatements due to error or fraud may occur and not be detected.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be subject to securities litigation, which is expensive and could divert management attention.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market price of our common stock has experienced significant fluctuations in the past year and may be volatile in the future.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management’s attention from the business, which could seriously harm our business. </w:t>
      </w:r>
    </w:p>
    <w:p>
      <w:pPr>
        <w:pStyle w:val="TextBody"/>
        <w:bidi w:val="0"/>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7" w:name="part2_item2_unreg"/>
      <w:bookmarkEnd w:id="17"/>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Use of Proceeds from Initial Public Offering of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has been no material change in the planned use of proceeds from our initial public offering as described in our final prospectus filed with the SEC on July 17, 2020 pursuant to Rule 424(b)(4). We invested the funds received in accordance with our investment policy. None of such payments were direct or indirect payments to any of our directors or officers (or their associates), to persons owning ten percent or more of our common stock or to any other affiliates.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Unregistered Sales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Issuer Purchases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8" w:name="part2_item3_defaults"/>
      <w:bookmarkEnd w:id="18"/>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9" w:name="part2_item4_mine"/>
      <w:bookmarkEnd w:id="19"/>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360" w:after="283"/>
        <w:jc w:val="left"/>
        <w:rPr>
          <w:rFonts w:ascii="Times New Roman" w:hAnsi="Times New Roman"/>
          <w:b/>
          <w:color w:val="000000"/>
          <w:sz w:val="20"/>
        </w:rPr>
      </w:pPr>
      <w:bookmarkStart w:id="20" w:name="part2_item5_other"/>
      <w:bookmarkEnd w:id="20"/>
      <w:r>
        <w:rPr>
          <w:rFonts w:ascii="Times New Roman" w:hAnsi="Times New Roman"/>
          <w:b/>
          <w:color w:val="000000"/>
          <w:sz w:val="20"/>
        </w:rPr>
        <w:t>Item 5. 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our last fiscal quarter, none of our officers or directors, as defined in Rule 16a-1(f), adopted and/or terminated a “Rule 10b5-1 trading arrangement” or a “non-Rule 10b5-1 trading arrangement,” as defined in Regulation S-K Item 408.</w:t>
      </w:r>
    </w:p>
    <w:p>
      <w:pPr>
        <w:pStyle w:val="TextBody"/>
        <w:bidi w:val="0"/>
        <w:spacing w:before="12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21" w:name="part2_item6_exhibits"/>
      <w:bookmarkEnd w:id="21"/>
      <w:r>
        <w:rPr>
          <w:rFonts w:ascii="Times New Roman" w:hAnsi="Times New Roman"/>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844"/>
        <w:gridCol w:w="146"/>
        <w:gridCol w:w="4742"/>
        <w:gridCol w:w="146"/>
        <w:gridCol w:w="616"/>
        <w:gridCol w:w="146"/>
        <w:gridCol w:w="557"/>
        <w:gridCol w:w="146"/>
        <w:gridCol w:w="796"/>
        <w:gridCol w:w="146"/>
        <w:gridCol w:w="691"/>
        <w:gridCol w:w="146"/>
        <w:gridCol w:w="1083"/>
      </w:tblGrid>
      <w:tr>
        <w:trPr/>
        <w:tc>
          <w:tcPr>
            <w:tcW w:w="8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r>
      <w:tr>
        <w:trPr/>
        <w:tc>
          <w:tcPr>
            <w:tcW w:w="84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74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3098"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pPr>
            <w:r>
              <w:rPr/>
              <w:t> </w:t>
            </w:r>
          </w:p>
        </w:tc>
      </w:tr>
      <w:tr>
        <w:trPr/>
        <w:tc>
          <w:tcPr>
            <w:tcW w:w="84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74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TITLE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57"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vAlign w:val="center"/>
          </w:tcPr>
          <w:p>
            <w:pPr>
              <w:pStyle w:val="TableContents"/>
              <w:bidi w:val="0"/>
              <w:spacing w:before="0" w:after="283"/>
              <w:jc w:val="center"/>
              <w:rPr/>
            </w:pPr>
            <w:r>
              <w:rPr/>
              <w:t> </w:t>
            </w:r>
          </w:p>
        </w:tc>
        <w:tc>
          <w:tcPr>
            <w:tcW w:w="691"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w:t>
              <w:br/>
              <w:t>DATE</w:t>
            </w:r>
          </w:p>
        </w:tc>
        <w:tc>
          <w:tcPr>
            <w:tcW w:w="146" w:type="dxa"/>
            <w:tcBorders/>
            <w:vAlign w:val="center"/>
          </w:tcPr>
          <w:p>
            <w:pPr>
              <w:pStyle w:val="TableContents"/>
              <w:bidi w:val="0"/>
              <w:spacing w:before="0" w:after="283"/>
              <w:jc w:val="center"/>
              <w:rPr/>
            </w:pPr>
            <w:r>
              <w:rPr/>
              <w:t> </w:t>
            </w:r>
          </w:p>
        </w:tc>
        <w:tc>
          <w:tcPr>
            <w:tcW w:w="108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FILED</w:t>
              <w:br/>
              <w:t>HEREWITH</w:t>
            </w:r>
          </w:p>
        </w:tc>
      </w:tr>
      <w:tr>
        <w:trPr/>
        <w:tc>
          <w:tcPr>
            <w:tcW w:w="84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74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57"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79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691"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pPr>
            <w:r>
              <w:rPr/>
              <w:t> </w:t>
            </w:r>
          </w:p>
        </w:tc>
      </w:tr>
      <w:tr>
        <w:trPr/>
        <w:tc>
          <w:tcPr>
            <w:tcW w:w="84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left"/>
              <w:rPr/>
            </w:pPr>
            <w:r>
              <w:rPr/>
              <w:t> </w:t>
            </w:r>
          </w:p>
        </w:tc>
        <w:tc>
          <w:tcPr>
            <w:tcW w:w="4742" w:type="dxa"/>
            <w:tcBorders/>
            <w:vAlign w:val="center"/>
          </w:tcPr>
          <w:p>
            <w:pPr>
              <w:pStyle w:val="TableContents"/>
              <w:bidi w:val="0"/>
              <w:spacing w:before="0" w:after="283"/>
              <w:jc w:val="left"/>
              <w:rPr/>
            </w:pPr>
            <w:hyperlink w:anchor="alxo-ex10_1.htm">
              <w:r>
                <w:rPr>
                  <w:rStyle w:val="InternetLink"/>
                  <w:rFonts w:ascii="Times New Roman" w:hAnsi="Times New Roman"/>
                  <w:color w:val="0000FF"/>
                  <w:sz w:val="20"/>
                  <w:u w:val="single"/>
                </w:rPr>
                <w:t>Separation Agreement and Release between the Registrant and Sophia Randolph, M.D., Ph.D.</w:t>
              </w:r>
            </w:hyperlink>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5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4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74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5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pPr>
            <w:r>
              <w:rPr/>
              <w:t> </w:t>
            </w:r>
          </w:p>
        </w:tc>
      </w:tr>
      <w:tr>
        <w:trPr/>
        <w:tc>
          <w:tcPr>
            <w:tcW w:w="84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vAlign w:val="center"/>
          </w:tcPr>
          <w:p>
            <w:pPr>
              <w:pStyle w:val="TableContents"/>
              <w:bidi w:val="0"/>
              <w:spacing w:before="0" w:after="283"/>
              <w:jc w:val="left"/>
              <w:rPr/>
            </w:pPr>
            <w:r>
              <w:rPr/>
              <w:t> </w:t>
            </w:r>
          </w:p>
        </w:tc>
        <w:tc>
          <w:tcPr>
            <w:tcW w:w="4742" w:type="dxa"/>
            <w:tcBorders/>
            <w:vAlign w:val="center"/>
          </w:tcPr>
          <w:p>
            <w:pPr>
              <w:pStyle w:val="TableContents"/>
              <w:bidi w:val="0"/>
              <w:spacing w:before="0" w:after="283"/>
              <w:jc w:val="left"/>
              <w:rPr/>
            </w:pPr>
            <w:hyperlink w:anchor="alxo-ex31_1.htm">
              <w:r>
                <w:rPr>
                  <w:rStyle w:val="InternetLink"/>
                  <w:rFonts w:ascii="Times New Roman" w:hAnsi="Times New Roman"/>
                  <w:color w:val="0000EE"/>
                  <w:sz w:val="20"/>
                  <w:u w:val="single"/>
                </w:rPr>
                <w:t>Certification of Principal Executive Officer Pursuant to Rules 13a-14(a) and 15d-14(a) under the Securities Exchange Act of 1934, as Adopted Pursuant to Section 302 of the Sarbanes-Oxley Act of 2002.</w:t>
              </w:r>
            </w:hyperlink>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5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4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74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5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pPr>
            <w:r>
              <w:rPr/>
              <w:t> </w:t>
            </w:r>
          </w:p>
        </w:tc>
      </w:tr>
      <w:tr>
        <w:trPr/>
        <w:tc>
          <w:tcPr>
            <w:tcW w:w="84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vAlign w:val="center"/>
          </w:tcPr>
          <w:p>
            <w:pPr>
              <w:pStyle w:val="TableContents"/>
              <w:bidi w:val="0"/>
              <w:spacing w:before="0" w:after="283"/>
              <w:jc w:val="left"/>
              <w:rPr/>
            </w:pPr>
            <w:r>
              <w:rPr/>
              <w:t> </w:t>
            </w:r>
          </w:p>
        </w:tc>
        <w:tc>
          <w:tcPr>
            <w:tcW w:w="4742" w:type="dxa"/>
            <w:tcBorders/>
            <w:vAlign w:val="center"/>
          </w:tcPr>
          <w:p>
            <w:pPr>
              <w:pStyle w:val="TableContents"/>
              <w:bidi w:val="0"/>
              <w:spacing w:before="0" w:after="283"/>
              <w:jc w:val="left"/>
              <w:rPr/>
            </w:pPr>
            <w:hyperlink w:anchor="alxo-ex31_2.htm">
              <w:r>
                <w:rPr>
                  <w:rStyle w:val="InternetLink"/>
                  <w:rFonts w:ascii="Times New Roman" w:hAnsi="Times New Roman"/>
                  <w:color w:val="0000EE"/>
                  <w:sz w:val="20"/>
                  <w:u w:val="single"/>
                </w:rPr>
                <w:t>Certification of Principal Financial Officer Pursuant to Rules 13a-14(a) and 15d-14(a) under the Securities Exchange Act of 1934, as Adopted Pursuant to Section 302 of the Sarbanes-Oxley Act of 2002.</w:t>
              </w:r>
            </w:hyperlink>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5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4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74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5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pPr>
            <w:r>
              <w:rPr/>
              <w:t> </w:t>
            </w:r>
          </w:p>
        </w:tc>
      </w:tr>
      <w:tr>
        <w:trPr/>
        <w:tc>
          <w:tcPr>
            <w:tcW w:w="84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vAlign w:val="center"/>
          </w:tcPr>
          <w:p>
            <w:pPr>
              <w:pStyle w:val="TableContents"/>
              <w:bidi w:val="0"/>
              <w:spacing w:before="0" w:after="283"/>
              <w:jc w:val="left"/>
              <w:rPr/>
            </w:pPr>
            <w:r>
              <w:rPr/>
              <w:t> </w:t>
            </w:r>
          </w:p>
        </w:tc>
        <w:tc>
          <w:tcPr>
            <w:tcW w:w="4742" w:type="dxa"/>
            <w:tcBorders/>
            <w:vAlign w:val="center"/>
          </w:tcPr>
          <w:p>
            <w:pPr>
              <w:pStyle w:val="TableContents"/>
              <w:bidi w:val="0"/>
              <w:spacing w:before="0" w:after="283"/>
              <w:jc w:val="left"/>
              <w:rPr/>
            </w:pPr>
            <w:hyperlink w:anchor="alxo-ex32_1.htm">
              <w:r>
                <w:rPr>
                  <w:rStyle w:val="InternetLink"/>
                  <w:rFonts w:ascii="Times New Roman" w:hAnsi="Times New Roman"/>
                  <w:color w:val="0000EE"/>
                  <w:sz w:val="20"/>
                  <w:u w:val="single"/>
                </w:rPr>
                <w:t>Certification of Principal Executive Officer Pursuant to 18 U.S.C. Section 1350, as Adopted Pursuant to Section 906 of the Sarbanes-Oxley Act of 2002.</w:t>
              </w:r>
            </w:hyperlink>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5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4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74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5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pPr>
            <w:r>
              <w:rPr/>
              <w:t> </w:t>
            </w:r>
          </w:p>
        </w:tc>
      </w:tr>
      <w:tr>
        <w:trPr/>
        <w:tc>
          <w:tcPr>
            <w:tcW w:w="84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vAlign w:val="center"/>
          </w:tcPr>
          <w:p>
            <w:pPr>
              <w:pStyle w:val="TableContents"/>
              <w:bidi w:val="0"/>
              <w:spacing w:before="0" w:after="283"/>
              <w:jc w:val="left"/>
              <w:rPr/>
            </w:pPr>
            <w:r>
              <w:rPr/>
              <w:t> </w:t>
            </w:r>
          </w:p>
        </w:tc>
        <w:tc>
          <w:tcPr>
            <w:tcW w:w="4742" w:type="dxa"/>
            <w:tcBorders/>
            <w:vAlign w:val="center"/>
          </w:tcPr>
          <w:p>
            <w:pPr>
              <w:pStyle w:val="TableContents"/>
              <w:bidi w:val="0"/>
              <w:spacing w:before="0" w:after="283"/>
              <w:jc w:val="left"/>
              <w:rPr/>
            </w:pPr>
            <w:hyperlink w:anchor="alxo-ex32_2.htm">
              <w:r>
                <w:rPr>
                  <w:rStyle w:val="InternetLink"/>
                  <w:rFonts w:ascii="Times New Roman" w:hAnsi="Times New Roman"/>
                  <w:color w:val="0000EE"/>
                  <w:sz w:val="20"/>
                  <w:u w:val="single"/>
                </w:rPr>
                <w:t>Certification of Principal Financial Officer Pursuant to 18 U.S.C. Section 1350, as Adopted Pursuant to Section 906 of the Sarbanes-Oxley Act of 2002.</w:t>
              </w:r>
            </w:hyperlink>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5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4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74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5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pPr>
            <w:r>
              <w:rPr/>
              <w:t> </w:t>
            </w:r>
          </w:p>
        </w:tc>
      </w:tr>
      <w:tr>
        <w:trPr/>
        <w:tc>
          <w:tcPr>
            <w:tcW w:w="84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vAlign w:val="center"/>
          </w:tcPr>
          <w:p>
            <w:pPr>
              <w:pStyle w:val="TableContents"/>
              <w:bidi w:val="0"/>
              <w:spacing w:before="0" w:after="283"/>
              <w:jc w:val="left"/>
              <w:rPr/>
            </w:pPr>
            <w:r>
              <w:rPr/>
              <w:t> </w:t>
            </w:r>
          </w:p>
        </w:tc>
        <w:tc>
          <w:tcPr>
            <w:tcW w:w="474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5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4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74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5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pPr>
            <w:r>
              <w:rPr/>
              <w:t> </w:t>
            </w:r>
          </w:p>
        </w:tc>
      </w:tr>
      <w:tr>
        <w:trPr/>
        <w:tc>
          <w:tcPr>
            <w:tcW w:w="84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vAlign w:val="center"/>
          </w:tcPr>
          <w:p>
            <w:pPr>
              <w:pStyle w:val="TableContents"/>
              <w:bidi w:val="0"/>
              <w:spacing w:before="0" w:after="283"/>
              <w:jc w:val="left"/>
              <w:rPr/>
            </w:pPr>
            <w:r>
              <w:rPr/>
              <w:t> </w:t>
            </w:r>
          </w:p>
        </w:tc>
        <w:tc>
          <w:tcPr>
            <w:tcW w:w="474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5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4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74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5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pPr>
            <w:r>
              <w:rPr/>
              <w:t> </w:t>
            </w:r>
          </w:p>
        </w:tc>
      </w:tr>
      <w:tr>
        <w:trPr/>
        <w:tc>
          <w:tcPr>
            <w:tcW w:w="84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vAlign w:val="center"/>
          </w:tcPr>
          <w:p>
            <w:pPr>
              <w:pStyle w:val="TableContents"/>
              <w:bidi w:val="0"/>
              <w:spacing w:before="0" w:after="283"/>
              <w:jc w:val="left"/>
              <w:rPr/>
            </w:pPr>
            <w:r>
              <w:rPr/>
              <w:t> </w:t>
            </w:r>
          </w:p>
        </w:tc>
        <w:tc>
          <w:tcPr>
            <w:tcW w:w="474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included in exhibit 101)</w:t>
            </w:r>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5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Certain exhibits and schedules have been omitted in accordance with Item 601(a)(5) of Regulation S-K. The registrant agrees to furnish supplementally a copy of any omitted exhibit or schedule to the SEC upon its request.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Indicates management contract or compensatory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The certifications attached as Exhibit 32.1 and 32.2 that accompany this Quarterly Report on Form 10-Q are deemed furnished and not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pStyle w:val="TextBody"/>
        <w:bidi w:val="0"/>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2" w:name="signatures"/>
      <w:bookmarkEnd w:id="22"/>
      <w:r>
        <w:rPr>
          <w:rFonts w:ascii="Times New Roman" w:hAnsi="Times New Roman"/>
          <w:b/>
          <w:color w:val="000000"/>
          <w:sz w:val="20"/>
        </w:rPr>
        <w:t>SIGNATURES</w:t>
      </w:r>
    </w:p>
    <w:p>
      <w:pPr>
        <w:pStyle w:val="TextBody"/>
        <w:bidi w:val="0"/>
        <w:spacing w:before="240" w:after="283"/>
        <w:jc w:val="left"/>
        <w:rPr>
          <w:rFonts w:ascii="Times New Roman" w:hAnsi="Times New Roman"/>
          <w:sz w:val="20"/>
        </w:rPr>
      </w:pPr>
      <w:r>
        <w:rPr>
          <w:rFonts w:ascii="Times New Roman" w:hAnsi="Times New Roman"/>
          <w:color w:val="000000"/>
          <w:sz w:val="20"/>
        </w:rPr>
        <w:t>Pursuant to the requirements of the Securities Exchange Act of 1934, this report has been signed below by the following persons on behalf of the registrant and in the capacities and on the dates indicated</w:t>
      </w:r>
      <w:r>
        <w:rPr>
          <w:rFonts w:ascii="Times New Roman" w:hAnsi="Times New Roman"/>
          <w:b/>
          <w:color w:val="000000"/>
          <w:sz w:val="20"/>
        </w:rPr>
        <w:t>.</w:t>
      </w:r>
    </w:p>
    <w:p>
      <w:pPr>
        <w:pStyle w:val="TextBody"/>
        <w:bidi w:val="0"/>
        <w:jc w:val="left"/>
        <w:rPr/>
      </w:pPr>
      <w:r>
        <w:rPr/>
        <w:t> </w:t>
      </w:r>
    </w:p>
    <w:tbl>
      <w:tblPr>
        <w:tblW w:w="5729" w:type="dxa"/>
        <w:jc w:val="left"/>
        <w:tblInd w:w="0" w:type="dxa"/>
        <w:tblLayout w:type="fixed"/>
        <w:tblCellMar>
          <w:top w:w="28" w:type="dxa"/>
          <w:left w:w="28" w:type="dxa"/>
          <w:bottom w:w="28" w:type="dxa"/>
          <w:right w:w="28" w:type="dxa"/>
        </w:tblCellMar>
      </w:tblPr>
      <w:tblGrid>
        <w:gridCol w:w="2101"/>
        <w:gridCol w:w="146"/>
        <w:gridCol w:w="406"/>
        <w:gridCol w:w="3076"/>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ALX ONCOLOGY HOLDINGS INC.</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7,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0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Jason Lettmann</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Jason Lettmann</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tbl>
      <w:tblPr>
        <w:tblW w:w="5219" w:type="dxa"/>
        <w:jc w:val="left"/>
        <w:tblInd w:w="0" w:type="dxa"/>
        <w:tblLayout w:type="fixed"/>
        <w:tblCellMar>
          <w:top w:w="28" w:type="dxa"/>
          <w:left w:w="28" w:type="dxa"/>
          <w:bottom w:w="28" w:type="dxa"/>
          <w:right w:w="28" w:type="dxa"/>
        </w:tblCellMar>
      </w:tblPr>
      <w:tblGrid>
        <w:gridCol w:w="2101"/>
        <w:gridCol w:w="146"/>
        <w:gridCol w:w="406"/>
        <w:gridCol w:w="2566"/>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shd w:fill="FFFFFF" w:val="clear"/>
            <w:vAlign w:val="center"/>
          </w:tcPr>
          <w:p>
            <w:pPr>
              <w:pStyle w:val="TableContents"/>
              <w:bidi w:val="0"/>
              <w:spacing w:before="0" w:after="283"/>
              <w:jc w:val="lef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7,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Peter Garcia</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Peter Garcia</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jc w:val="left"/>
        <w:rPr/>
      </w:pPr>
      <w:r>
        <w:rPr/>
        <w:t> </w:t>
      </w:r>
    </w:p>
    <w:tbl>
      <w:tblPr>
        <w:tblW w:w="7889" w:type="dxa"/>
        <w:jc w:val="left"/>
        <w:tblInd w:w="0" w:type="dxa"/>
        <w:tblLayout w:type="fixed"/>
        <w:tblCellMar>
          <w:top w:w="28" w:type="dxa"/>
          <w:left w:w="28" w:type="dxa"/>
          <w:bottom w:w="28" w:type="dxa"/>
          <w:right w:w="28" w:type="dxa"/>
        </w:tblCellMar>
      </w:tblPr>
      <w:tblGrid>
        <w:gridCol w:w="2101"/>
        <w:gridCol w:w="146"/>
        <w:gridCol w:w="406"/>
        <w:gridCol w:w="5236"/>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236"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7,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2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Shelly Pinto</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Shelly Pinto</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Senior Vice President, Finance and Chief Accounting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Accounting Officer)</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right"/>
        <w:rPr/>
      </w:pPr>
      <w:bookmarkStart w:id="23" w:name="alxo-ex10_1.htm"/>
      <w:bookmarkStart w:id="24" w:name="ksalxoex10_1"/>
      <w:bookmarkEnd w:id="23"/>
      <w:bookmarkEnd w:id="2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10.1</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Certain exhibits and schedules have been omitted in accordance with Regulation S-K Item 601(a)(5). The registrant agrees to furnish supplementally a copy of any omitted exhibit or schedule to the SEC upon its request, however the registrant may request confidential treatment of omitted items.</w:t>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ALX ONCOLOGY HOLDINGS INC.</w:t>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SEPARATION AGREEMENT AND RELEASE</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This Separation Agreement and Release (“Agreement”) is made by and between Sophia Randolph (“Executive”) and ALX Oncology Holdings Inc. (the “Company”) (collectively referred to as the “Parties” or individually referred to as a “Party”).</w:t>
      </w:r>
    </w:p>
    <w:p>
      <w:pPr>
        <w:pStyle w:val="TextBody"/>
        <w:bidi w:val="0"/>
        <w:jc w:val="left"/>
        <w:rPr/>
      </w:pPr>
      <w:r>
        <w:rPr/>
        <w:t> </w:t>
      </w:r>
    </w:p>
    <w:p>
      <w:pPr>
        <w:pStyle w:val="TextBody"/>
        <w:bidi w:val="0"/>
        <w:jc w:val="center"/>
        <w:rPr>
          <w:rFonts w:ascii="Times New Roman" w:hAnsi="Times New Roman"/>
          <w:b/>
          <w:color w:val="000000"/>
          <w:sz w:val="22"/>
        </w:rPr>
      </w:pPr>
      <w:bookmarkStart w:id="25" w:name="ole_link28"/>
      <w:bookmarkStart w:id="26" w:name="ole_link27"/>
      <w:bookmarkEnd w:id="25"/>
      <w:bookmarkEnd w:id="26"/>
      <w:r>
        <w:rPr>
          <w:rFonts w:ascii="Times New Roman" w:hAnsi="Times New Roman"/>
          <w:b/>
          <w:color w:val="000000"/>
          <w:sz w:val="22"/>
        </w:rPr>
        <w:t>RECITALS</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WHEREAS, Executive was employed by the Company;</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WHEREAS, Executive entered into a confirmatory offer letter with the Company dated July 9, 2020 (the “Offer Letter”);</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WHEREAS, Executive signed an Employee Confidentiality, Inventions and Non-Interference Agreement with Alexo Therapeutics Inc., dated June 1, 2016 (the “Confidentiality Agreement”);</w:t>
      </w:r>
    </w:p>
    <w:p>
      <w:pPr>
        <w:pStyle w:val="TextBody"/>
        <w:bidi w:val="0"/>
        <w:spacing w:before="240" w:after="283"/>
        <w:jc w:val="both"/>
        <w:rPr>
          <w:rFonts w:ascii="Times New Roman" w:hAnsi="Times New Roman"/>
          <w:sz w:val="20"/>
        </w:rPr>
      </w:pPr>
      <w:bookmarkStart w:id="27" w:name="ole_link64"/>
      <w:bookmarkStart w:id="28" w:name="ole_link65"/>
      <w:bookmarkEnd w:id="27"/>
      <w:bookmarkEnd w:id="28"/>
      <w:r>
        <w:rPr>
          <w:rFonts w:ascii="Times New Roman" w:hAnsi="Times New Roman"/>
          <w:color w:val="000000"/>
          <w:sz w:val="22"/>
        </w:rPr>
        <w:t xml:space="preserve">WHEREAS, the Company granted Executive certain awards of stock options (“Options”) to purchase shares of the Company’s common stock (“Shares”) and restricted stock units (“RSUs”) covering Shares (each, an “Award,” and collectively, the “Awards”), under the Company’s Amended and Restated 2020 Equity Incentive Plan, as amended from time to time (the “Plan”), and applicable award agreements thereunder including any amendments thereto, as set forth in </w:t>
      </w:r>
      <w:r>
        <w:rPr>
          <w:rFonts w:ascii="Times New Roman" w:hAnsi="Times New Roman"/>
          <w:color w:val="000000"/>
          <w:sz w:val="22"/>
          <w:u w:val="single"/>
        </w:rPr>
        <w:t>Schedule I</w:t>
      </w:r>
      <w:r>
        <w:rPr>
          <w:rFonts w:ascii="Times New Roman" w:hAnsi="Times New Roman"/>
          <w:color w:val="000000"/>
          <w:sz w:val="20"/>
        </w:rPr>
        <w:t xml:space="preserve"> </w:t>
      </w:r>
      <w:r>
        <w:rPr>
          <w:rFonts w:ascii="Times New Roman" w:hAnsi="Times New Roman"/>
          <w:color w:val="000000"/>
          <w:sz w:val="22"/>
        </w:rPr>
        <w:t>attached hereto (such award agreements and any amendments thereto, together with the Plan, the “Award Documents”);</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WHEREAS, Executive separated from employment with the Company effective October 11, 2024 (the “Separation Date”); and</w:t>
      </w:r>
    </w:p>
    <w:p>
      <w:pPr>
        <w:pStyle w:val="TextBody"/>
        <w:bidi w:val="0"/>
        <w:jc w:val="left"/>
        <w:rPr/>
      </w:pPr>
      <w:r>
        <w:rPr/>
        <w:t> </w:t>
      </w:r>
    </w:p>
    <w:p>
      <w:pPr>
        <w:pStyle w:val="TextBody"/>
        <w:bidi w:val="0"/>
        <w:jc w:val="both"/>
        <w:rPr>
          <w:rFonts w:ascii="Times New Roman" w:hAnsi="Times New Roman"/>
          <w:sz w:val="20"/>
        </w:rPr>
      </w:pPr>
      <w:bookmarkStart w:id="29" w:name="ole_link51"/>
      <w:bookmarkEnd w:id="29"/>
      <w:r>
        <w:rPr>
          <w:rFonts w:ascii="Times New Roman" w:hAnsi="Times New Roman"/>
          <w:color w:val="000000"/>
          <w:sz w:val="22"/>
        </w:rPr>
        <w:t xml:space="preserve">WHEREAS, the Parties </w:t>
      </w:r>
      <w:bookmarkStart w:id="30" w:name="ole_link52"/>
      <w:bookmarkEnd w:id="30"/>
      <w:r>
        <w:rPr>
          <w:rFonts w:ascii="Times New Roman" w:hAnsi="Times New Roman"/>
          <w:color w:val="000000"/>
          <w:sz w:val="22"/>
        </w:rPr>
        <w:t>wish to resolve any and all disputes, claims, complaints, grievances, charges, actions, petitions, and demands that the Executive may have against the Company and any of the Releasees as defined below, including, but not limited to, any and all claims arising out of or in any way related to Executive’s employment with or separation from the Company.</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NOW, THEREFORE, in consideration of the mutual promises made herein, the Company and Executive hereby agree as follows:</w:t>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COVENANTS</w:t>
      </w:r>
    </w:p>
    <w:p>
      <w:pPr>
        <w:pStyle w:val="TextBody"/>
        <w:bidi w:val="0"/>
        <w:jc w:val="left"/>
        <w:rPr/>
      </w:pPr>
      <w:r>
        <w:rPr/>
        <w:t> </w:t>
      </w:r>
    </w:p>
    <w:p>
      <w:pPr>
        <w:pStyle w:val="TextBody"/>
        <w:bidi w:val="0"/>
        <w:spacing w:before="0" w:after="0"/>
        <w:jc w:val="left"/>
        <w:rPr>
          <w:rFonts w:ascii="Times New Roman" w:hAnsi="Times New Roman"/>
          <w:color w:val="000000"/>
          <w:sz w:val="22"/>
          <w:u w:val="single"/>
        </w:rPr>
      </w:pPr>
      <w:r>
        <w:rPr>
          <w:rFonts w:ascii="Times New Roman" w:hAnsi="Times New Roman"/>
          <w:color w:val="000000"/>
          <w:sz w:val="22"/>
          <w:u w:val="single"/>
        </w:rPr>
        <w:t>1.</w:t>
      </w:r>
    </w:p>
    <w:p>
      <w:pPr>
        <w:pStyle w:val="TextBody"/>
        <w:bidi w:val="0"/>
        <w:jc w:val="left"/>
        <w:rPr/>
      </w:pPr>
      <w:r>
        <w:rPr>
          <w:rFonts w:ascii="Times New Roman" w:hAnsi="Times New Roman"/>
          <w:color w:val="000000"/>
          <w:sz w:val="22"/>
          <w:u w:val="single"/>
        </w:rPr>
        <w:t>Consideration</w:t>
      </w:r>
      <w:r>
        <w:rPr>
          <w:rFonts w:ascii="Times New Roman" w:hAnsi="Times New Roman"/>
          <w:color w:val="000000"/>
          <w:sz w:val="22"/>
        </w:rPr>
        <w:t xml:space="preserve">. </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w:t>
      </w:r>
    </w:p>
    <w:p>
      <w:pPr>
        <w:pStyle w:val="TextBody"/>
        <w:bidi w:val="0"/>
        <w:jc w:val="both"/>
        <w:rPr/>
      </w:pPr>
      <w:r>
        <w:rPr>
          <w:rFonts w:ascii="Times New Roman" w:hAnsi="Times New Roman"/>
          <w:i/>
          <w:color w:val="000000"/>
          <w:sz w:val="22"/>
        </w:rPr>
        <w:t>Separation Payment.</w:t>
      </w:r>
      <w:r>
        <w:rPr>
          <w:color w:val="000000"/>
        </w:rPr>
        <w:t xml:space="preserve"> </w:t>
      </w:r>
      <w:r>
        <w:rPr>
          <w:rFonts w:ascii="Times New Roman" w:hAnsi="Times New Roman"/>
          <w:color w:val="000000"/>
          <w:sz w:val="22"/>
        </w:rPr>
        <w:t xml:space="preserve">The Company agrees to pay Executive a single, lump sum, cash payment equal to $503,880.00, less any applicable withholdings. </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b.</w:t>
      </w:r>
    </w:p>
    <w:p>
      <w:pPr>
        <w:pStyle w:val="TextBody"/>
        <w:bidi w:val="0"/>
        <w:jc w:val="both"/>
        <w:rPr/>
      </w:pPr>
      <w:r>
        <w:rPr>
          <w:rFonts w:ascii="Times New Roman" w:hAnsi="Times New Roman"/>
          <w:i/>
          <w:color w:val="000000"/>
          <w:sz w:val="22"/>
        </w:rPr>
        <w:t xml:space="preserve">COBRA. </w:t>
      </w:r>
      <w:r>
        <w:rPr>
          <w:rFonts w:ascii="Times New Roman" w:hAnsi="Times New Roman"/>
          <w:color w:val="000000"/>
          <w:sz w:val="22"/>
        </w:rPr>
        <w:t xml:space="preserve">Subject to Executive timely electing continuation coverage under the Consolidated Omnibus Budget Reconciliation Act of 1985, as amended (“COBRA”), the Company will pay the COBRA premiums for continued coverage under the Company’s group health, dental and vision coverage for Executive and any of Executive’s eligible dependents, as applicable, following the Separation Date until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 earliest of: (i) eighteen (18) months following the Separation Date, (ii) the date on which Executive and Executive’s eligible dependents (as applicable) become covered under similar plans, or (iii) the expiration of Executive’s (and any of Executive’s eligible dependents’, as applicable) eligibility for continuation coverage under COBRA. Notwithstanding the preceding, if the Company determines in its sole discretion that it cannot provide such Company-paid COBRA benefits without potentially violating, or being subject to an excise tax under, applicable law (including, without limitation, Section 2716 of the Public Health Service Act), then in lieu of such benefits, the Company will provide the Executive a taxable monthly payment payable on the last day of a given month (except as provided by the immediately following sentence) in an amount equal to the monthly COBRA premium that the Executive would be required to pay to continue the Executive’s group health coverage in effect on the Separation Date (which amount will be based on the premium rates applicable for the first month of COBRA coverage for Executive and Executive’s eligible dependents, if any), which payments will be made regardless of whether the Executive elects COBRA continuation coverage, will commence in the month following the month of the Separation Date and continue until the month that is eighteen (18) months following the month of the Separation Date, and will be subject to any applicable withholdings. Notwithstanding anything to the contrary under this Agreement, if the Company determines in its sole discretion at any time that it cannot provide such COBRA benefits described in this subsection b. without violating applicable law or being subject to an excise tax under applicable law (including without limitation Section 2716 of the Public Health Service Act), Executive will not receive any such benefits under this subsection b.</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c.</w:t>
      </w:r>
    </w:p>
    <w:p>
      <w:pPr>
        <w:pStyle w:val="TextBody"/>
        <w:bidi w:val="0"/>
        <w:jc w:val="both"/>
        <w:rPr/>
      </w:pPr>
      <w:r>
        <w:rPr>
          <w:rFonts w:ascii="Times New Roman" w:hAnsi="Times New Roman"/>
          <w:i/>
          <w:color w:val="000000"/>
          <w:sz w:val="22"/>
        </w:rPr>
        <w:t>Vesting Acceleration</w:t>
      </w:r>
      <w:r>
        <w:rPr>
          <w:rFonts w:ascii="Times New Roman" w:hAnsi="Times New Roman"/>
          <w:color w:val="000000"/>
          <w:sz w:val="22"/>
        </w:rPr>
        <w:t>. Executive and the Company acknowledge and agree that as of the Separation Date, Executive will have vested as to only that portion of the Awards as set forth in Schedule I attached hereto under the column titled “Number of Shares subject to Award vested through Separation Date.” As of the Effective Date of this Agreement, a portion of the Awards shall become immediately vested as to such number of Shares as set forth in Schedule I attached hereto under the column titled “Number of Shares subject to Award that accelerate vesting pursuant to Section 1.c. of Agreement” (which is intended to reflect the number of Shares that would have vested under the applicable Awards had Executive remained an employee of the Company until October 11, 2025). Any RSUs that accelerate vesting in accordance with this subsection c. will be settled by the Company no later than the sixtieth (60</w:t>
      </w:r>
      <w:r>
        <w:rPr>
          <w:rFonts w:ascii="Times New Roman" w:hAnsi="Times New Roman"/>
          <w:color w:val="000000"/>
          <w:sz w:val="15"/>
        </w:rPr>
        <w:t>th</w:t>
      </w:r>
      <w:r>
        <w:rPr>
          <w:rFonts w:ascii="Times New Roman" w:hAnsi="Times New Roman"/>
          <w:color w:val="000000"/>
          <w:sz w:val="22"/>
        </w:rPr>
        <w:t>) day following the Separation Date. For purposes of clarity, such RSUs will be subject to any applicable tax withholdings and, unless determined otherwise by the administrator of the Plan in accordance with the applicable Award Documents, any applicable tax withholdings will be satisfied by having the Company withhold otherwise deliverable Shares under such RSUs having a fair market value equal to the amount necessary to meet such withholding obligations with respect to the RSUs. The exercise of Employee’s vested Options shall continue to be governed by the terms and conditions of the applicable Award Documents except as otherwise expressly set forth in this Agreement.</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d.</w:t>
      </w:r>
    </w:p>
    <w:p>
      <w:pPr>
        <w:pStyle w:val="TextBody"/>
        <w:bidi w:val="0"/>
        <w:jc w:val="both"/>
        <w:rPr/>
      </w:pPr>
      <w:r>
        <w:rPr>
          <w:rFonts w:ascii="Times New Roman" w:hAnsi="Times New Roman"/>
          <w:i/>
          <w:color w:val="000000"/>
          <w:sz w:val="22"/>
        </w:rPr>
        <w:t>Option Post</w:t>
        <w:noBreakHyphen/>
        <w:t>Termination Exercise Period Extension</w:t>
      </w:r>
      <w:r>
        <w:rPr>
          <w:rFonts w:ascii="Times New Roman" w:hAnsi="Times New Roman"/>
          <w:color w:val="000000"/>
          <w:sz w:val="22"/>
        </w:rPr>
        <w:t xml:space="preserve">. As of the Effective Date of this Agreement, each Option, to the extent vested as of the Separation Date or subject to or eligible for vesting acceleration in accordance with subsection c. above or subsection e. below, shall be amended to provide that such Option shall be exercisable, to the extent such Option is or becomes vested, until July 11, 2026, subject to earlier termination in accordance with the Award Documents and provided that in no event may any Option be exercised beyond the maximum term applicable to such Option. Executive acknowledges and agrees that the foregoing is an amendment of the Options that constitutes a “modification” of the Options, resulting in the deemed re-grant of the Options for purposes of the rules governing incentive stock options (“ISOs”) under Section 422 of the Internal Revenue Code (the “Code”). Executive further acknowledges and agrees that amending any Options that are intended to qualify as ISOs pursuant to this amendment will result in such Options being converted into non-statutory stock options for tax purposes as of the Effective Date (“NSOs”) to the extent the Options do not satisfy all of the qualification requirements for ISO status as of such amendment date. Upon the exercise of any NSOs, Executive will be treated as having received compensation income from the Company (taxable at ordinary income tax rates) equal to the excess, if any, of the aggregate fair market value of the exercised Shares on the date of exercise over their aggregate exercise price. In that case, in addition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to the payment of the aggregate exercise price, Executive’s exercise of the NSOs is conditioned on payment to the Company of any applicable federal, state, and/or local withholding obligations arising in connection with such exercise. Executive acknowledges and agrees that Executive remains solely responsible for all employee-related withholdings associated with the exercise of any Options. Executive further acknowledges that the Company has advised Executive to consult with Executive’s own tax adviser regarding the tax status of the Options and the tax consequences to Executive of Executive’s exercise of the Options and disposition of any Shares acquired upon such exercise.</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e.</w:t>
      </w:r>
    </w:p>
    <w:p>
      <w:pPr>
        <w:pStyle w:val="TextBody"/>
        <w:bidi w:val="0"/>
        <w:jc w:val="both"/>
        <w:rPr/>
      </w:pPr>
      <w:r>
        <w:rPr>
          <w:rFonts w:ascii="Times New Roman" w:hAnsi="Times New Roman"/>
          <w:i/>
          <w:color w:val="000000"/>
          <w:sz w:val="22"/>
        </w:rPr>
        <w:t>Change in Control and Severance Agreement</w:t>
      </w:r>
      <w:r>
        <w:rPr>
          <w:rFonts w:ascii="Times New Roman" w:hAnsi="Times New Roman"/>
          <w:color w:val="000000"/>
          <w:sz w:val="22"/>
        </w:rPr>
        <w:t xml:space="preserve">. Pursuant to that certain Change in Control and Severance Agreement entered into between the Company and Executive dated July 9, 2020 (the “CIC Agreement”), Executive will remain eligible to receive certain additional severance benefits as described in Section 3(b) of the CIC Agreement to the extent that a Change in Control (as defined in the CIC Agreement) occurs within three (3) months following the Separation Date (“CIC Deadline Date”), such that the termination of Executive’s employment with the Company constitutes a Qualifying Termination during the Change in Control Period (as such terms are defined in the CIC Agreement), subject to the terms and conditions of the CIC Agreement (the “Additional CIC Severance”). For purposes of clarity, in such event, in order to prevent duplication of benefits, the Additional CIC Severance will consist of a single, lump sum, cash payment equal to $238,680.00 (the “Additional Cash Severance”) and vesting acceleration of one hundred percent (100%) of any Equity Awards (as defined in the CIC Agreement) outstanding and unvested as of immediately prior to the Change in Control (after giving effect to the vesting acceleration provided in subsection c. above) (such additional vesting acceleration, together with the Additional Cash Severance, the “Additional CIC Severance”). Any Additional Cash Severance will be paid, and any such vesting acceleration of Equity Awards will occur, as of the date of the Change in Control. Executive acknowledges and agrees that, except as provided pursuant to the CIC Agreement, no additional vesting of Executive’s Awards will occur following the Separation Date, notwithstanding any continued service following the Separation Date as a consultant to the Company or otherwise. If no Change in Control occurs by the CIC Deadline Date, then any unvested portion of Executive’s Awards automatically and permanently will be forfeited as of the end of the CIC Deadline Date without having vested. </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f.</w:t>
      </w:r>
    </w:p>
    <w:p>
      <w:pPr>
        <w:pStyle w:val="TextBody"/>
        <w:bidi w:val="0"/>
        <w:jc w:val="both"/>
        <w:rPr/>
      </w:pPr>
      <w:r>
        <w:rPr>
          <w:rFonts w:ascii="Times New Roman" w:hAnsi="Times New Roman"/>
          <w:i/>
          <w:color w:val="000000"/>
          <w:sz w:val="22"/>
        </w:rPr>
        <w:t>Acknowledgement</w:t>
      </w:r>
      <w:r>
        <w:rPr>
          <w:rFonts w:ascii="Times New Roman" w:hAnsi="Times New Roman"/>
          <w:color w:val="000000"/>
          <w:sz w:val="22"/>
        </w:rPr>
        <w:t>. Executive acknowledges that without this Agreement, Executive is otherwise not entitled to the consideration listed in this Section 1. Executive further acknowledges and agrees that consideration for this Agreement does not constitute, in whole or in part, any bonus, raise, employment, or continued employment.</w:t>
      </w:r>
    </w:p>
    <w:p>
      <w:pPr>
        <w:pStyle w:val="TextBody"/>
        <w:bidi w:val="0"/>
        <w:jc w:val="left"/>
        <w:rPr/>
      </w:pPr>
      <w:r>
        <w:rPr/>
        <w:t> </w:t>
      </w:r>
    </w:p>
    <w:p>
      <w:pPr>
        <w:pStyle w:val="TextBody"/>
        <w:bidi w:val="0"/>
        <w:spacing w:before="0" w:after="0"/>
        <w:jc w:val="both"/>
        <w:rPr>
          <w:rFonts w:ascii="Times New Roman" w:hAnsi="Times New Roman"/>
          <w:color w:val="000000"/>
          <w:sz w:val="22"/>
          <w:u w:val="single"/>
        </w:rPr>
      </w:pPr>
      <w:r>
        <w:rPr>
          <w:rFonts w:ascii="Times New Roman" w:hAnsi="Times New Roman"/>
          <w:color w:val="000000"/>
          <w:sz w:val="22"/>
          <w:u w:val="single"/>
        </w:rPr>
        <w:t>2.</w:t>
      </w:r>
    </w:p>
    <w:p>
      <w:pPr>
        <w:pStyle w:val="TextBody"/>
        <w:bidi w:val="0"/>
        <w:jc w:val="both"/>
        <w:rPr/>
      </w:pPr>
      <w:r>
        <w:rPr>
          <w:rFonts w:ascii="Times New Roman" w:hAnsi="Times New Roman"/>
          <w:color w:val="000000"/>
          <w:sz w:val="22"/>
          <w:u w:val="single"/>
        </w:rPr>
        <w:t>Benefits</w:t>
      </w:r>
      <w:r>
        <w:rPr>
          <w:rFonts w:ascii="Times New Roman" w:hAnsi="Times New Roman"/>
          <w:color w:val="000000"/>
          <w:sz w:val="22"/>
        </w:rPr>
        <w:t>. Executive’s health insurance benefits shall cease on the last day of the month in which the Separation Date occurs, subject to Executive’s right to continue Executive’s health insurance under COBRA. Executive’s participation in all benefits and incidents of employment, including, but not limited to, the accrual of bonuses, vacation, and paid time off, ceased as of the Separation Date.</w:t>
      </w:r>
    </w:p>
    <w:p>
      <w:pPr>
        <w:pStyle w:val="TextBody"/>
        <w:bidi w:val="0"/>
        <w:jc w:val="left"/>
        <w:rPr/>
      </w:pPr>
      <w:r>
        <w:rPr/>
        <w:t> </w:t>
      </w:r>
    </w:p>
    <w:p>
      <w:pPr>
        <w:pStyle w:val="TextBody"/>
        <w:bidi w:val="0"/>
        <w:spacing w:before="0" w:after="0"/>
        <w:jc w:val="both"/>
        <w:rPr>
          <w:rFonts w:ascii="Times New Roman" w:hAnsi="Times New Roman"/>
          <w:color w:val="000000"/>
          <w:sz w:val="22"/>
          <w:u w:val="single"/>
        </w:rPr>
      </w:pPr>
      <w:r>
        <w:rPr>
          <w:rFonts w:ascii="Times New Roman" w:hAnsi="Times New Roman"/>
          <w:color w:val="000000"/>
          <w:sz w:val="22"/>
          <w:u w:val="single"/>
        </w:rPr>
        <w:t>3.</w:t>
      </w:r>
    </w:p>
    <w:p>
      <w:pPr>
        <w:pStyle w:val="TextBody"/>
        <w:bidi w:val="0"/>
        <w:jc w:val="both"/>
        <w:rPr/>
      </w:pPr>
      <w:r>
        <w:rPr>
          <w:rFonts w:ascii="Times New Roman" w:hAnsi="Times New Roman"/>
          <w:color w:val="000000"/>
          <w:sz w:val="22"/>
          <w:u w:val="single"/>
        </w:rPr>
        <w:t>Payment of Salary and Receipt of All Benefits</w:t>
      </w:r>
      <w:r>
        <w:rPr>
          <w:rFonts w:ascii="Times New Roman" w:hAnsi="Times New Roman"/>
          <w:color w:val="000000"/>
          <w:sz w:val="22"/>
        </w:rPr>
        <w:t>. Executive acknowledges and represents that, other than the consideration set forth in this Agreement, the Company has paid or provided all salary, wages, bonuses, accrued vacation/paid time off, premiums, leaves, housing allowances, relocation costs, interest, severance (including without limitation the severance benefits set forth in Section 3(a) of the CIC Agreement but excluding any Additional CIC Severance), outplacement costs, fees, reimbursable expenses, commissions, stock, stock options and other equity awards, vesting, and any and all other benefits and compensation due to Executive. An amount of $53,040.00, corresponding to 208.00 hours of accrued but unused vacation time, has been or will be included in Executive’s final paycheck.</w:t>
      </w:r>
    </w:p>
    <w:p>
      <w:pPr>
        <w:pStyle w:val="TextBody"/>
        <w:bidi w:val="0"/>
        <w:jc w:val="left"/>
        <w:rPr/>
      </w:pPr>
      <w:r>
        <w:rPr/>
        <w:t> </w:t>
      </w:r>
    </w:p>
    <w:p>
      <w:pPr>
        <w:pStyle w:val="TextBody"/>
        <w:bidi w:val="0"/>
        <w:jc w:val="both"/>
        <w:rPr>
          <w:rFonts w:ascii="Times New Roman" w:hAnsi="Times New Roman"/>
          <w:color w:val="000000"/>
          <w:sz w:val="22"/>
          <w:u w:val="single"/>
        </w:rPr>
      </w:pPr>
      <w:r>
        <w:rPr>
          <w:rFonts w:ascii="Times New Roman" w:hAnsi="Times New Roman"/>
          <w:color w:val="000000"/>
          <w:sz w:val="22"/>
          <w:u w:val="single"/>
        </w:rPr>
        <w:t>4.</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pPr>
      <w:r>
        <w:rPr>
          <w:rFonts w:ascii="Times New Roman" w:hAnsi="Times New Roman"/>
          <w:color w:val="000000"/>
          <w:sz w:val="22"/>
          <w:u w:val="single"/>
        </w:rPr>
        <w:t>Executive’s Release of Claims Against the Company</w:t>
      </w:r>
      <w:r>
        <w:rPr>
          <w:rFonts w:ascii="Times New Roman" w:hAnsi="Times New Roman"/>
          <w:color w:val="000000"/>
          <w:sz w:val="22"/>
        </w:rPr>
        <w:t xml:space="preserve">. </w:t>
      </w:r>
      <w:bookmarkStart w:id="31" w:name="ole_link79"/>
      <w:bookmarkEnd w:id="31"/>
      <w:r>
        <w:rPr>
          <w:rFonts w:ascii="Times New Roman" w:hAnsi="Times New Roman"/>
          <w:color w:val="000000"/>
          <w:sz w:val="22"/>
        </w:rPr>
        <w:t xml:space="preserve">Executive agrees that the foregoing consideration represents settlement in full of all outstanding obligations owed to Executive by the Company, its parents, subsidiaries, and affiliates, and each of their respective current and former officers, directors,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Fonts w:ascii="Times New Roman" w:hAnsi="Times New Roman"/>
          <w:color w:val="000000"/>
          <w:sz w:val="22"/>
        </w:rPr>
        <w:t>employees, agents, investors, attorneys, shareholders, administrators, affiliates, benefit plans, plan administrators, professional employer organization or co-employer,</w:t>
      </w:r>
      <w:r>
        <w:rPr>
          <w:color w:val="000000"/>
        </w:rPr>
        <w:t xml:space="preserve"> </w:t>
      </w:r>
      <w:r>
        <w:rPr>
          <w:rFonts w:ascii="Times New Roman" w:hAnsi="Times New Roman"/>
          <w:color w:val="000000"/>
          <w:sz w:val="22"/>
        </w:rPr>
        <w:t xml:space="preserve">insurers, trustees, divisions, subsidiaries, predecessor and successor corporations, and assigns (collectively, the “Releasees”). Executive, on Executive’s own behalf and on behalf of Executive’s respective heirs, family members, executors, agents, and assigns, hereby and forever releases the Releasees </w:t>
      </w:r>
      <w:bookmarkStart w:id="32" w:name="ole_link10"/>
      <w:bookmarkEnd w:id="32"/>
      <w:r>
        <w:rPr>
          <w:rFonts w:ascii="Times New Roman" w:hAnsi="Times New Roman"/>
          <w:color w:val="000000"/>
          <w:sz w:val="22"/>
        </w:rPr>
        <w:t>from, and agrees not to sue concerning, or in any manner to institute, prosecute, or pursue, any claim, complaint, charge, duty, obligation, demand, or cause of action relating to any matters of any kind, whether presently known or unknown, suspected or unsuspected, that Executive may possess against any of the Releasees arising from any omissions, acts, facts, or damages that have occurred up until and including the date Executive signs this Agreement, including, without limitation: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2"/>
        </w:rPr>
        <w:t>a. any and all claims relating to or arising from Executive’s employment relationship with the Company and the termination of that relationship;</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b. any and all claims relating to, or arising from, Executive’s right to purchase, or actual purchase of shares of stock of the Company, including, without limitation, any claims for fraud, misrepresentation, breach of fiduciary duty, breach of duty under applicable state corporate law, and securities fraud under any state or federal law;</w:t>
      </w:r>
    </w:p>
    <w:p>
      <w:pPr>
        <w:pStyle w:val="TextBody"/>
        <w:bidi w:val="0"/>
        <w:jc w:val="left"/>
        <w:rPr/>
      </w:pPr>
      <w:r>
        <w:rPr/>
        <w:t> </w:t>
      </w:r>
    </w:p>
    <w:p>
      <w:pPr>
        <w:pStyle w:val="TextBody"/>
        <w:bidi w:val="0"/>
        <w:jc w:val="both"/>
        <w:rPr>
          <w:rFonts w:ascii="Times New Roman" w:hAnsi="Times New Roman"/>
          <w:sz w:val="20"/>
        </w:rPr>
      </w:pPr>
      <w:bookmarkStart w:id="33" w:name="ole_link36"/>
      <w:bookmarkEnd w:id="33"/>
      <w:r>
        <w:rPr>
          <w:rFonts w:ascii="Times New Roman" w:hAnsi="Times New Roman"/>
          <w:color w:val="000000"/>
          <w:sz w:val="22"/>
        </w:rPr>
        <w:t xml:space="preserve">c. 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w:t>
      </w:r>
      <w:bookmarkStart w:id="34" w:name="ole_link35"/>
      <w:bookmarkEnd w:id="34"/>
      <w:r>
        <w:rPr>
          <w:rFonts w:ascii="Times New Roman" w:hAnsi="Times New Roman"/>
          <w:color w:val="000000"/>
          <w:sz w:val="22"/>
        </w:rPr>
        <w:t>conversion, and disability benefits;</w:t>
      </w:r>
    </w:p>
    <w:p>
      <w:pPr>
        <w:pStyle w:val="TextBody"/>
        <w:bidi w:val="0"/>
        <w:jc w:val="left"/>
        <w:rPr/>
      </w:pPr>
      <w:r>
        <w:rPr/>
        <w:t> </w:t>
      </w:r>
    </w:p>
    <w:p>
      <w:pPr>
        <w:pStyle w:val="TextBody"/>
        <w:bidi w:val="0"/>
        <w:jc w:val="both"/>
        <w:rPr>
          <w:rFonts w:ascii="Times New Roman" w:hAnsi="Times New Roman"/>
          <w:sz w:val="20"/>
        </w:rPr>
      </w:pPr>
      <w:bookmarkStart w:id="35" w:name="ole_link12"/>
      <w:bookmarkEnd w:id="35"/>
      <w:r>
        <w:rPr>
          <w:rFonts w:ascii="Times New Roman" w:hAnsi="Times New Roman"/>
          <w:color w:val="000000"/>
          <w:sz w:val="22"/>
        </w:rPr>
        <w:t xml:space="preserve">d. any and </w:t>
      </w:r>
      <w:bookmarkStart w:id="36" w:name="ole_link11"/>
      <w:bookmarkEnd w:id="36"/>
      <w:r>
        <w:rPr>
          <w:rFonts w:ascii="Times New Roman" w:hAnsi="Times New Roman"/>
          <w:color w:val="000000"/>
          <w:sz w:val="22"/>
        </w:rPr>
        <w:t xml:space="preserve">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w:t>
      </w:r>
      <w:bookmarkStart w:id="37" w:name="ole_link49"/>
      <w:bookmarkStart w:id="38" w:name="ole_link50"/>
      <w:bookmarkEnd w:id="37"/>
      <w:bookmarkEnd w:id="38"/>
      <w:r>
        <w:rPr>
          <w:rFonts w:ascii="Times New Roman" w:hAnsi="Times New Roman"/>
          <w:color w:val="000000"/>
          <w:sz w:val="22"/>
        </w:rPr>
        <w:t xml:space="preserve">the Fair Credit Reporting Act, the Age Discrimination in Employment Act of 1967, the Older Workers Benefit Protection Act, the Employee Retirement Income Security Act of 1974, the Worker Adjustment and Retraining Notification Act, </w:t>
      </w:r>
      <w:bookmarkStart w:id="39" w:name="ole_link84"/>
      <w:bookmarkStart w:id="40" w:name="ole_link85"/>
      <w:bookmarkEnd w:id="39"/>
      <w:bookmarkEnd w:id="40"/>
      <w:r>
        <w:rPr>
          <w:rFonts w:ascii="Times New Roman" w:hAnsi="Times New Roman"/>
          <w:color w:val="000000"/>
          <w:sz w:val="22"/>
        </w:rPr>
        <w:t xml:space="preserve">the Family and Medical Leave Act, </w:t>
      </w:r>
      <w:bookmarkStart w:id="41" w:name="ole_link56"/>
      <w:bookmarkStart w:id="42" w:name="ole_link55"/>
      <w:bookmarkEnd w:id="41"/>
      <w:bookmarkEnd w:id="42"/>
      <w:r>
        <w:rPr>
          <w:rFonts w:ascii="Times New Roman" w:hAnsi="Times New Roman"/>
          <w:color w:val="000000"/>
          <w:sz w:val="22"/>
        </w:rPr>
        <w:t>the Immigration Reform and Control Act, the National Labor Relations Act, the California Family Rights Act, the California Labor Code, the California Workers’ Compensation Act, and the California Fair Employment and Housing Act;</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e. any and all claims for violation of the federal or any state constitution;</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f. any and all claims arising out of any other laws and regulations relating to employment or employment discrimination;</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g. any claim for any loss, cost, damage, or expense arising out of any dispute over the nonwithholding or other tax treatment of any of the proceeds received by Executive as a result of this Agreement; and</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h. any and all claims for attorneys’ fees and costs.</w:t>
      </w:r>
    </w:p>
    <w:p>
      <w:pPr>
        <w:pStyle w:val="TextBody"/>
        <w:bidi w:val="0"/>
        <w:jc w:val="left"/>
        <w:rPr/>
      </w:pPr>
      <w:r>
        <w:rPr/>
        <w:t> </w:t>
      </w:r>
    </w:p>
    <w:p>
      <w:pPr>
        <w:pStyle w:val="TextBody"/>
        <w:bidi w:val="0"/>
        <w:jc w:val="both"/>
        <w:rPr>
          <w:rFonts w:ascii="Times New Roman" w:hAnsi="Times New Roman"/>
          <w:sz w:val="20"/>
        </w:rPr>
      </w:pPr>
      <w:bookmarkStart w:id="43" w:name="ole_link31"/>
      <w:bookmarkStart w:id="44" w:name="ole_link32"/>
      <w:bookmarkEnd w:id="43"/>
      <w:bookmarkEnd w:id="44"/>
      <w:r>
        <w:rPr>
          <w:rFonts w:ascii="Times New Roman" w:hAnsi="Times New Roman"/>
          <w:color w:val="000000"/>
          <w:sz w:val="22"/>
        </w:rPr>
        <w:t xml:space="preserve">Executive agrees that the release set forth in this section shall be and remain in effect in all respects as a complete general release as to the matters released. This release does not extend to any obligations incurred under this Agreement. </w:t>
      </w:r>
      <w:bookmarkStart w:id="45" w:name="ole_link62"/>
      <w:bookmarkStart w:id="46" w:name="ole_link29"/>
      <w:bookmarkStart w:id="47" w:name="ole_link30"/>
      <w:bookmarkStart w:id="48" w:name="ole_link63"/>
      <w:bookmarkEnd w:id="45"/>
      <w:bookmarkEnd w:id="46"/>
      <w:bookmarkEnd w:id="47"/>
      <w:bookmarkEnd w:id="48"/>
      <w:r>
        <w:rPr>
          <w:rFonts w:ascii="Times New Roman" w:hAnsi="Times New Roman"/>
          <w:color w:val="000000"/>
          <w:sz w:val="22"/>
        </w:rPr>
        <w:t xml:space="preserve">This release </w:t>
      </w:r>
      <w:bookmarkStart w:id="49" w:name="ole_link8"/>
      <w:bookmarkStart w:id="50" w:name="ole_link7"/>
      <w:bookmarkEnd w:id="49"/>
      <w:bookmarkEnd w:id="50"/>
      <w:r>
        <w:rPr>
          <w:rFonts w:ascii="Times New Roman" w:hAnsi="Times New Roman"/>
          <w:color w:val="000000"/>
          <w:sz w:val="22"/>
        </w:rPr>
        <w:t>does not release claims that cannot be released as a matter of law. Any</w:t>
      </w:r>
      <w:r>
        <w:rPr>
          <w:rFonts w:ascii="Times New Roman" w:hAnsi="Times New Roman"/>
          <w:color w:val="000000"/>
          <w:sz w:val="20"/>
        </w:rPr>
        <w:t xml:space="preserve"> </w:t>
      </w:r>
      <w:r>
        <w:rPr>
          <w:rFonts w:ascii="Times New Roman" w:hAnsi="Times New Roman"/>
          <w:color w:val="000000"/>
          <w:sz w:val="22"/>
        </w:rPr>
        <w:t>and all disputed wage claims that are released herein shall be subject to binding arbitration in accordance with this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2"/>
        </w:rPr>
        <w:t>Agreement, except as required by applicable law. This release does not extend to any right Executive may have to unemployment compensation benefits.</w:t>
      </w:r>
      <w:r>
        <w:rPr>
          <w:rFonts w:ascii="Times New Roman" w:hAnsi="Times New Roman"/>
          <w:color w:val="000000"/>
          <w:sz w:val="20"/>
        </w:rPr>
        <w:t xml:space="preserve"> </w:t>
      </w:r>
    </w:p>
    <w:p>
      <w:pPr>
        <w:pStyle w:val="TextBody"/>
        <w:bidi w:val="0"/>
        <w:jc w:val="both"/>
        <w:rPr/>
      </w:pPr>
      <w:r>
        <w:rPr/>
        <w:t> </w:t>
      </w:r>
    </w:p>
    <w:p>
      <w:pPr>
        <w:pStyle w:val="TextBody"/>
        <w:bidi w:val="0"/>
        <w:spacing w:before="0" w:after="0"/>
        <w:jc w:val="both"/>
        <w:rPr>
          <w:rFonts w:ascii="Times New Roman" w:hAnsi="Times New Roman"/>
          <w:color w:val="000000"/>
          <w:sz w:val="22"/>
          <w:u w:val="single"/>
        </w:rPr>
      </w:pPr>
      <w:r>
        <w:rPr>
          <w:rFonts w:ascii="Times New Roman" w:hAnsi="Times New Roman"/>
          <w:color w:val="000000"/>
          <w:sz w:val="22"/>
          <w:u w:val="single"/>
        </w:rPr>
        <w:t>5.</w:t>
      </w:r>
    </w:p>
    <w:p>
      <w:pPr>
        <w:pStyle w:val="TextBody"/>
        <w:bidi w:val="0"/>
        <w:jc w:val="both"/>
        <w:rPr/>
      </w:pPr>
      <w:r>
        <w:rPr>
          <w:rFonts w:ascii="Times New Roman" w:hAnsi="Times New Roman"/>
          <w:color w:val="000000"/>
          <w:sz w:val="22"/>
          <w:u w:val="single"/>
        </w:rPr>
        <w:t>Acknowledgment of Waiver of Claims under ADEA</w:t>
      </w:r>
      <w:r>
        <w:rPr>
          <w:rFonts w:ascii="Times New Roman" w:hAnsi="Times New Roman"/>
          <w:color w:val="000000"/>
          <w:sz w:val="22"/>
        </w:rPr>
        <w:t xml:space="preserve">. Executive acknowledges that Executive is waiving and releasing any rights Executive may have under the Age Discrimination in Employment Act of 1967 (“ADEA”), and that this waiver and release is knowing and voluntary. Executive agrees that this waiver and release does not apply to any rights or claims that may arise under the ADEA after the date Executive signs this Agreement. Executive acknowledges that the consideration given for this waiver and release is in addition to anything of value to which Executive was already entitled. Executive further acknowledges that Executive has been advised by this writing that: (a) Executive should consult with an attorney </w:t>
      </w:r>
      <w:r>
        <w:rPr>
          <w:rFonts w:ascii="Times New Roman" w:hAnsi="Times New Roman"/>
          <w:color w:val="000000"/>
          <w:sz w:val="22"/>
          <w:u w:val="single"/>
        </w:rPr>
        <w:t>prior</w:t>
      </w:r>
      <w:r>
        <w:rPr>
          <w:color w:val="000000"/>
        </w:rPr>
        <w:t xml:space="preserve"> </w:t>
      </w:r>
      <w:r>
        <w:rPr>
          <w:rFonts w:ascii="Times New Roman" w:hAnsi="Times New Roman"/>
          <w:color w:val="000000"/>
          <w:sz w:val="22"/>
        </w:rPr>
        <w:t>to executing this Agreement; (b) Executive has twenty-one (21) days within which to consider this Agreement; (c) Executive has seven (7) days following Executive’s execution of this Agreement to revoke this Agreement; (d) this Agreement shall not be effective until after the revocation period has expired; and (e) nothing in this Agreement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Agreement and returns it to the Company in less than the 21-day period identified above, Executive hereby acknowledges that Executive has freely and voluntarily chosen to waive the time period allotted for considering this Agreement. Executive acknowledges and understands that revocation must be accomplished by a written notification to the person executing this Agreement on the Company’s behalf that is received prior to the Effective Date. The Parties agree that changes, whether material or immaterial, do not restart the running of the 21-day period.</w:t>
      </w:r>
    </w:p>
    <w:p>
      <w:pPr>
        <w:pStyle w:val="TextBody"/>
        <w:bidi w:val="0"/>
        <w:jc w:val="left"/>
        <w:rPr/>
      </w:pPr>
      <w:r>
        <w:rPr/>
        <w:t> </w:t>
      </w:r>
    </w:p>
    <w:p>
      <w:pPr>
        <w:pStyle w:val="TextBody"/>
        <w:bidi w:val="0"/>
        <w:jc w:val="both"/>
        <w:rPr>
          <w:rFonts w:ascii="Times New Roman" w:hAnsi="Times New Roman"/>
          <w:color w:val="000000"/>
          <w:sz w:val="22"/>
          <w:u w:val="single"/>
        </w:rPr>
      </w:pPr>
      <w:r>
        <w:rPr>
          <w:rFonts w:ascii="Times New Roman" w:hAnsi="Times New Roman"/>
          <w:color w:val="000000"/>
          <w:sz w:val="22"/>
          <w:u w:val="single"/>
        </w:rPr>
        <w:t>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pPr>
      <w:r>
        <w:rPr>
          <w:rFonts w:ascii="Times New Roman" w:hAnsi="Times New Roman"/>
          <w:color w:val="000000"/>
          <w:sz w:val="22"/>
          <w:u w:val="single"/>
        </w:rPr>
        <w:t>California Civil Code Section 1542</w:t>
      </w:r>
      <w:r>
        <w:rPr>
          <w:rFonts w:ascii="Times New Roman" w:hAnsi="Times New Roman"/>
          <w:color w:val="000000"/>
          <w:sz w:val="22"/>
        </w:rPr>
        <w:t xml:space="preserve">. </w:t>
      </w:r>
      <w:bookmarkStart w:id="51" w:name="ole_link3"/>
      <w:bookmarkEnd w:id="51"/>
      <w:r>
        <w:rPr>
          <w:rFonts w:ascii="Times New Roman" w:hAnsi="Times New Roman"/>
          <w:color w:val="000000"/>
          <w:sz w:val="22"/>
        </w:rPr>
        <w:t>Executive acknowledges that Executive has been advised to consult with legal counsel and is familiar with the provisions of California Civil Code Section 1542, a statute that otherwise prohibits the release of unknown claims, which provides as follows: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rFonts w:ascii="Times New Roman" w:hAnsi="Times New Roman"/>
          <w:sz w:val="20"/>
        </w:rPr>
      </w:pPr>
      <w:r>
        <w:rPr>
          <w:rFonts w:ascii="Times New Roman" w:hAnsi="Times New Roman"/>
          <w:color w:val="000000"/>
          <w:sz w:val="22"/>
        </w:rPr>
        <w:br/>
      </w:r>
      <w:r>
        <w:rPr>
          <w:rFonts w:ascii="Times New Roman" w:hAnsi="Times New Roman"/>
          <w:caps/>
          <w:color w:val="000000"/>
          <w:sz w:val="22"/>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jc w:val="left"/>
        <w:rPr/>
      </w:pPr>
      <w:r>
        <w:rPr/>
        <w:t> </w:t>
      </w:r>
    </w:p>
    <w:p>
      <w:pPr>
        <w:pStyle w:val="TextBody"/>
        <w:bidi w:val="0"/>
        <w:jc w:val="both"/>
        <w:rPr>
          <w:rFonts w:ascii="Times New Roman" w:hAnsi="Times New Roman"/>
          <w:sz w:val="20"/>
        </w:rPr>
      </w:pPr>
      <w:bookmarkStart w:id="52" w:name="ole_link22"/>
      <w:bookmarkEnd w:id="52"/>
      <w:r>
        <w:rPr>
          <w:rFonts w:ascii="Times New Roman" w:hAnsi="Times New Roman"/>
          <w:color w:val="000000"/>
          <w:sz w:val="22"/>
        </w:rPr>
        <w:t xml:space="preserve">Executive, being aware of said code section, agrees to expressly waive any rights </w:t>
      </w:r>
      <w:bookmarkStart w:id="53" w:name="ole_link21"/>
      <w:bookmarkEnd w:id="53"/>
      <w:r>
        <w:rPr>
          <w:rFonts w:ascii="Times New Roman" w:hAnsi="Times New Roman"/>
          <w:color w:val="000000"/>
          <w:sz w:val="22"/>
        </w:rPr>
        <w:t>Executive may have thereunder, as well as under any other statute or common law principles of similar effect.</w:t>
      </w:r>
    </w:p>
    <w:p>
      <w:pPr>
        <w:pStyle w:val="TextBody"/>
        <w:bidi w:val="0"/>
        <w:jc w:val="left"/>
        <w:rPr/>
      </w:pPr>
      <w:r>
        <w:rPr/>
        <w:t> </w:t>
      </w:r>
    </w:p>
    <w:p>
      <w:pPr>
        <w:pStyle w:val="TextBody"/>
        <w:bidi w:val="0"/>
        <w:spacing w:before="0" w:after="0"/>
        <w:jc w:val="both"/>
        <w:rPr>
          <w:rFonts w:ascii="Times New Roman" w:hAnsi="Times New Roman"/>
          <w:color w:val="000000"/>
          <w:sz w:val="22"/>
          <w:u w:val="single"/>
        </w:rPr>
      </w:pPr>
      <w:r>
        <w:rPr>
          <w:rFonts w:ascii="Times New Roman" w:hAnsi="Times New Roman"/>
          <w:color w:val="000000"/>
          <w:sz w:val="22"/>
          <w:u w:val="single"/>
        </w:rPr>
        <w:t>7.</w:t>
      </w:r>
    </w:p>
    <w:p>
      <w:pPr>
        <w:pStyle w:val="TextBody"/>
        <w:bidi w:val="0"/>
        <w:jc w:val="both"/>
        <w:rPr/>
      </w:pPr>
      <w:r>
        <w:rPr>
          <w:rFonts w:ascii="Times New Roman" w:hAnsi="Times New Roman"/>
          <w:color w:val="000000"/>
          <w:sz w:val="22"/>
          <w:u w:val="single"/>
        </w:rPr>
        <w:t>No Pending or Future Lawsuits</w:t>
      </w:r>
      <w:r>
        <w:rPr>
          <w:rFonts w:ascii="Times New Roman" w:hAnsi="Times New Roman"/>
          <w:color w:val="000000"/>
          <w:sz w:val="22"/>
        </w:rPr>
        <w:t xml:space="preserve">. Executive represents that Executive has no lawsuits, claims, or actions pending in Executive’s name, or on behalf of any other person or entity, against the Company or any of the other Releasees. Executive also represents that Executive does not intend to bring any claims on Executive’s own behalf or on behalf of any other person or entity against the Company or any of the other Releasees. </w:t>
      </w:r>
    </w:p>
    <w:p>
      <w:pPr>
        <w:pStyle w:val="TextBody"/>
        <w:bidi w:val="0"/>
        <w:jc w:val="left"/>
        <w:rPr/>
      </w:pPr>
      <w:r>
        <w:rPr/>
        <w:t> </w:t>
      </w:r>
    </w:p>
    <w:p>
      <w:pPr>
        <w:pStyle w:val="TextBody"/>
        <w:bidi w:val="0"/>
        <w:spacing w:before="0" w:after="0"/>
        <w:jc w:val="both"/>
        <w:rPr>
          <w:rFonts w:ascii="Times New Roman" w:hAnsi="Times New Roman"/>
          <w:color w:val="000000"/>
          <w:sz w:val="22"/>
          <w:u w:val="single"/>
        </w:rPr>
      </w:pPr>
      <w:r>
        <w:rPr>
          <w:rFonts w:ascii="Times New Roman" w:hAnsi="Times New Roman"/>
          <w:color w:val="000000"/>
          <w:sz w:val="22"/>
          <w:u w:val="single"/>
        </w:rPr>
        <w:t>8.</w:t>
      </w:r>
    </w:p>
    <w:p>
      <w:pPr>
        <w:pStyle w:val="TextBody"/>
        <w:bidi w:val="0"/>
        <w:jc w:val="both"/>
        <w:rPr/>
      </w:pPr>
      <w:r>
        <w:rPr>
          <w:rFonts w:ascii="Times New Roman" w:hAnsi="Times New Roman"/>
          <w:color w:val="000000"/>
          <w:sz w:val="22"/>
          <w:u w:val="single"/>
        </w:rPr>
        <w:t>Trade Secrets and Confidential Information/Company Property</w:t>
      </w:r>
      <w:r>
        <w:rPr>
          <w:rFonts w:ascii="Times New Roman" w:hAnsi="Times New Roman"/>
          <w:color w:val="000000"/>
          <w:sz w:val="22"/>
        </w:rPr>
        <w:t xml:space="preserve">. Executive acknowledges that, separate from this Agreement, Executive remains under continuing obligations to the Company under the Confidentiality Agreement, including the provisions therein regarding nondisclosure of the Company’s trade secrets and confidential and proprietary information. Executive acknowledges that the Company will not enforce the post-employment restrictions in Section 3(b) of the Confidentiality Agreement; provided, however, that Executive remains bound by all other continuing obligations under the Confidentiality Agreement, including Executive’s confidentiality obligations thereof. Executive agrees at all times hereafter to hold in the strictest confidence, and not to use or disclose to any person or entity, any Confidential Information of the Company, subject to the “Protected Activity Not Prohibited” Section below. Executive understands that “Confidential Information” means any Company or associated third party proprietary information, technical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rFonts w:ascii="Times New Roman" w:hAnsi="Times New Roman"/>
          <w:color w:val="000000"/>
          <w:sz w:val="22"/>
        </w:rPr>
        <w:t>data, trade secrets or know-how, including, but not limited to, research, product plans, products, services, customer lists and customers (including, but not limited to, customers of the Company on whom Executive has called or with whom Executive became acquainted during the term of Executive’s employment), markets, software, developments, inventions, processes, formulas, technology, designs, drawings, engineering, hardware configuration information, marketing, finances, or other business information disclosed to Executive by the Company either directly or indirectly, in writing, orally, or by drawings or observation of parts or equipment. Executive further understands that Confidential Information does not include any of the foregoing items that have become publicly known and made generally available through no wrongful act of Executive’s or of others who were under confidentiality obligations as to the item or items involved or improvements or new versions thereof. Further, Confidential Information does not include general knowledge, skill, and experience Executive has acquired during the course of or in connection with Executive’s employment with the Company or a former employer. Executive hereby grants consent to notification by the Company to any new employer about Executive’s obligations under this Section. Executive represents that Executive has not to date misused or disclosed Confidential Information to any unauthorized party. Executive’s signature below constitutes Executive’s certification under penalty of perjury that Executive has returned all documents and other items provided to Executive by the Company (with the exception of a copy of the Executive Handbook and personnel documents specifically relating to Executive), developed or obtained by Executive in connection with Executive’s employment with the Company, or otherwise belonging to the Company.</w:t>
      </w:r>
      <w:r>
        <w:rPr>
          <w:color w:val="000000"/>
        </w:rPr>
        <w:t xml:space="preserve"> </w:t>
      </w:r>
    </w:p>
    <w:p>
      <w:pPr>
        <w:pStyle w:val="TextBody"/>
        <w:bidi w:val="0"/>
        <w:jc w:val="both"/>
        <w:rPr/>
      </w:pPr>
      <w:r>
        <w:rPr/>
        <w:t> </w:t>
      </w:r>
    </w:p>
    <w:p>
      <w:pPr>
        <w:pStyle w:val="TextBody"/>
        <w:bidi w:val="0"/>
        <w:jc w:val="both"/>
        <w:rPr>
          <w:rFonts w:ascii="Times New Roman" w:hAnsi="Times New Roman"/>
          <w:color w:val="000000"/>
          <w:sz w:val="22"/>
          <w:u w:val="single"/>
        </w:rPr>
      </w:pPr>
      <w:r>
        <w:rPr>
          <w:rFonts w:ascii="Times New Roman" w:hAnsi="Times New Roman"/>
          <w:color w:val="000000"/>
          <w:sz w:val="22"/>
          <w:u w:val="single"/>
        </w:rPr>
        <w:t>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pPr>
      <w:r>
        <w:rPr>
          <w:rFonts w:ascii="Times New Roman" w:hAnsi="Times New Roman"/>
          <w:color w:val="000000"/>
          <w:sz w:val="22"/>
          <w:u w:val="single"/>
        </w:rPr>
        <w:t>No Cooperation</w:t>
      </w:r>
      <w:r>
        <w:rPr>
          <w:rFonts w:ascii="Times New Roman" w:hAnsi="Times New Roman"/>
          <w:color w:val="000000"/>
          <w:sz w:val="22"/>
        </w:rPr>
        <w:t xml:space="preserve">. </w:t>
      </w:r>
      <w:bookmarkStart w:id="54" w:name="ole_link14"/>
      <w:bookmarkStart w:id="55" w:name="ole_link13"/>
      <w:bookmarkStart w:id="56" w:name="ole_link66"/>
      <w:bookmarkEnd w:id="54"/>
      <w:bookmarkEnd w:id="55"/>
      <w:bookmarkEnd w:id="56"/>
      <w:r>
        <w:rPr>
          <w:rFonts w:ascii="Times New Roman" w:hAnsi="Times New Roman"/>
          <w:color w:val="000000"/>
          <w:sz w:val="22"/>
        </w:rPr>
        <w:t>Subject to the Protected Activity provision, Executive agrees that Executive will not knowingly encourage, counsel, or assist any attorneys or their clients in the presentation or prosecution of any disputes, differences, grievances, claims, charges, or complaints by any third party against any of the Releasees, unless under a subpoena or other court order to do so</w:t>
      </w:r>
      <w:r>
        <w:rPr>
          <w:color w:val="000000"/>
        </w:rPr>
        <w:t xml:space="preserve"> </w:t>
      </w:r>
      <w:r>
        <w:rPr>
          <w:rFonts w:ascii="Times New Roman" w:hAnsi="Times New Roman"/>
          <w:color w:val="000000"/>
          <w:sz w:val="22"/>
        </w:rPr>
        <w:t xml:space="preserve">or upon </w:t>
      </w:r>
      <w:r>
        <w:rPr>
          <w:rFonts w:ascii="Times New Roman" w:hAnsi="Times New Roman"/>
          <w:color w:val="333333"/>
          <w:sz w:val="22"/>
        </w:rPr>
        <w:t>written request from an administrative agency or the legislature</w:t>
      </w:r>
      <w:r>
        <w:rPr>
          <w:color w:val="000000"/>
        </w:rPr>
        <w:t xml:space="preserve"> </w:t>
      </w:r>
      <w:r>
        <w:rPr>
          <w:rFonts w:ascii="Times New Roman" w:hAnsi="Times New Roman"/>
          <w:color w:val="000000"/>
          <w:sz w:val="22"/>
        </w:rPr>
        <w:t xml:space="preserve">or as related directly to the ADEA waiver in this Agreement. Executive agrees both to immediately notify the Company upon receipt of any such subpoena or court order or </w:t>
      </w:r>
      <w:r>
        <w:rPr>
          <w:rFonts w:ascii="Times New Roman" w:hAnsi="Times New Roman"/>
          <w:color w:val="333333"/>
          <w:sz w:val="22"/>
        </w:rPr>
        <w:t>written request from an administrative agency or the legislature</w:t>
      </w:r>
      <w:r>
        <w:rPr>
          <w:rFonts w:ascii="Times New Roman" w:hAnsi="Times New Roman"/>
          <w:color w:val="000000"/>
          <w:sz w:val="22"/>
        </w:rPr>
        <w:t>, and to furnish, within three (3) business days of its receipt, a copy of such subpoena or other court order</w:t>
      </w:r>
      <w:bookmarkStart w:id="57" w:name="ole_link46"/>
      <w:bookmarkStart w:id="58" w:name="ole_link45"/>
      <w:bookmarkEnd w:id="57"/>
      <w:bookmarkEnd w:id="58"/>
      <w:r>
        <w:rPr>
          <w:color w:val="000000"/>
        </w:rPr>
        <w:t xml:space="preserve"> </w:t>
      </w:r>
      <w:r>
        <w:rPr>
          <w:rFonts w:ascii="Times New Roman" w:hAnsi="Times New Roman"/>
          <w:color w:val="000000"/>
          <w:sz w:val="22"/>
        </w:rPr>
        <w:t xml:space="preserve">or </w:t>
      </w:r>
      <w:r>
        <w:rPr>
          <w:rFonts w:ascii="Times New Roman" w:hAnsi="Times New Roman"/>
          <w:color w:val="333333"/>
          <w:sz w:val="22"/>
        </w:rPr>
        <w:t>written request from an administrative agency or the legislature</w:t>
      </w:r>
      <w:r>
        <w:rPr>
          <w:rFonts w:ascii="Times New Roman" w:hAnsi="Times New Roman"/>
          <w:color w:val="000000"/>
          <w:sz w:val="22"/>
        </w:rPr>
        <w:t>. If approached by anyone for counsel or assistance in the presentation or prosecution of any disputes, differences, grievances, claims, charges, or complaints against any of the Releasees, Executive shall state no more than that Executive cannot provide counsel or assistance.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r>
        <w:rPr/>
        <w:t> </w:t>
      </w:r>
    </w:p>
    <w:p>
      <w:pPr>
        <w:pStyle w:val="TextBody"/>
        <w:bidi w:val="0"/>
        <w:jc w:val="both"/>
        <w:rPr>
          <w:rFonts w:ascii="Times New Roman" w:hAnsi="Times New Roman"/>
          <w:color w:val="000000"/>
          <w:sz w:val="22"/>
          <w:u w:val="single"/>
        </w:rPr>
      </w:pPr>
      <w:r>
        <w:rPr>
          <w:rFonts w:ascii="Times New Roman" w:hAnsi="Times New Roman"/>
          <w:color w:val="000000"/>
          <w:sz w:val="22"/>
          <w:u w:val="single"/>
        </w:rPr>
        <w:t>10.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pPr>
      <w:bookmarkStart w:id="59" w:name="ole_link1"/>
      <w:bookmarkEnd w:id="59"/>
      <w:r>
        <w:rPr>
          <w:rFonts w:ascii="Times New Roman" w:hAnsi="Times New Roman"/>
          <w:color w:val="000000"/>
          <w:sz w:val="22"/>
          <w:u w:val="single"/>
        </w:rPr>
        <w:t>Protected Activity Not Prohibited</w:t>
      </w:r>
      <w:r>
        <w:rPr>
          <w:rFonts w:ascii="Times New Roman" w:hAnsi="Times New Roman"/>
          <w:color w:val="000000"/>
          <w:sz w:val="22"/>
        </w:rPr>
        <w:t xml:space="preserve">. Executive understands that nothing in this Agreement shall in any way limit or prohibit Executive from engaging in any Protected Activity. Protected Activity includes: (i) filing and/or pursuing a charge, complaint, or report with, or otherwise communicating, cooperating, or participating in any investigation or proceeding that may be conducted by any federal, state or local government agency or commission, including the Securities and Exchange Commission, the Equal Employment Opportunity Commission, the Occupational Safety and Health Administration, and the National Labor Relations Board (“Government Agencies”); and/or (ii) discussing or disclosing information about unlawful acts in the workplace, such as harassment or discrimination or any other conduct that Executive has reason to believe is unlawful. Notwithstanding the foregoing, Executive agrees to take all reasonable precautions to prevent any unauthorized use or disclosure of any Company trade secrets, proprietary information, or confidential information that does not involve unlawful acts in the workplace or the activity otherwise protected herein. Executive further understands that Protected Activity does not include the disclosure of any Company attorney-client privileged communications or attorney work product. Any language in the Confidentiality Agreement regarding Executive’s right to engage in protected conduct that conflicts with, or is contrary to, this Section is superseded by this Agreement. In addition, pursuant to the Defend Trade Secrets Act of 2016, Executive is notified that an individual will not be held criminally or civilly liable under any federal or state trade secret law for the disclosure of a trade secret that (i) is made in confidence to a federal, state, or local government official (directly or indirectly) or to an attorney </w:t>
      </w:r>
      <w:r>
        <w:rPr>
          <w:rFonts w:ascii="Times New Roman" w:hAnsi="Times New Roman"/>
          <w:i/>
          <w:color w:val="000000"/>
          <w:sz w:val="22"/>
        </w:rPr>
        <w:t>solely</w:t>
      </w:r>
      <w:r>
        <w:rPr>
          <w:color w:val="000000"/>
        </w:rPr>
        <w:t xml:space="preserve"> </w:t>
      </w:r>
      <w:r>
        <w:rPr>
          <w:rFonts w:ascii="Times New Roman" w:hAnsi="Times New Roman"/>
          <w:color w:val="000000"/>
          <w:sz w:val="22"/>
        </w:rPr>
        <w:t xml:space="preserve">for the purpose of reporting or investigating a suspected violation of law, or (ii) is made in a complaint or other document filed in a lawsuit or other proceeding, if (and only if) such filing is made under seal. In addition, an individual who files a lawsuit for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rFonts w:ascii="Times New Roman" w:hAnsi="Times New Roman"/>
          <w:color w:val="000000"/>
          <w:sz w:val="22"/>
        </w:rPr>
        <w:t>retaliation by an employer for reporting a suspected violation of law may disclose the trade secret to the individual’s attorney and use the trade secret information in the court proceeding, if the individual files any document containing the trade secret under seal and does not disclose the trade secret, except pursuant to court order.</w:t>
      </w:r>
      <w:r>
        <w:rPr>
          <w:color w:val="000000"/>
        </w:rPr>
        <w:t xml:space="preserve"> </w:t>
      </w:r>
    </w:p>
    <w:p>
      <w:pPr>
        <w:pStyle w:val="TextBody"/>
        <w:bidi w:val="0"/>
        <w:jc w:val="left"/>
        <w:rPr/>
      </w:pPr>
      <w:r>
        <w:rPr/>
        <w:t> </w:t>
      </w:r>
    </w:p>
    <w:p>
      <w:pPr>
        <w:pStyle w:val="TextBody"/>
        <w:bidi w:val="0"/>
        <w:spacing w:before="0" w:after="0"/>
        <w:jc w:val="both"/>
        <w:rPr>
          <w:rFonts w:ascii="Times New Roman" w:hAnsi="Times New Roman"/>
          <w:color w:val="000000"/>
          <w:sz w:val="22"/>
          <w:u w:val="single"/>
        </w:rPr>
      </w:pPr>
      <w:r>
        <w:rPr>
          <w:rFonts w:ascii="Times New Roman" w:hAnsi="Times New Roman"/>
          <w:color w:val="000000"/>
          <w:sz w:val="22"/>
          <w:u w:val="single"/>
        </w:rPr>
        <w:t>11.</w:t>
      </w:r>
    </w:p>
    <w:p>
      <w:pPr>
        <w:pStyle w:val="TextBody"/>
        <w:bidi w:val="0"/>
        <w:jc w:val="both"/>
        <w:rPr/>
      </w:pPr>
      <w:r>
        <w:rPr>
          <w:rFonts w:ascii="Times New Roman" w:hAnsi="Times New Roman"/>
          <w:color w:val="000000"/>
          <w:sz w:val="22"/>
          <w:u w:val="single"/>
        </w:rPr>
        <w:t>Nondisparagement</w:t>
      </w:r>
      <w:r>
        <w:rPr>
          <w:rFonts w:ascii="Times New Roman" w:hAnsi="Times New Roman"/>
          <w:color w:val="000000"/>
          <w:sz w:val="22"/>
        </w:rPr>
        <w:t xml:space="preserve">. Subject to the “Protected Activity Not Prohibited” Section below, Executive agrees to refrain from any disparaging statements about the Company or any of the other Releasees including, without limitation, the business, products, intellectual property, financial standing, future, or employment/compensation/benefit practices of the Company. The Company will endeavor to use reasonable means to ensure that its officers and the members of its Board of Directors refrain from making any disparaging statements about Executive. Executive shall direct any inquiries by potential future employers to the Company’s human resources department, which shall use its best efforts to provide only the Executive’s last position and dates of employment. </w:t>
      </w:r>
    </w:p>
    <w:p>
      <w:pPr>
        <w:pStyle w:val="TextBody"/>
        <w:bidi w:val="0"/>
        <w:jc w:val="left"/>
        <w:rPr/>
      </w:pPr>
      <w:r>
        <w:rPr/>
        <w:t> </w:t>
      </w:r>
    </w:p>
    <w:p>
      <w:pPr>
        <w:pStyle w:val="TextBody"/>
        <w:bidi w:val="0"/>
        <w:spacing w:before="0" w:after="0"/>
        <w:jc w:val="both"/>
        <w:rPr>
          <w:rFonts w:ascii="Times New Roman" w:hAnsi="Times New Roman"/>
          <w:color w:val="000000"/>
          <w:sz w:val="22"/>
          <w:u w:val="single"/>
        </w:rPr>
      </w:pPr>
      <w:r>
        <w:rPr>
          <w:rFonts w:ascii="Times New Roman" w:hAnsi="Times New Roman"/>
          <w:color w:val="000000"/>
          <w:sz w:val="22"/>
          <w:u w:val="single"/>
        </w:rPr>
        <w:t>12.</w:t>
      </w:r>
    </w:p>
    <w:p>
      <w:pPr>
        <w:pStyle w:val="TextBody"/>
        <w:bidi w:val="0"/>
        <w:jc w:val="both"/>
        <w:rPr/>
      </w:pPr>
      <w:r>
        <w:rPr>
          <w:rFonts w:ascii="Times New Roman" w:hAnsi="Times New Roman"/>
          <w:color w:val="000000"/>
          <w:sz w:val="22"/>
          <w:u w:val="single"/>
        </w:rPr>
        <w:t>Breach</w:t>
      </w:r>
      <w:r>
        <w:rPr>
          <w:rFonts w:ascii="Times New Roman" w:hAnsi="Times New Roman"/>
          <w:color w:val="000000"/>
          <w:sz w:val="22"/>
        </w:rPr>
        <w:t xml:space="preserve">. In addition to the rights provided in the “Attorneys’ Fees” section below, Executive acknowledges and agrees that any material breach of this Agreement, unless such breach constitutes a legal action by Executive challenging or seeking a determination in good faith of the validity of the waiver herein under the ADEA, or of any provision of the Confidentiality Agreement shall entitle the Company immediately to recover and/or cease providing the consideration provided to Executive under this Agreement and to obtain damages, except as provided by law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xml:space="preserve">, that the Company shall not recover One Hundred Dollars ($100.00) of the consideration already paid pursuant to this Agreement and such amount shall serve as full and complete consideration for the promises and obligations assumed by Executive under this Agreement and the Confidentiality Agreement. </w:t>
      </w:r>
    </w:p>
    <w:p>
      <w:pPr>
        <w:pStyle w:val="TextBody"/>
        <w:bidi w:val="0"/>
        <w:jc w:val="left"/>
        <w:rPr/>
      </w:pPr>
      <w:r>
        <w:rPr/>
        <w:t> </w:t>
      </w:r>
    </w:p>
    <w:p>
      <w:pPr>
        <w:pStyle w:val="TextBody"/>
        <w:bidi w:val="0"/>
        <w:spacing w:before="0" w:after="0"/>
        <w:jc w:val="both"/>
        <w:rPr>
          <w:rFonts w:ascii="Times New Roman" w:hAnsi="Times New Roman"/>
          <w:color w:val="000000"/>
          <w:sz w:val="22"/>
          <w:u w:val="single"/>
        </w:rPr>
      </w:pPr>
      <w:r>
        <w:rPr>
          <w:rFonts w:ascii="Times New Roman" w:hAnsi="Times New Roman"/>
          <w:color w:val="000000"/>
          <w:sz w:val="22"/>
          <w:u w:val="single"/>
        </w:rPr>
        <w:t>13.</w:t>
      </w:r>
    </w:p>
    <w:p>
      <w:pPr>
        <w:pStyle w:val="TextBody"/>
        <w:bidi w:val="0"/>
        <w:jc w:val="both"/>
        <w:rPr/>
      </w:pPr>
      <w:r>
        <w:rPr>
          <w:rFonts w:ascii="Times New Roman" w:hAnsi="Times New Roman"/>
          <w:color w:val="000000"/>
          <w:sz w:val="22"/>
          <w:u w:val="single"/>
        </w:rPr>
        <w:t>No Admission of Liability</w:t>
      </w:r>
      <w:r>
        <w:rPr>
          <w:rFonts w:ascii="Times New Roman" w:hAnsi="Times New Roman"/>
          <w:color w:val="000000"/>
          <w:sz w:val="22"/>
        </w:rPr>
        <w:t>. Executive understands and acknowledges that with respect to all claims released herein, this Agreement constitutes a compromise and settlement of any and all actual or potential disputed claims by Executive unless such claims were explicitly not released by the release in this Agreement. No action taken by the Company hereto, either previously or in connection with this Agreement, shall be deemed or construed to be (a) an admission of the truth or falsity of any actual or potential claims or (b) an acknowledgment or admission by the Company of any fault or liability whatsoever to Executive or to any third party.</w:t>
      </w:r>
    </w:p>
    <w:p>
      <w:pPr>
        <w:pStyle w:val="TextBody"/>
        <w:bidi w:val="0"/>
        <w:jc w:val="left"/>
        <w:rPr/>
      </w:pPr>
      <w:r>
        <w:rPr/>
        <w:t> </w:t>
      </w:r>
    </w:p>
    <w:p>
      <w:pPr>
        <w:pStyle w:val="TextBody"/>
        <w:bidi w:val="0"/>
        <w:spacing w:before="0" w:after="0"/>
        <w:jc w:val="both"/>
        <w:rPr>
          <w:rFonts w:ascii="Times New Roman" w:hAnsi="Times New Roman"/>
          <w:color w:val="000000"/>
          <w:sz w:val="22"/>
          <w:u w:val="single"/>
        </w:rPr>
      </w:pPr>
      <w:r>
        <w:rPr>
          <w:rFonts w:ascii="Times New Roman" w:hAnsi="Times New Roman"/>
          <w:color w:val="000000"/>
          <w:sz w:val="22"/>
          <w:u w:val="single"/>
        </w:rPr>
        <w:t>14.</w:t>
      </w:r>
    </w:p>
    <w:p>
      <w:pPr>
        <w:pStyle w:val="TextBody"/>
        <w:bidi w:val="0"/>
        <w:jc w:val="both"/>
        <w:rPr/>
      </w:pPr>
      <w:r>
        <w:rPr>
          <w:rFonts w:ascii="Times New Roman" w:hAnsi="Times New Roman"/>
          <w:color w:val="000000"/>
          <w:sz w:val="22"/>
          <w:u w:val="single"/>
        </w:rPr>
        <w:t>Costs</w:t>
      </w:r>
      <w:r>
        <w:rPr>
          <w:rFonts w:ascii="Times New Roman" w:hAnsi="Times New Roman"/>
          <w:color w:val="000000"/>
          <w:sz w:val="22"/>
        </w:rPr>
        <w:t>. The Parties shall each bear their own costs, attorneys’ fees, and other fees incurred in connection with the preparation of this Agreement.</w:t>
      </w:r>
    </w:p>
    <w:p>
      <w:pPr>
        <w:pStyle w:val="TextBody"/>
        <w:bidi w:val="0"/>
        <w:jc w:val="left"/>
        <w:rPr/>
      </w:pPr>
      <w:r>
        <w:rPr/>
        <w:t> </w:t>
      </w:r>
    </w:p>
    <w:p>
      <w:pPr>
        <w:pStyle w:val="TextBody"/>
        <w:bidi w:val="0"/>
        <w:jc w:val="both"/>
        <w:rPr>
          <w:rFonts w:ascii="Times New Roman" w:hAnsi="Times New Roman"/>
          <w:color w:val="000000"/>
          <w:sz w:val="22"/>
          <w:u w:val="single"/>
        </w:rPr>
      </w:pPr>
      <w:r>
        <w:rPr>
          <w:rFonts w:ascii="Times New Roman" w:hAnsi="Times New Roman"/>
          <w:color w:val="000000"/>
          <w:sz w:val="22"/>
          <w:u w:val="single"/>
        </w:rPr>
        <w:t>15.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pPr>
      <w:bookmarkStart w:id="60" w:name="ole_link60"/>
      <w:bookmarkEnd w:id="60"/>
      <w:r>
        <w:rPr>
          <w:rFonts w:ascii="Times New Roman" w:hAnsi="Times New Roman"/>
          <w:color w:val="000000"/>
          <w:sz w:val="22"/>
          <w:u w:val="single"/>
        </w:rPr>
        <w:t>ARBITRATION</w:t>
      </w:r>
      <w:r>
        <w:rPr>
          <w:rFonts w:ascii="Times New Roman" w:hAnsi="Times New Roman"/>
          <w:color w:val="000000"/>
          <w:sz w:val="22"/>
        </w:rPr>
        <w:t xml:space="preserve">. EXCEPT AS PROHIBITED BY LAW, THE PARTIES AGREE THAT ANY AND ALL DISPUTES ARISING OUT OF THE TERMS OF THIS AGREEMENT, THEIR INTERPRETATION, EXECUTIVE’S EMPLOYMENT WITH THE COMPANY OR THE TERMS THEREOF, OR ANY OF THE MATTERS HEREIN RELEASED, SHALL BE SUBJECT TO ARBITRATION PURSUANT TO THE FEDERAL ARBITRATION ACT (THE “FAA”) AND THAT THE FAA SHALL GOVERN AND APPLY TO THIS ARBITRATION AGREEMENT WITH FULL FORCE AND EFFECT; HOWEVER, WITHOUT LIMITING ANY PROVISIONS OF THE FAA, A MOTION OR PETITION OR ACTION TO COMPEL ARBITRATION MAY ALSO BE BROUGHT IN STATE COURT UNDER THE PROCEDURAL PROVISIONS OF SUCH STATE’S LAWS RELATING TO MOTIONS OR PETITIONS OR ACTIONS TO COMPEL ARBITRATION. EXECUTIVE AGREES THAT, TO THE FULLEST EXTENT PERMITTED BY LAW, EXECUTIVE MAY BRING ANY SUCH ARBITRATION PROCEEDING ONLY IN EXECUTIVE’S INDIVIDUAL CAPACITY. ANY ARBITRATION WILL OCCUR IN SAN MATEO COUNTY, BEFORE JAMS, PURSUANT TO ITS EMPLOYMENT ARBITRATION RULES &amp; PROCEDURES (“JAMS RULES”), EXCEPT AS EXPRESSLY PROVIDED IN THIS SECTION. THE PARTIES AGREE THAT THE ARBITRATOR SHALL HAVE THE POWER TO DECIDE ANY MOTIONS BROUGHT BY ANY PARTY TO THE ARBITRATION, INCLUDING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rFonts w:ascii="Times New Roman" w:hAnsi="Times New Roman"/>
          <w:color w:val="000000"/>
          <w:sz w:val="22"/>
        </w:rPr>
        <w:t xml:space="preserve">MOTIONS FOR SUMMARY JUDGMENT AND/OR ADJUDICATION, AND MOTIONS TO DISMISS AND DEMURRERS, APPLYING THE STANDARDS SET FORTH UNDER THE CALIFORNIA CODE OF CIVIL PROCEDURE. THE PARTIES AGREE </w:t>
      </w:r>
      <w:r>
        <w:rPr>
          <w:rFonts w:ascii="Times New Roman" w:hAnsi="Times New Roman"/>
          <w:caps/>
          <w:color w:val="000000"/>
          <w:sz w:val="22"/>
        </w:rPr>
        <w:t xml:space="preserve">that the arbitrator shall issue a written decision on the merits. </w:t>
      </w:r>
      <w:r>
        <w:rPr>
          <w:rFonts w:ascii="Times New Roman" w:hAnsi="Times New Roman"/>
          <w:color w:val="000000"/>
          <w:sz w:val="22"/>
        </w:rPr>
        <w:t>THE PARTIES ALSO AGREE THAT THE ARBITRATOR SHALL HAVE THE POWER TO AWARD ANY REMEDIES AVAILABLE UNDER APPLICABLE LAW, AND THAT THE ARBITRATOR MAY AWARD ATTORNEYS’ FEES AND COSTS TO THE PREVAILING PARTY, WHERE PERMITTED BY APPLICABLE LAW. THE ARBITRATOR MAY GRANT INJUNCTIONS AND OTHER RELIEF IN SUCH DISPUTES. THE DECISION OF THE ARBITRATOR SHALL BE FINAL, CONCLUSIVE, AND BINDING ON THE PARTIES TO THE ARBITRATION. THE PARTIES AGREE THAT THE PREVAILING PARTY IN ANY ARBITRATION SHALL BE ENTITLED TO INJUNCTIVE RELIEF IN ANY COURT OF COMPETENT JURISDICTION TO ENFORCE THE ARBITRATION AWARD. THE PARTIES TO THE ARBITRATION SHALL EACH PAY AN EQUAL SHARE OF THE COSTS AND EXPENSES OF SUCH ARBITRATION, AND EACH PARTY SHALL SEPARATELY PAY FOR ITS RESPECTIVE COUNSEL FEES AND EXPENSES; PROVIDED, HOWEVER, THAT THE ARBITRATOR MAY AWARD ATTORNEYS’ FEES AND COSTS TO THE PREVAILING PARTY, EXCEPT AS PROHIBITED BY LAW. THE PARTIES HEREBY AGREE TO WAIVE THEIR RIGHT TO HAVE ANY DISPUTE BETWEEN THEM RESOLVED IN A COURT OF LAW BY A JUDGE OR JURY. NOTWITHSTANDING THE FOREGOING, THIS SECTION WILL NOT PREVENT EITHER PARTY FROM SEEKING INJUNCTIVE RELIEF (OR ANY OTHER PROVISIONAL REMEDY) FROM ANY COURT HAVING JURISDICTION OVER THE PARTIES AND THE SUBJECT MATTER OF THEIR DISPUTE RELATING TO THIS AGREEMENT AND THE AGREEMENTS INCORPORATED HEREIN BY REFERENCE. SHOULD ANY PART OF THE ARBITRATION AGREEMENT CONTAINED IN THIS SECTION CONFLICT WITH ANY OTHER ARBITRATION AGREEMENT BETWEEN THE PARTIES, THE PARTIES AGREE THAT THIS ARBITRATION AGREEMENT IN THIS SECTION SHALL GOVERN.</w:t>
      </w:r>
    </w:p>
    <w:p>
      <w:pPr>
        <w:pStyle w:val="TextBody"/>
        <w:bidi w:val="0"/>
        <w:jc w:val="left"/>
        <w:rPr/>
      </w:pPr>
      <w:r>
        <w:rPr/>
        <w:t> </w:t>
      </w:r>
    </w:p>
    <w:p>
      <w:pPr>
        <w:pStyle w:val="TextBody"/>
        <w:bidi w:val="0"/>
        <w:spacing w:before="0" w:after="0"/>
        <w:jc w:val="both"/>
        <w:rPr>
          <w:rFonts w:ascii="Times New Roman" w:hAnsi="Times New Roman"/>
          <w:color w:val="000000"/>
          <w:sz w:val="22"/>
          <w:u w:val="single"/>
        </w:rPr>
      </w:pPr>
      <w:r>
        <w:rPr>
          <w:rFonts w:ascii="Times New Roman" w:hAnsi="Times New Roman"/>
          <w:color w:val="000000"/>
          <w:sz w:val="22"/>
          <w:u w:val="single"/>
        </w:rPr>
        <w:t>16.</w:t>
      </w:r>
    </w:p>
    <w:p>
      <w:pPr>
        <w:pStyle w:val="TextBody"/>
        <w:bidi w:val="0"/>
        <w:jc w:val="both"/>
        <w:rPr/>
      </w:pPr>
      <w:r>
        <w:rPr>
          <w:rFonts w:ascii="Times New Roman" w:hAnsi="Times New Roman"/>
          <w:color w:val="000000"/>
          <w:sz w:val="22"/>
          <w:u w:val="single"/>
        </w:rPr>
        <w:t>Tax Consequences</w:t>
      </w:r>
      <w:r>
        <w:rPr>
          <w:rFonts w:ascii="Times New Roman" w:hAnsi="Times New Roman"/>
          <w:color w:val="000000"/>
          <w:sz w:val="22"/>
        </w:rPr>
        <w:t xml:space="preserve">. The Company makes no representations or warranties with respect to the tax consequences of the payments and any other consideration provided to Executive or made on Executive’s behalf under the terms of this Agreement. Executive agrees and understands that Executive is responsible for payment, if any, of local, state, and/or federal taxes on the payments and any other consideration provided hereunder by the Company and any penalties or assessments thereon. Executive further agrees to indemnify and hold the Releasees harmless from any claims, demands, deficiencies, penalties, interest, assessments, executions, judgments, or recoveries by any government agency against the Company for any amounts claimed due on account of (a) Executive’s failure to pay or delayed payment of federal or state taxes, or (b) damages sustained by the Company by reason of any such claims, including attorneys’ fees and costs. The Parties agree and acknowledge that the payments made pursuant to Section 1 of this Agreement are not related to sexual harassment or sexual abuse and not intended to fall within the scope of 26 U.S.C. Section 162(q). </w:t>
      </w:r>
    </w:p>
    <w:p>
      <w:pPr>
        <w:pStyle w:val="TextBody"/>
        <w:bidi w:val="0"/>
        <w:jc w:val="both"/>
        <w:rPr/>
      </w:pPr>
      <w:r>
        <w:rPr/>
        <w:t> </w:t>
      </w:r>
    </w:p>
    <w:p>
      <w:pPr>
        <w:pStyle w:val="TextBody"/>
        <w:bidi w:val="0"/>
        <w:spacing w:before="0" w:after="0"/>
        <w:jc w:val="both"/>
        <w:rPr>
          <w:rFonts w:ascii="Times New Roman" w:hAnsi="Times New Roman"/>
          <w:color w:val="000000"/>
          <w:sz w:val="22"/>
          <w:u w:val="single"/>
        </w:rPr>
      </w:pPr>
      <w:r>
        <w:rPr>
          <w:rFonts w:ascii="Times New Roman" w:hAnsi="Times New Roman"/>
          <w:color w:val="000000"/>
          <w:sz w:val="22"/>
          <w:u w:val="single"/>
        </w:rPr>
        <w:t>17.</w:t>
      </w:r>
    </w:p>
    <w:p>
      <w:pPr>
        <w:pStyle w:val="TextBody"/>
        <w:bidi w:val="0"/>
        <w:jc w:val="both"/>
        <w:rPr/>
      </w:pPr>
      <w:r>
        <w:rPr>
          <w:rFonts w:ascii="Times New Roman" w:hAnsi="Times New Roman"/>
          <w:color w:val="000000"/>
          <w:sz w:val="22"/>
          <w:u w:val="single"/>
        </w:rPr>
        <w:t>Section 409A.</w:t>
      </w:r>
      <w:r>
        <w:rPr>
          <w:color w:val="000000"/>
        </w:rPr>
        <w:t xml:space="preserve"> </w:t>
      </w:r>
      <w:r>
        <w:rPr>
          <w:rFonts w:ascii="Times New Roman" w:hAnsi="Times New Roman"/>
          <w:color w:val="000000"/>
          <w:sz w:val="22"/>
        </w:rPr>
        <w:t xml:space="preserve">It is intended that this Agreement comply with, or be exempt from, Internal Revenue Code Section 409A and the Treasury Regulations and guidance thereunder, and any applicable state law equivalent, as each may be promulgated, amended or modified from time to time (“Section 409A”), and any ambiguities or ambiguous terms herein will be interpreted to so comply and/or be exempt from Section 409A. Each payment and benefit to be paid or provided under this Agreement is intended to constitute a series of separate payments for purposes of Section 1.409A-2(b)(2) of the Treasury Regulations. Payments under Section 1.a. of this Agreement will be made no later than March 15, 2025. The Company and Executive will work together in good faith to consider either (i) amendments to this Agreement; or (ii) revisions to this Agreement with respect to the payment or benefits, which are necessary or appropriate to avoid imposition of any additional tax or income recognition prior to the actual payment to Executive under Section 409A. In no event will Executive have any discretion to choose Executive’s taxable year in which any payments or benefits are provide this Agreement. In no event will the Releasees have any responsibility, liability or obligation to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reimburse, indemnify or hold harmless Executive for any taxes imposed, or other costs incurred, as a result of Section 409A.</w:t>
      </w:r>
    </w:p>
    <w:p>
      <w:pPr>
        <w:pStyle w:val="TextBody"/>
        <w:bidi w:val="0"/>
        <w:jc w:val="left"/>
        <w:rPr/>
      </w:pPr>
      <w:r>
        <w:rPr/>
        <w:t> </w:t>
      </w:r>
    </w:p>
    <w:p>
      <w:pPr>
        <w:pStyle w:val="TextBody"/>
        <w:bidi w:val="0"/>
        <w:spacing w:before="0" w:after="0"/>
        <w:jc w:val="both"/>
        <w:rPr>
          <w:rFonts w:ascii="Times New Roman" w:hAnsi="Times New Roman"/>
          <w:color w:val="000000"/>
          <w:sz w:val="22"/>
          <w:u w:val="single"/>
        </w:rPr>
      </w:pPr>
      <w:r>
        <w:rPr>
          <w:rFonts w:ascii="Times New Roman" w:hAnsi="Times New Roman"/>
          <w:color w:val="000000"/>
          <w:sz w:val="22"/>
          <w:u w:val="single"/>
        </w:rPr>
        <w:t>18.</w:t>
      </w:r>
    </w:p>
    <w:p>
      <w:pPr>
        <w:pStyle w:val="TextBody"/>
        <w:bidi w:val="0"/>
        <w:jc w:val="both"/>
        <w:rPr/>
      </w:pPr>
      <w:r>
        <w:rPr>
          <w:rFonts w:ascii="Times New Roman" w:hAnsi="Times New Roman"/>
          <w:color w:val="000000"/>
          <w:sz w:val="22"/>
          <w:u w:val="single"/>
        </w:rPr>
        <w:t>Authority</w:t>
      </w:r>
      <w:r>
        <w:rPr>
          <w:rFonts w:ascii="Times New Roman" w:hAnsi="Times New Roman"/>
          <w:color w:val="000000"/>
          <w:sz w:val="22"/>
        </w:rPr>
        <w:t>. The Company represents and warrants that the undersigned has the authority to act on behalf of the Company and to bind the Company and all who may claim through it to the terms and conditions of this Agreement. Executive represents and warrants that Executive has the capacity to act on Executive’s own behalf and on behalf of all who might claim through Executive to bind them to the terms and conditions of this Agreement. Each Party warrants and represents that there are no liens or claims of lien or assignments in law or equity or otherwise of or against any of the claims or causes of action released herein.</w:t>
      </w:r>
    </w:p>
    <w:p>
      <w:pPr>
        <w:pStyle w:val="TextBody"/>
        <w:bidi w:val="0"/>
        <w:jc w:val="left"/>
        <w:rPr/>
      </w:pPr>
      <w:r>
        <w:rPr/>
        <w:t> </w:t>
      </w:r>
    </w:p>
    <w:p>
      <w:pPr>
        <w:pStyle w:val="TextBody"/>
        <w:bidi w:val="0"/>
        <w:spacing w:before="0" w:after="0"/>
        <w:jc w:val="both"/>
        <w:rPr>
          <w:rFonts w:ascii="Times New Roman" w:hAnsi="Times New Roman"/>
          <w:color w:val="000000"/>
          <w:sz w:val="22"/>
          <w:u w:val="single"/>
        </w:rPr>
      </w:pPr>
      <w:r>
        <w:rPr>
          <w:rFonts w:ascii="Times New Roman" w:hAnsi="Times New Roman"/>
          <w:color w:val="000000"/>
          <w:sz w:val="22"/>
          <w:u w:val="single"/>
        </w:rPr>
        <w:t>19.</w:t>
      </w:r>
    </w:p>
    <w:p>
      <w:pPr>
        <w:pStyle w:val="TextBody"/>
        <w:bidi w:val="0"/>
        <w:jc w:val="both"/>
        <w:rPr/>
      </w:pPr>
      <w:r>
        <w:rPr>
          <w:rFonts w:ascii="Times New Roman" w:hAnsi="Times New Roman"/>
          <w:color w:val="000000"/>
          <w:sz w:val="22"/>
          <w:u w:val="single"/>
        </w:rPr>
        <w:t>Severability</w:t>
      </w:r>
      <w:r>
        <w:rPr>
          <w:rFonts w:ascii="Times New Roman" w:hAnsi="Times New Roman"/>
          <w:color w:val="000000"/>
          <w:sz w:val="22"/>
        </w:rPr>
        <w:t>. In the event that any provision or any portion of any provision hereof or any surviving agreement made a part hereof becomes or is declared by a court of competent jurisdiction or arbitrator to be illegal, unenforceable, or void, this Agreement shall continue in full force and effect without said provision or portion of provision.</w:t>
      </w:r>
    </w:p>
    <w:p>
      <w:pPr>
        <w:pStyle w:val="TextBody"/>
        <w:bidi w:val="0"/>
        <w:jc w:val="left"/>
        <w:rPr/>
      </w:pPr>
      <w:r>
        <w:rPr/>
        <w:t> </w:t>
      </w:r>
    </w:p>
    <w:p>
      <w:pPr>
        <w:pStyle w:val="TextBody"/>
        <w:bidi w:val="0"/>
        <w:jc w:val="both"/>
        <w:rPr>
          <w:rFonts w:ascii="Times New Roman" w:hAnsi="Times New Roman"/>
          <w:color w:val="000000"/>
          <w:sz w:val="22"/>
          <w:u w:val="single"/>
        </w:rPr>
      </w:pPr>
      <w:r>
        <w:rPr>
          <w:rFonts w:ascii="Times New Roman" w:hAnsi="Times New Roman"/>
          <w:color w:val="000000"/>
          <w:sz w:val="22"/>
          <w:u w:val="single"/>
        </w:rPr>
        <w:t>20.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pPr>
      <w:r>
        <w:rPr>
          <w:rFonts w:ascii="Times New Roman" w:hAnsi="Times New Roman"/>
          <w:color w:val="000000"/>
          <w:sz w:val="22"/>
          <w:u w:val="single"/>
        </w:rPr>
        <w:t>Attorneys’ Fees</w:t>
      </w:r>
      <w:r>
        <w:rPr>
          <w:rFonts w:ascii="Times New Roman" w:hAnsi="Times New Roman"/>
          <w:color w:val="000000"/>
          <w:sz w:val="22"/>
        </w:rPr>
        <w:t xml:space="preserve">. </w:t>
      </w:r>
      <w:bookmarkStart w:id="61" w:name="ole_link53"/>
      <w:bookmarkEnd w:id="61"/>
      <w:r>
        <w:rPr>
          <w:rFonts w:ascii="Times New Roman" w:hAnsi="Times New Roman"/>
          <w:color w:val="000000"/>
          <w:sz w:val="22"/>
        </w:rPr>
        <w:t>Except with regard to a legal action challenging or seeking a determination in good faith of the validity of the waiver herein under the ADEA, in the event that either Party brings an action to enforce or effect its rights under this Agreement, the prevailing Party shall be entitled to recover its costs and expenses, including the costs of mediation, arbitration, litigation, court fees, and reasonable attorneys’ fees incurred in connection with such an action.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r>
        <w:rPr/>
        <w:t> </w:t>
      </w:r>
    </w:p>
    <w:p>
      <w:pPr>
        <w:pStyle w:val="TextBody"/>
        <w:bidi w:val="0"/>
        <w:spacing w:before="0" w:after="0"/>
        <w:jc w:val="both"/>
        <w:rPr>
          <w:rFonts w:ascii="Times New Roman" w:hAnsi="Times New Roman"/>
          <w:color w:val="000000"/>
          <w:sz w:val="22"/>
          <w:u w:val="single"/>
        </w:rPr>
      </w:pPr>
      <w:r>
        <w:rPr>
          <w:rFonts w:ascii="Times New Roman" w:hAnsi="Times New Roman"/>
          <w:color w:val="000000"/>
          <w:sz w:val="22"/>
          <w:u w:val="single"/>
        </w:rPr>
        <w:t>21.</w:t>
      </w:r>
    </w:p>
    <w:p>
      <w:pPr>
        <w:pStyle w:val="TextBody"/>
        <w:bidi w:val="0"/>
        <w:jc w:val="both"/>
        <w:rPr/>
      </w:pPr>
      <w:r>
        <w:rPr>
          <w:rFonts w:ascii="Times New Roman" w:hAnsi="Times New Roman"/>
          <w:color w:val="000000"/>
          <w:sz w:val="22"/>
          <w:u w:val="single"/>
        </w:rPr>
        <w:t>Entire Agreement</w:t>
      </w:r>
      <w:r>
        <w:rPr>
          <w:rFonts w:ascii="Times New Roman" w:hAnsi="Times New Roman"/>
          <w:color w:val="000000"/>
          <w:sz w:val="22"/>
        </w:rPr>
        <w:t xml:space="preserve">. This Agreement represents the entire agreement and understanding between the Company and Executive concerning the subject matter of this Agreement and Executive’s employment with and separation from the Company and the events leading thereto and associated therewith, and supersedes and replaces any and all prior agreements and understandings concerning the subject matter of this Agreement and Executive’s relationship with the Company, including without limitation the Offer Letter, but excluding the Confidentiality Agreement, the Award Documents and the CIC Agreement, except as otherwise modified or superseded herein. </w:t>
      </w:r>
    </w:p>
    <w:p>
      <w:pPr>
        <w:pStyle w:val="TextBody"/>
        <w:bidi w:val="0"/>
        <w:jc w:val="left"/>
        <w:rPr/>
      </w:pPr>
      <w:r>
        <w:rPr/>
        <w:t> </w:t>
      </w:r>
    </w:p>
    <w:p>
      <w:pPr>
        <w:pStyle w:val="TextBody"/>
        <w:bidi w:val="0"/>
        <w:spacing w:before="0" w:after="0"/>
        <w:jc w:val="both"/>
        <w:rPr>
          <w:rFonts w:ascii="Times New Roman" w:hAnsi="Times New Roman"/>
          <w:color w:val="000000"/>
          <w:sz w:val="22"/>
          <w:u w:val="single"/>
        </w:rPr>
      </w:pPr>
      <w:r>
        <w:rPr>
          <w:rFonts w:ascii="Times New Roman" w:hAnsi="Times New Roman"/>
          <w:color w:val="000000"/>
          <w:sz w:val="22"/>
          <w:u w:val="single"/>
        </w:rPr>
        <w:t>22.</w:t>
      </w:r>
    </w:p>
    <w:p>
      <w:pPr>
        <w:pStyle w:val="TextBody"/>
        <w:bidi w:val="0"/>
        <w:jc w:val="both"/>
        <w:rPr/>
      </w:pPr>
      <w:r>
        <w:rPr>
          <w:rFonts w:ascii="Times New Roman" w:hAnsi="Times New Roman"/>
          <w:color w:val="000000"/>
          <w:sz w:val="22"/>
          <w:u w:val="single"/>
        </w:rPr>
        <w:t>No Oral Modification</w:t>
      </w:r>
      <w:r>
        <w:rPr>
          <w:rFonts w:ascii="Times New Roman" w:hAnsi="Times New Roman"/>
          <w:color w:val="000000"/>
          <w:sz w:val="22"/>
        </w:rPr>
        <w:t>. This Agreement may only be amended in a writing signed by Executive and the Company’s Chief Executive Officer.</w:t>
      </w:r>
    </w:p>
    <w:p>
      <w:pPr>
        <w:pStyle w:val="TextBody"/>
        <w:bidi w:val="0"/>
        <w:jc w:val="left"/>
        <w:rPr/>
      </w:pPr>
      <w:r>
        <w:rPr/>
        <w:t> </w:t>
      </w:r>
    </w:p>
    <w:p>
      <w:pPr>
        <w:pStyle w:val="TextBody"/>
        <w:bidi w:val="0"/>
        <w:spacing w:before="0" w:after="0"/>
        <w:jc w:val="both"/>
        <w:rPr>
          <w:rFonts w:ascii="Times New Roman" w:hAnsi="Times New Roman"/>
          <w:color w:val="000000"/>
          <w:sz w:val="22"/>
          <w:u w:val="single"/>
        </w:rPr>
      </w:pPr>
      <w:r>
        <w:rPr>
          <w:rFonts w:ascii="Times New Roman" w:hAnsi="Times New Roman"/>
          <w:color w:val="000000"/>
          <w:sz w:val="22"/>
          <w:u w:val="single"/>
        </w:rPr>
        <w:t>23.</w:t>
      </w:r>
    </w:p>
    <w:p>
      <w:pPr>
        <w:pStyle w:val="TextBody"/>
        <w:bidi w:val="0"/>
        <w:jc w:val="both"/>
        <w:rPr/>
      </w:pPr>
      <w:r>
        <w:rPr>
          <w:rFonts w:ascii="Times New Roman" w:hAnsi="Times New Roman"/>
          <w:color w:val="000000"/>
          <w:sz w:val="22"/>
          <w:u w:val="single"/>
        </w:rPr>
        <w:t>Governing Law</w:t>
      </w:r>
      <w:r>
        <w:rPr>
          <w:rFonts w:ascii="Times New Roman" w:hAnsi="Times New Roman"/>
          <w:color w:val="000000"/>
          <w:sz w:val="22"/>
        </w:rPr>
        <w:t>. This Agreement shall be governed by the laws of the State of California, without regard for choice-of-law provisions, except that any dispute regarding the enforceability of the arbitration section of this Agreement shall be governed by the FAA. Executive consents to personal and exclusive jurisdiction and venue in the State of California.</w:t>
      </w:r>
    </w:p>
    <w:p>
      <w:pPr>
        <w:pStyle w:val="TextBody"/>
        <w:bidi w:val="0"/>
        <w:jc w:val="left"/>
        <w:rPr/>
      </w:pPr>
      <w:r>
        <w:rPr/>
        <w:t> </w:t>
      </w:r>
    </w:p>
    <w:p>
      <w:pPr>
        <w:pStyle w:val="TextBody"/>
        <w:bidi w:val="0"/>
        <w:jc w:val="both"/>
        <w:rPr>
          <w:rFonts w:ascii="Times New Roman" w:hAnsi="Times New Roman"/>
          <w:color w:val="000000"/>
          <w:sz w:val="22"/>
          <w:u w:val="single"/>
        </w:rPr>
      </w:pPr>
      <w:r>
        <w:rPr>
          <w:rFonts w:ascii="Times New Roman" w:hAnsi="Times New Roman"/>
          <w:color w:val="000000"/>
          <w:sz w:val="22"/>
          <w:u w:val="single"/>
        </w:rPr>
        <w:t>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pPr>
      <w:r>
        <w:rPr>
          <w:rFonts w:ascii="Times New Roman" w:hAnsi="Times New Roman"/>
          <w:color w:val="000000"/>
          <w:sz w:val="22"/>
          <w:u w:val="single"/>
        </w:rPr>
        <w:t>Effective Date</w:t>
      </w:r>
      <w:r>
        <w:rPr>
          <w:rFonts w:ascii="Times New Roman" w:hAnsi="Times New Roman"/>
          <w:color w:val="000000"/>
          <w:sz w:val="22"/>
        </w:rPr>
        <w:t xml:space="preserve">. </w:t>
      </w:r>
      <w:bookmarkStart w:id="62" w:name="ole_link73"/>
      <w:bookmarkEnd w:id="62"/>
      <w:r>
        <w:rPr>
          <w:rFonts w:ascii="Times New Roman" w:hAnsi="Times New Roman"/>
          <w:color w:val="000000"/>
          <w:sz w:val="22"/>
        </w:rPr>
        <w:t>Executive understands that this Agreement shall be null and void if not executed by Executive within twenty-one (21) days. Each Party has seven (7) days after that Party signs this Agreement to revoke it. This Agreement will become effective on the eighth (8th) day after Executive signed this Agreement, so long as it has been signed by the Parties and has not been revoked by either Party before that date (the “Effective Date”).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r>
        <w:rPr/>
        <w:t> </w:t>
      </w:r>
    </w:p>
    <w:p>
      <w:pPr>
        <w:pStyle w:val="TextBody"/>
        <w:bidi w:val="0"/>
        <w:spacing w:before="0" w:after="0"/>
        <w:jc w:val="both"/>
        <w:rPr>
          <w:rFonts w:ascii="Times New Roman" w:hAnsi="Times New Roman"/>
          <w:color w:val="000000"/>
          <w:sz w:val="22"/>
          <w:u w:val="single"/>
        </w:rPr>
      </w:pPr>
      <w:r>
        <w:rPr>
          <w:rFonts w:ascii="Times New Roman" w:hAnsi="Times New Roman"/>
          <w:color w:val="000000"/>
          <w:sz w:val="22"/>
          <w:u w:val="single"/>
        </w:rPr>
        <w:t>25.</w:t>
      </w:r>
    </w:p>
    <w:p>
      <w:pPr>
        <w:pStyle w:val="TextBody"/>
        <w:bidi w:val="0"/>
        <w:jc w:val="both"/>
        <w:rPr/>
      </w:pPr>
      <w:r>
        <w:rPr>
          <w:rFonts w:ascii="Times New Roman" w:hAnsi="Times New Roman"/>
          <w:color w:val="000000"/>
          <w:sz w:val="22"/>
          <w:u w:val="single"/>
        </w:rPr>
        <w:t>Counterparts</w:t>
      </w:r>
      <w:r>
        <w:rPr>
          <w:rFonts w:ascii="Times New Roman" w:hAnsi="Times New Roman"/>
          <w:color w:val="000000"/>
          <w:sz w:val="22"/>
        </w:rPr>
        <w:t>. This Agreement may be executed in counterparts and each counterpart shall be deemed an original and all of which counterparts taken together shall have the same force and effect as an original and shall constitute an effective, binding agreement on the part of each of the undersigned. The counterparts of this Agreement may be executed and delivered by facsimile, photo, email PDF, or other electronic transmission or signature.</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[THE REMAINDER OF THIS PAGE IS INTENTIONALLY LEFT BLANK; SIGNATURE PAGE FOLLOWS]</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color w:val="000000"/>
          <w:sz w:val="22"/>
          <w:u w:val="single"/>
        </w:rPr>
      </w:pPr>
      <w:r>
        <w:rPr>
          <w:rFonts w:ascii="Times New Roman" w:hAnsi="Times New Roman"/>
          <w:color w:val="000000"/>
          <w:sz w:val="22"/>
          <w:u w:val="single"/>
        </w:rPr>
        <w:t>26.</w:t>
      </w:r>
    </w:p>
    <w:p>
      <w:pPr>
        <w:pStyle w:val="TextBody"/>
        <w:bidi w:val="0"/>
        <w:jc w:val="both"/>
        <w:rPr/>
      </w:pPr>
      <w:r>
        <w:rPr>
          <w:rFonts w:ascii="Times New Roman" w:hAnsi="Times New Roman"/>
          <w:color w:val="000000"/>
          <w:sz w:val="22"/>
          <w:u w:val="single"/>
        </w:rPr>
        <w:t>Voluntary Execution of Agreement</w:t>
      </w:r>
      <w:r>
        <w:rPr>
          <w:rFonts w:ascii="Times New Roman" w:hAnsi="Times New Roman"/>
          <w:color w:val="000000"/>
          <w:sz w:val="22"/>
        </w:rPr>
        <w:t>. Executive understands and agrees that Executive executed this Agreement voluntarily and without any duress or undue influence on the part or behalf of the Company or any third party, with the full intent of releasing all of Executive’s claims against the Company and any of the other Releasees. Executive acknowledges that:</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(a) Executive has read this Agreement;</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(b) Executive has been represented in the preparation, negotiation, and execution of this Agreement by legal counsel of Executive’s own choice or has elected not to retain legal counsel;</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(c) Executive understands the terms and consequences of this Agreement and of the releases it contains;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(d) Executive is fully aware of the legal and binding effect of this Agreement; and</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(e) Executive has not relied upon any representations or statements made by the Company that are not specifically set forth in this Agreement.</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left"/>
        <w:rPr>
          <w:rFonts w:ascii="Times New Roman" w:hAnsi="Times New Roman"/>
          <w:color w:val="000000"/>
          <w:sz w:val="22"/>
        </w:rPr>
      </w:pPr>
      <w:r>
        <w:rPr>
          <w:rFonts w:ascii="Times New Roman" w:hAnsi="Times New Roman"/>
          <w:color w:val="000000"/>
          <w:sz w:val="22"/>
        </w:rPr>
        <w:t>IN WITNESS WHEREOF, the Parties have executed this Agreement on the respective dates set forth below.</w:t>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aps/>
          <w:color w:val="000000"/>
          <w:sz w:val="22"/>
        </w:rPr>
        <w:t>SOPHIA RANDOLPH</w:t>
      </w:r>
      <w:r>
        <w:rPr>
          <w:rFonts w:ascii="Times New Roman" w:hAnsi="Times New Roman"/>
          <w:color w:val="000000"/>
          <w:sz w:val="22"/>
        </w:rPr>
        <w:t>, an individual</w:t>
      </w:r>
    </w:p>
    <w:p>
      <w:pPr>
        <w:pStyle w:val="TextBody"/>
        <w:bidi w:val="0"/>
        <w:spacing w:before="240" w:after="283"/>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Dated: </w:t>
      </w:r>
      <w:r>
        <w:rPr>
          <w:rFonts w:ascii="Times New Roman" w:hAnsi="Times New Roman"/>
          <w:color w:val="000000"/>
          <w:sz w:val="22"/>
          <w:u w:val="single"/>
        </w:rPr>
        <w:t xml:space="preserve">October 11 </w:t>
      </w:r>
      <w:r>
        <w:rPr>
          <w:rFonts w:ascii="Times New Roman" w:hAnsi="Times New Roman"/>
          <w:color w:val="000000"/>
          <w:sz w:val="22"/>
        </w:rPr>
        <w:t xml:space="preserve">, 2024 </w:t>
      </w:r>
      <w:r>
        <w:rPr>
          <w:rFonts w:ascii="Times New Roman" w:hAnsi="Times New Roman"/>
          <w:color w:val="000000"/>
          <w:sz w:val="22"/>
          <w:u w:val="single"/>
        </w:rPr>
        <w:t xml:space="preserve">/s/ Sophia Randolph </w:t>
      </w:r>
    </w:p>
    <w:p>
      <w:pPr>
        <w:pStyle w:val="TextBody"/>
        <w:bidi w:val="0"/>
        <w:jc w:val="left"/>
        <w:rPr>
          <w:rFonts w:ascii="Times New Roman" w:hAnsi="Times New Roman"/>
          <w:color w:val="000000"/>
          <w:sz w:val="22"/>
        </w:rPr>
      </w:pPr>
      <w:r>
        <w:rPr>
          <w:rFonts w:ascii="Times New Roman" w:hAnsi="Times New Roman"/>
          <w:color w:val="000000"/>
          <w:sz w:val="22"/>
        </w:rPr>
        <w:t>Sophia Randolph, M.D., Ph.D.</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color w:val="000000"/>
          <w:sz w:val="22"/>
        </w:rPr>
      </w:pPr>
      <w:bookmarkStart w:id="63" w:name="ole_link15"/>
      <w:bookmarkStart w:id="64" w:name="ole_link16"/>
      <w:bookmarkEnd w:id="63"/>
      <w:bookmarkEnd w:id="64"/>
      <w:r>
        <w:rPr>
          <w:rFonts w:ascii="Times New Roman" w:hAnsi="Times New Roman"/>
          <w:color w:val="000000"/>
          <w:sz w:val="22"/>
        </w:rPr>
        <w:t>ALX ONCOLOGY HOLDINGS INC.</w:t>
      </w:r>
    </w:p>
    <w:p>
      <w:pPr>
        <w:pStyle w:val="TextBody"/>
        <w:bidi w:val="0"/>
        <w:spacing w:before="240" w:after="283"/>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Dated: </w:t>
      </w:r>
      <w:r>
        <w:rPr>
          <w:rFonts w:ascii="Times New Roman" w:hAnsi="Times New Roman"/>
          <w:color w:val="000000"/>
          <w:sz w:val="22"/>
          <w:u w:val="single"/>
        </w:rPr>
        <w:t>October 11 ,</w:t>
      </w:r>
      <w:r>
        <w:rPr>
          <w:rFonts w:ascii="Times New Roman" w:hAnsi="Times New Roman"/>
          <w:color w:val="000000"/>
          <w:sz w:val="20"/>
        </w:rPr>
        <w:t xml:space="preserve"> </w:t>
      </w:r>
      <w:r>
        <w:rPr>
          <w:rFonts w:ascii="Times New Roman" w:hAnsi="Times New Roman"/>
          <w:color w:val="000000"/>
          <w:sz w:val="22"/>
        </w:rPr>
        <w:t xml:space="preserve">2024 By </w:t>
      </w:r>
      <w:r>
        <w:rPr>
          <w:rFonts w:ascii="Times New Roman" w:hAnsi="Times New Roman"/>
          <w:color w:val="000000"/>
          <w:sz w:val="22"/>
          <w:u w:val="single"/>
        </w:rPr>
        <w:t xml:space="preserve">/s/ Jason Lettmann </w:t>
      </w:r>
    </w:p>
    <w:p>
      <w:pPr>
        <w:pStyle w:val="TextBody"/>
        <w:bidi w:val="0"/>
        <w:jc w:val="left"/>
        <w:rPr>
          <w:rFonts w:ascii="Times New Roman" w:hAnsi="Times New Roman"/>
          <w:color w:val="000000"/>
          <w:sz w:val="22"/>
        </w:rPr>
      </w:pPr>
      <w:r>
        <w:rPr>
          <w:rFonts w:ascii="Times New Roman" w:hAnsi="Times New Roman"/>
          <w:color w:val="000000"/>
          <w:sz w:val="22"/>
        </w:rPr>
        <w:t>Jason Lettmann</w:t>
      </w:r>
    </w:p>
    <w:p>
      <w:pPr>
        <w:pStyle w:val="TextBody"/>
        <w:bidi w:val="0"/>
        <w:jc w:val="left"/>
        <w:rPr>
          <w:rFonts w:ascii="Times New Roman" w:hAnsi="Times New Roman"/>
          <w:color w:val="000000"/>
          <w:sz w:val="22"/>
        </w:rPr>
      </w:pPr>
      <w:r>
        <w:rPr>
          <w:rFonts w:ascii="Times New Roman" w:hAnsi="Times New Roman"/>
          <w:color w:val="000000"/>
          <w:sz w:val="22"/>
        </w:rPr>
        <w:t>Chief Executive Officer</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u w:val="single"/>
        </w:rPr>
      </w:pPr>
      <w:r>
        <w:rPr>
          <w:rFonts w:ascii="Times New Roman" w:hAnsi="Times New Roman"/>
          <w:b/>
          <w:color w:val="000000"/>
          <w:sz w:val="22"/>
          <w:u w:val="single"/>
        </w:rPr>
        <w:t>SCHEDULE I</w:t>
      </w:r>
    </w:p>
    <w:p>
      <w:pPr>
        <w:pStyle w:val="TextBody"/>
        <w:bidi w:val="0"/>
        <w:jc w:val="center"/>
        <w:rPr/>
      </w:pPr>
      <w:r>
        <w:rPr/>
        <w:t> </w:t>
      </w:r>
    </w:p>
    <w:p>
      <w:pPr>
        <w:pStyle w:val="TextBody"/>
        <w:bidi w:val="0"/>
        <w:jc w:val="left"/>
        <w:rPr>
          <w:rFonts w:ascii="Times New Roman" w:hAnsi="Times New Roman"/>
          <w:color w:val="000000"/>
          <w:sz w:val="22"/>
        </w:rPr>
      </w:pPr>
      <w:r>
        <w:rPr>
          <w:rFonts w:ascii="Times New Roman" w:hAnsi="Times New Roman"/>
          <w:color w:val="000000"/>
          <w:sz w:val="22"/>
        </w:rPr>
        <w:t>[Schedule I has been omitted in accordance with Regulation S-K Item 601(a)(5). The registrant agrees to furnish supplementally a copy of any omitted exhibit or schedule to the SEC upon its request, however the registrant may request confidential treatment of omitted items.]</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65" w:name="alxo-ex31_1.htm"/>
      <w:bookmarkStart w:id="66" w:name="ksalxoex31_1"/>
      <w:bookmarkEnd w:id="65"/>
      <w:bookmarkEnd w:id="66"/>
      <w:r>
        <w:rPr>
          <w:rFonts w:ascii="Times New Roman" w:hAnsi="Times New Roman"/>
          <w:b/>
          <w:color w:val="000000"/>
          <w:sz w:val="20"/>
        </w:rPr>
        <w:t>Exhibit 31.1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Jason Lettmann,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ALX Oncology Holdings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909" w:type="dxa"/>
        <w:jc w:val="left"/>
        <w:tblInd w:w="0" w:type="dxa"/>
        <w:tblLayout w:type="fixed"/>
        <w:tblCellMar>
          <w:top w:w="28" w:type="dxa"/>
          <w:left w:w="28" w:type="dxa"/>
          <w:bottom w:w="28" w:type="dxa"/>
          <w:right w:w="28" w:type="dxa"/>
        </w:tblCellMar>
      </w:tblPr>
      <w:tblGrid>
        <w:gridCol w:w="2101"/>
        <w:gridCol w:w="146"/>
        <w:gridCol w:w="406"/>
        <w:gridCol w:w="3256"/>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7,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Jason Lettmann</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Jason Lettmann</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 and Director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67" w:name="alxo-ex31_2.htm"/>
      <w:bookmarkStart w:id="68" w:name="ksalxoex31_2"/>
      <w:bookmarkEnd w:id="67"/>
      <w:bookmarkEnd w:id="68"/>
      <w:r>
        <w:rPr>
          <w:rFonts w:ascii="Times New Roman" w:hAnsi="Times New Roman"/>
          <w:b/>
          <w:color w:val="000000"/>
          <w:sz w:val="20"/>
        </w:rPr>
        <w:t>Exhibit 31.2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Peter Garcia,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ALX Oncology Holdings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219" w:type="dxa"/>
        <w:jc w:val="left"/>
        <w:tblInd w:w="0" w:type="dxa"/>
        <w:tblLayout w:type="fixed"/>
        <w:tblCellMar>
          <w:top w:w="28" w:type="dxa"/>
          <w:left w:w="28" w:type="dxa"/>
          <w:bottom w:w="28" w:type="dxa"/>
          <w:right w:w="28" w:type="dxa"/>
        </w:tblCellMar>
      </w:tblPr>
      <w:tblGrid>
        <w:gridCol w:w="2101"/>
        <w:gridCol w:w="146"/>
        <w:gridCol w:w="406"/>
        <w:gridCol w:w="2566"/>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7,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Peter Garcia</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Peter Garcia</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69" w:name="alxo-ex32_1.htm"/>
      <w:bookmarkStart w:id="70" w:name="ksalxoex32_1"/>
      <w:bookmarkEnd w:id="69"/>
      <w:bookmarkEnd w:id="70"/>
      <w:r>
        <w:rPr>
          <w:rFonts w:ascii="Times New Roman" w:hAnsi="Times New Roman"/>
          <w:b/>
          <w:color w:val="000000"/>
          <w:sz w:val="20"/>
        </w:rPr>
        <w:t>Exhibit 32.1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ALX Oncology Holdings Inc. (the “Company”), on Form 10-Q for the period ended September 30, 2024, as filed with the Securities and Exchange Commission on the date hereof (the “Report”), I certify, pursuant to 18 U.S.C. §1350, as adopted pursuant to section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909" w:type="dxa"/>
        <w:jc w:val="left"/>
        <w:tblInd w:w="0" w:type="dxa"/>
        <w:tblLayout w:type="fixed"/>
        <w:tblCellMar>
          <w:top w:w="28" w:type="dxa"/>
          <w:left w:w="28" w:type="dxa"/>
          <w:bottom w:w="28" w:type="dxa"/>
          <w:right w:w="28" w:type="dxa"/>
        </w:tblCellMar>
      </w:tblPr>
      <w:tblGrid>
        <w:gridCol w:w="2101"/>
        <w:gridCol w:w="146"/>
        <w:gridCol w:w="406"/>
        <w:gridCol w:w="3256"/>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7,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Jason Lettmann</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Jason Lettmann</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 and Director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71" w:name="alxo-ex32_2.htm"/>
      <w:bookmarkStart w:id="72" w:name="ksalxoex32_2"/>
      <w:bookmarkEnd w:id="71"/>
      <w:bookmarkEnd w:id="72"/>
      <w:r>
        <w:rPr>
          <w:rFonts w:ascii="Times New Roman" w:hAnsi="Times New Roman"/>
          <w:b/>
          <w:color w:val="000000"/>
          <w:sz w:val="20"/>
        </w:rPr>
        <w:t>Exhibit 32.2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ALX Oncology Holdings Inc. (the “Company”), on Form 10-Q for the period ended September 30, 2024, as filed with the Securities and Exchange Commission on the date hereof (the “Report”), I certify, pursuant to 18 U.S.C. §1350, as adopted pursuant to section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219" w:type="dxa"/>
        <w:jc w:val="left"/>
        <w:tblInd w:w="0" w:type="dxa"/>
        <w:tblLayout w:type="fixed"/>
        <w:tblCellMar>
          <w:top w:w="28" w:type="dxa"/>
          <w:left w:w="28" w:type="dxa"/>
          <w:bottom w:w="28" w:type="dxa"/>
          <w:right w:w="28" w:type="dxa"/>
        </w:tblCellMar>
      </w:tblPr>
      <w:tblGrid>
        <w:gridCol w:w="2101"/>
        <w:gridCol w:w="146"/>
        <w:gridCol w:w="406"/>
        <w:gridCol w:w="2566"/>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7,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Peter Garcia</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Peter Garcia</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65844</Words>
  <Characters>366855</Characters>
  <CharactersWithSpaces>433397</CharactersWithSpaces>
  <Paragraphs>6570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