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ALX Oncology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2,827,739.00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2,827,739.00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2,827,739.00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 (as defined in Item 2(a) 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134,562,917 shares of Common Stock outstanding as of May 1, 2026, as reported by the Issuer (as defined in Item 1(a) below) in its Quarterly Report on Form 10-Q, filed with the United States Securities and Exchange Commission (the Commission) on May 8, 2026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2,827,739.00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2,827,739.00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2,827,739.00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Based on 134,562,917 shares of Common Stock outstanding as of May 1, 2026, as reported by the Issuer in the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2,827,748.00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2,827,748.00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2,827,748.00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III (as defined in Item 2(a) below). TCG Crossover GP III (as defined in Item 2(a) below)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Based on 134,562,917 shares of Common Stock outstanding as of May 1, 2026, as reported by the Issuer in the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2,827,748.00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2,827,748.00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2,827,748.00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III. TCG Crossover GP III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Based on 134,562,917 shares of Common Stock outstanding as of May 1, 2026, as reported by the Issuer in the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Yu</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5,655,487.00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5,655,487.00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5,655,487.00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(i) 2,827,739 shares of Common Stock held of record by TCG Crossover II and (ii) 2,827,748 shares of Common Stock held of record by TCG Crossover III. TCG Crossover GP II is the general partner of TCG Crossover II and may be deemed to have voting, investment, and dispositive power with respect to the securities held of record by TCG Crossover II. TCG Crossover GP III is the general partner of TCG Crossover III and may be deemed to have voting, investment, and dispositive power with respect to the securities held of record by TCG Crossover III. Chen Yu is the sole managing member of each of TCG Crossover GP II and TCG Crossover GP III and may be deemed to share voting, investment and dispositive power with respect to the securities held of record by TCG Crossover II and TCG Crossover III. Based on 134,562,917 shares of Common Stock outstanding as of May 1, 2026, as reported by the Issuer in the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ALX Oncology Holdings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323 Allerton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1 (Amendment No. 1) amends and supplements the Schedule 13G initially filed with the Commission on February 6, 2026 (the Original Schedule 13G) and is being filed by TCG Crossover Fund II, L.P. (TCG Crossover II), TCG Crossover GP II, LLC (TCG Crossover GP II, and together with TCG Crossover 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as Exhibit 1 to the Original Schedule 13G. Other than those securities reported herein as being held directly by such Reporting Person, each Reporting Person disclaims beneficial ownership of all securities reported in this Statement except to the extent of such Reporting Person's pecuniary interest therein. Capitalized terms not defined in this Amendment No. 1 have the meanings ascribed to them in the Original Schedule 13G.</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245 Lytton Ave., Suite 350,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TCG Crossover GP II and TCG Crossover GP III are each a limited liability company organized under the laws of the State of Delaware. TCG Crossover II and TCG Crossover III are each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comments. Each of the Reporting Persons disclaims beneficial ownership as to such securities, except to the extent of his or its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comments. Each of the Reporting Persons disclaims beneficial ownership as to such securities, except to the extent of his or its pecuniary interest therein.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TCG Crossover II and TCG Crossover III and the limited liability company agreements of TCG Crossover GP II and TCG Crossover GP III,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TCG Crossover GP II,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TCG Crossover Fund II,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TCG Crossover GP III,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TCG Crossover Fund III, L.P.</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2304" w:type="dxa"/>
        <w:jc w:val="left"/>
        <w:tblInd w:w="0" w:type="dxa"/>
        <w:tblLayout w:type="fixed"/>
        <w:tblCellMar>
          <w:top w:w="28" w:type="dxa"/>
          <w:left w:w="28" w:type="dxa"/>
          <w:bottom w:w="28" w:type="dxa"/>
          <w:right w:w="28" w:type="dxa"/>
        </w:tblCellMar>
      </w:tblPr>
      <w:tblGrid>
        <w:gridCol w:w="1152"/>
        <w:gridCol w:w="1152"/>
      </w:tblGrid>
      <w:tr>
        <w:trPr/>
        <w:tc>
          <w:tcPr>
            <w:tcW w:w="1152" w:type="dxa"/>
            <w:tcBorders/>
            <w:vAlign w:val="center"/>
          </w:tcPr>
          <w:p>
            <w:pPr>
              <w:pStyle w:val="TableContents"/>
              <w:bidi w:val="0"/>
              <w:spacing w:before="0" w:after="0"/>
              <w:jc w:val="left"/>
              <w:rPr/>
            </w:pPr>
            <w:r>
              <w:rPr/>
              <w:t> </w:t>
            </w:r>
          </w:p>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0"/>
                    <w:jc w:val="left"/>
                    <w:rPr/>
                  </w:pPr>
                  <w:r>
                    <w:rPr/>
                    <w:t>Chen Yu</w:t>
                  </w:r>
                </w:p>
              </w:tc>
            </w:tr>
          </w:tbl>
          <w:p>
            <w:pPr>
              <w:pStyle w:val="TableContents"/>
              <w:bidi w:val="0"/>
              <w:spacing w:before="0" w:after="283"/>
              <w:jc w:val="left"/>
              <w:rPr/>
            </w:pPr>
            <w:r>
              <w:rPr/>
            </w:r>
          </w:p>
        </w:tc>
        <w:tc>
          <w:tcPr>
            <w:tcW w:w="11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Craig Skaling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Craig Skaling, as Attorney-in-Fact for Chen Yu</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2503</Words>
  <Characters>12542</Characters>
  <CharactersWithSpaces>14964</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