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Registration No. 333-274314</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17145</wp:posOffset>
            </wp:positionV>
            <wp:extent cx="195453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18,446,936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80"/>
        <w:spacing w:after="0" w:line="275" w:lineRule="auto"/>
        <w:rPr>
          <w:sz w:val="20"/>
          <w:szCs w:val="20"/>
          <w:color w:val="auto"/>
        </w:rPr>
      </w:pPr>
      <w:r>
        <w:rPr>
          <w:rFonts w:ascii="Arial" w:cs="Arial" w:eastAsia="Arial" w:hAnsi="Arial"/>
          <w:sz w:val="17"/>
          <w:szCs w:val="17"/>
          <w:color w:val="auto"/>
        </w:rPr>
        <w:t>This prospectus relates to the proposed resale or other disposition from time to time of up to 18,446,936 shares of our common stock, par value $0.001 per share by the selling stockholders identified in this prospectus, including their transferees, pledgees, donees or other successors-in-interest (the “Selling Stockholders”). We are not offering any shares of our common stock for sale under this prospectus. We will not receive any of the proceeds from the sale of common stock by the Selling Stockholders. All expenses of registration incurred in connection with this offering are being borne by us. All selling and other expenses incurred by the Selling Stockholders will be borne by the Selling Stockholders.</w:t>
      </w:r>
    </w:p>
    <w:p>
      <w:pPr>
        <w:spacing w:after="0" w:line="176" w:lineRule="exact"/>
        <w:rPr>
          <w:sz w:val="24"/>
          <w:szCs w:val="24"/>
          <w:color w:val="auto"/>
        </w:rPr>
      </w:pPr>
    </w:p>
    <w:p>
      <w:pPr>
        <w:ind w:left="120" w:right="140"/>
        <w:spacing w:after="0" w:line="259" w:lineRule="auto"/>
        <w:rPr>
          <w:sz w:val="20"/>
          <w:szCs w:val="20"/>
          <w:color w:val="auto"/>
        </w:rPr>
      </w:pPr>
      <w:r>
        <w:rPr>
          <w:rFonts w:ascii="Arial" w:cs="Arial" w:eastAsia="Arial" w:hAnsi="Arial"/>
          <w:sz w:val="18"/>
          <w:szCs w:val="18"/>
          <w:color w:val="auto"/>
        </w:rPr>
        <w:t>The Selling Stockholders may, from time to time, sell, transfer, or otherwise dispose of any or all of their securities on any stock exchange, market, or trading facility on which the securities are traded or in private transactions. These dispositions may be at fixed prices, at prevailing market prices at the time of sale, at prices related to the prevailing market price, at varying prices determined at the time of sale, or at negotiated prices. See “Plan of Distribution” which begins on page 10.</w:t>
      </w:r>
    </w:p>
    <w:p>
      <w:pPr>
        <w:spacing w:after="0" w:line="187" w:lineRule="exact"/>
        <w:rPr>
          <w:sz w:val="24"/>
          <w:szCs w:val="24"/>
          <w:color w:val="auto"/>
        </w:rPr>
      </w:pPr>
    </w:p>
    <w:p>
      <w:pPr>
        <w:ind w:left="120"/>
        <w:spacing w:after="0" w:line="277" w:lineRule="auto"/>
        <w:rPr>
          <w:sz w:val="20"/>
          <w:szCs w:val="20"/>
          <w:color w:val="auto"/>
        </w:rPr>
      </w:pPr>
      <w:r>
        <w:rPr>
          <w:rFonts w:ascii="Arial" w:cs="Arial" w:eastAsia="Arial" w:hAnsi="Arial"/>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57" w:lineRule="exact"/>
        <w:rPr>
          <w:sz w:val="24"/>
          <w:szCs w:val="24"/>
          <w:color w:val="auto"/>
        </w:rPr>
      </w:pPr>
    </w:p>
    <w:p>
      <w:pPr>
        <w:ind w:left="120" w:right="60"/>
        <w:spacing w:after="0" w:line="260" w:lineRule="auto"/>
        <w:rPr>
          <w:sz w:val="20"/>
          <w:szCs w:val="20"/>
          <w:color w:val="auto"/>
        </w:rPr>
      </w:pPr>
      <w:r>
        <w:rPr>
          <w:rFonts w:ascii="Arial" w:cs="Arial" w:eastAsia="Arial" w:hAnsi="Arial"/>
          <w:sz w:val="21"/>
          <w:szCs w:val="21"/>
          <w:b w:val="1"/>
          <w:bCs w:val="1"/>
          <w:color w:val="auto"/>
        </w:rPr>
        <w:t>INVESTING IN OUR SECURITIES INVOLVES RISKS. SEE “</w:t>
      </w:r>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color w:val="auto"/>
        </w:rPr>
        <w:t>” BEGINNING ON PAGE 4 OF THIS PROSPECTUS AND IN ANY SIMILAR SECTION CONTAINED IN OR INCORPORATED BY REFERENCE HEREIN CONCERNING FACTORS YOU SHOULD CONSIDER BEFORE INVESTING IN OUR SECURITIES.</w:t>
      </w:r>
    </w:p>
    <w:p>
      <w:pPr>
        <w:spacing w:after="0" w:line="173" w:lineRule="exact"/>
        <w:rPr>
          <w:sz w:val="24"/>
          <w:szCs w:val="24"/>
          <w:color w:val="auto"/>
        </w:rPr>
      </w:pPr>
    </w:p>
    <w:p>
      <w:pPr>
        <w:ind w:left="120" w:right="1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“ALXO.” On September 6, 2023, the last reported sale price of our common stock on The Nasdaq Global Select Market was $4.84 per share.</w:t>
      </w:r>
    </w:p>
    <w:p>
      <w:pPr>
        <w:spacing w:after="0" w:line="166" w:lineRule="exact"/>
        <w:rPr>
          <w:sz w:val="24"/>
          <w:szCs w:val="24"/>
          <w:color w:val="auto"/>
        </w:rPr>
      </w:pPr>
    </w:p>
    <w:p>
      <w:pPr>
        <w:ind w:left="120" w:right="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September 8, 2023.</w:t>
      </w:r>
    </w:p>
    <w:p>
      <w:pPr>
        <w:sectPr>
          <w:pgSz w:w="11900" w:h="16838" w:orient="portrait"/>
          <w:cols w:equalWidth="0" w:num="1">
            <w:col w:w="11120"/>
          </w:cols>
          <w:pgMar w:left="320" w:top="23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2"/>
            <w:vMerge w:val="restart"/>
          </w:tcPr>
          <w:p>
            <w:pPr>
              <w:spacing w:after="0"/>
              <w:rPr>
                <w:sz w:val="20"/>
                <w:szCs w:val="20"/>
                <w:color w:val="auto"/>
              </w:rPr>
            </w:pPr>
            <w:r>
              <w:rPr>
                <w:rFonts w:ascii="Arial" w:cs="Arial" w:eastAsia="Arial" w:hAnsi="Arial"/>
                <w:sz w:val="18"/>
                <w:szCs w:val="18"/>
                <w:color w:val="0000EE"/>
              </w:rPr>
              <w:t>ABOUT THIS PROSPECTUS</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12"/>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PROSPECTUS SUMMARY</w:t>
            </w:r>
          </w:p>
        </w:tc>
        <w:tc>
          <w:tcPr>
            <w:tcW w:w="84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RISK FACTORS</w:t>
            </w:r>
          </w:p>
        </w:tc>
        <w:tc>
          <w:tcPr>
            <w:tcW w:w="85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7"/>
          </w:tcPr>
          <w:p>
            <w:pPr>
              <w:spacing w:after="0"/>
              <w:rPr>
                <w:sz w:val="17"/>
                <w:szCs w:val="17"/>
                <w:color w:val="auto"/>
              </w:rPr>
            </w:pPr>
          </w:p>
        </w:tc>
        <w:tc>
          <w:tcPr>
            <w:tcW w:w="5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Arial" w:cs="Arial" w:eastAsia="Arial" w:hAnsi="Arial"/>
                <w:sz w:val="18"/>
                <w:szCs w:val="18"/>
                <w:color w:val="0000EE"/>
              </w:rPr>
              <w:t>SELLING STOCKHOLDERS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PLAN OF DISTRIBUTION</w:t>
            </w:r>
          </w:p>
        </w:tc>
        <w:tc>
          <w:tcPr>
            <w:tcW w:w="84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Arial" w:cs="Arial" w:eastAsia="Arial" w:hAnsi="Arial"/>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800" w:type="dxa"/>
            <w:vAlign w:val="bottom"/>
            <w:gridSpan w:val="9"/>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54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or the SEC, using a “shelf” registration process. By using a shelf registration statement, the Selling Stockholders may sell securities from time to time and in one or more offerings as described in this prospectus. We may also authorize one or more free writing prospectuses to be provided to you that may contain material information relating to these offerings. The free writing prospectus may also add, update or change information contained in this prospectus with respect to that offering. If there is any inconsistency between the information in this prospectus and the applicable free writing prospectus, you should rely on the free writing prospectus. Before purchasing any securities, you should carefully read this prospectus and any applicable free writing prospectuses, together with the additional information described under the headings “Where You Can Find More Information” and “Incorporation of Certain Information by Reference.”</w:t>
      </w:r>
    </w:p>
    <w:p>
      <w:pPr>
        <w:spacing w:after="0" w:line="192"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Neither we, nor the Selling Stockholders, have authorized anyone to provide you with any information or to make any representations other than those contained in, or incorporated by reference into, this prospectus or any free writing prospectuses prepared by or on behalf of us or to which we have referred you. We and the Selling Stockholders take no responsibility for, and can provide no assurance as to the reliability of, any other information that others may give you. The Selling Stockholders will not make an offer to sell these securities in any jurisdiction where the offer or sale is not permitted. You should assume that the information appearing in this prospectus is accurate only as of the date on its respective cover, that the information appearing in any applicable free writing prospectus is accurate only as of the date of that free writing prospectus,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and any related free writing prospectus and under similar headings in other documents that are incorporated by reference into this prospectus. Accordingly, investors should not place undue reliance on this information.</w:t>
      </w:r>
    </w:p>
    <w:p>
      <w:pPr>
        <w:spacing w:after="0" w:line="16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When we refer to “ALX Oncology Holdings,” “we,” “our,” “us” and the “Company” in this prospectus, we mean ALX Oncology Holdings Inc., unless the context indicates otherwise or unless otherwise specified. When we refer to “you,” we mean the potential purchasers of the applicable series of securities offered by this prospectus.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80"/>
        <w:spacing w:after="0" w:line="273"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of investing in our common stock discussed under “Risk Factors” beginning on page 4 of this prospectus, the “Risk Factors” section of our most recent Annual Report on Form 10-K, as may be updated by our subsequent Quarterly Reports on Form 10-Q,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line="285" w:lineRule="auto"/>
        <w:rPr>
          <w:sz w:val="20"/>
          <w:szCs w:val="20"/>
          <w:color w:val="auto"/>
        </w:rPr>
      </w:pPr>
      <w:r>
        <w:rPr>
          <w:rFonts w:ascii="Arial" w:cs="Arial" w:eastAsia="Arial" w:hAnsi="Arial"/>
          <w:sz w:val="16"/>
          <w:szCs w:val="16"/>
          <w:color w:val="auto"/>
        </w:rPr>
        <w:t>We are a clinical-stage immuno-oncology company focused on helping patients fight cancer by developing a pipeline of product candidates lock the CD47 immune checkpoint pathway. Our lead candidate, evorpacept, is currently in multiple Phase 1 and 2 clinical trials. Cancer cells leverage CD47, a cell surface protein, as a “don’t eat me” signal to evade macrophage phagocytosis or as a “don’t activate T-cell” signal that prevents activation of T-cells by dendritic cells. Our company is developing a next-generation checkpoint inhibitor designed to have a high affinity for CD47 and to avoid the limitations caused by hematologic toxicities inherent in other CD47 blocking approaches. Rationally engineered with an inactive Fc effector function, evorpacept’s clinical data has demonstrated a substantially better safety profile to date than other anti-CD47 molecules in the clinic with an active Fc (i.e., binding the Fc gamma receptor on macrophages). This favorable safety profile allows us to dose higher with minimal overlapping toxicity in the combination treatment setting. CD47 expressed on cancer cells binds to its receptor SIRPα, which is predominantly expressed on two cell types: macrophages and dendritic cells. ALX Oncology intends to focus evorpacept development with the standard-of-care agents, as originally designed, revolving around these two cell types. As of June 30, 2023, we had dosed over 300 subjects with evorpacept across a range of hematologic and solid malignancies in combination with a number of leading anti-cancer agents. Based on our clinical results to date in multiple oncology indications showing encouraging anti-tumor activity and tolerability and our clinical development plans, our strategy is to pursue evorpacept as a potentially critical component for future combination treatments in oncology. Our second program combines our company’s SIRPα antibodies with Tallac Therapeutics’ toll-like receptor 9 agonist antibody conjugate to deliver a potent immune activator to myeloid cells in the tumor to promote innate and adaptive anti-cancer immune responses. Additionally, with our acquisition of ScalmiBio, Inc. (ScalmiBio) in October 2021, we are developing antibody drug conjugate, or ADC, candidates based on our expertise in protein engineering and oncology.</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The Company was formed as a Delaware corporation on April 1, 2020 for the purpose of completing the Company’s initial public offering of its common stock and related transactions in order to carry on the business of ALX Oncology Limited. Subsequently, ALX Oncology Limited became a wholly-owned subsidiary of the Company as a result of the internal reorganization. Our office is located at 323 Allerton Avenue, South San Francisco, California 94080. Our telephone number is 650-466-7125. Our website address is https://www.alxoncology.com. Information contained on, or that can be accessed through, our website is not incorporated by reference into this prospectus supplement and should not be considered to be part of this prospectus supplement or the accompanying prospectus. We have included our website address in this prospectus supplement and the accompanying prospectus solely as an inactive textual reference.</w:t>
      </w:r>
    </w:p>
    <w:p>
      <w:pPr>
        <w:spacing w:after="0" w:line="177" w:lineRule="exact"/>
        <w:rPr>
          <w:sz w:val="20"/>
          <w:szCs w:val="20"/>
          <w:color w:val="auto"/>
        </w:rPr>
      </w:pPr>
    </w:p>
    <w:p>
      <w:pPr>
        <w:ind w:left="300" w:right="280"/>
        <w:spacing w:after="0" w:line="229" w:lineRule="auto"/>
        <w:rPr>
          <w:sz w:val="20"/>
          <w:szCs w:val="20"/>
          <w:color w:val="auto"/>
        </w:rPr>
      </w:pPr>
      <w:r>
        <w:rPr>
          <w:rFonts w:ascii="Arial" w:cs="Arial" w:eastAsia="Arial" w:hAnsi="Arial"/>
          <w:sz w:val="18"/>
          <w:szCs w:val="18"/>
          <w:color w:val="auto"/>
        </w:rPr>
        <w:t xml:space="preserve">We use ALX Oncology and other marks as trademarks in the United States and other countries. Solely for convenience, trademarks and trade names referred to in this prospectus, including logos, artwork and other visual displays, may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w:t>
      </w:r>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7"/>
              </w:rPr>
              <w:t>Shares of Common Stock Offered by the Selling</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Up to 18,446,936 shares</w:t>
            </w:r>
          </w:p>
        </w:tc>
      </w:tr>
      <w:tr>
        <w:trPr>
          <w:trHeight w:val="230"/>
        </w:trPr>
        <w:tc>
          <w:tcPr>
            <w:tcW w:w="39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Stockholders:</w:t>
            </w:r>
          </w:p>
        </w:tc>
        <w:tc>
          <w:tcPr>
            <w:tcW w:w="7080" w:type="dxa"/>
            <w:vAlign w:val="bottom"/>
            <w:tcBorders>
              <w:right w:val="single" w:sz="8" w:color="auto"/>
            </w:tcBorders>
          </w:tcPr>
          <w:p>
            <w:pPr>
              <w:spacing w:after="0"/>
              <w:rPr>
                <w:sz w:val="20"/>
                <w:szCs w:val="20"/>
                <w:color w:val="auto"/>
              </w:rPr>
            </w:pPr>
          </w:p>
        </w:tc>
      </w:tr>
      <w:tr>
        <w:trPr>
          <w:trHeight w:val="473"/>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6"/>
              </w:rPr>
              <w:t>Common Stock Outstanding as of June 30, 2023</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40,992,179 shares</w:t>
            </w:r>
          </w:p>
        </w:tc>
      </w:tr>
      <w:tr>
        <w:trPr>
          <w:trHeight w:val="45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9"/>
              </w:rPr>
              <w:t>We will not receive any proceeds from the sale of shares of our common stock by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4"/>
              </w:rPr>
              <w:t>Selling Stockholders in this offering. See the sections titled “Use of Proceeds” and “Selling</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Stockholders” for additional information.</w:t>
            </w:r>
          </w:p>
        </w:tc>
      </w:tr>
      <w:tr>
        <w:trPr>
          <w:trHeight w:val="459"/>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NASDAQ Global Select Market Symbol:</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“ALXO”</w:t>
            </w:r>
          </w:p>
        </w:tc>
      </w:tr>
      <w:tr>
        <w:trPr>
          <w:trHeight w:val="458"/>
        </w:trPr>
        <w:tc>
          <w:tcPr>
            <w:tcW w:w="3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Investing in our securities involves substantial risks. You should read the “Risk Factors”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1"/>
              </w:rPr>
              <w:t>section of this prospectus and in the documents incorporated by reference in this prospectus</w:t>
            </w:r>
          </w:p>
        </w:tc>
      </w:tr>
      <w:tr>
        <w:trPr>
          <w:trHeight w:val="230"/>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for a discussion of factors to consider before deciding to purchase our securities.</w:t>
            </w:r>
          </w:p>
        </w:tc>
      </w:tr>
      <w:tr>
        <w:trPr>
          <w:trHeight w:val="159"/>
        </w:trPr>
        <w:tc>
          <w:tcPr>
            <w:tcW w:w="3940" w:type="dxa"/>
            <w:vAlign w:val="bottom"/>
            <w:tcBorders>
              <w:left w:val="single" w:sz="8" w:color="auto"/>
              <w:bottom w:val="single" w:sz="8" w:color="auto"/>
            </w:tcBorders>
          </w:tcPr>
          <w:p>
            <w:pPr>
              <w:spacing w:after="0"/>
              <w:rPr>
                <w:sz w:val="13"/>
                <w:szCs w:val="13"/>
                <w:color w:val="auto"/>
              </w:rPr>
            </w:pPr>
          </w:p>
        </w:tc>
        <w:tc>
          <w:tcPr>
            <w:tcW w:w="7080" w:type="dxa"/>
            <w:vAlign w:val="bottom"/>
            <w:tcBorders>
              <w:bottom w:val="single" w:sz="8" w:color="auto"/>
              <w:right w:val="single" w:sz="8" w:color="auto"/>
            </w:tcBorders>
          </w:tcPr>
          <w:p>
            <w:pPr>
              <w:spacing w:after="0"/>
              <w:rPr>
                <w:sz w:val="13"/>
                <w:szCs w:val="13"/>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4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Risks Related to this Offering and Our Common Stock</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Sales by the selling stockholders of the shares of our common stock covered by this prospectus could adversely affect the market price of our common stock.</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18,446,936 shares of common stock registered hereby represent approximately 45.0% of our total outstanding shares of common stock as of</w:t>
      </w:r>
    </w:p>
    <w:p>
      <w:pPr>
        <w:spacing w:after="0" w:line="3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June 30, 2023. The resale of all or a substantial number of these shares in the public market by the selling stockholders, or the perception that such sales might occur, could depress the market price of our common stock, which could impair our ability to raise capital through the sale of additional equity or equity-linked securities.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This prospectus and the information incorporated by reference in this prospectus contain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89"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third parties to conduct preclinical research activities, and for the manufacture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beneficial characteristics, mechanisms of action, safety profile, efficacy and therapeutic effects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our clinical trials, including collaborations and investigator sponsored trials, to demonstrate the safety and efficacy of our product candidates, and other positive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7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clinical trials of our product candidates, and for the manufacture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142"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rising interest rates, bank failures or instability in the financial services sector, or geopolitical risks on our business;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financial and internal controls;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anticipated use of our existing cash and cash equivalents, short-term and long-term investments, and the funds available from our term loan.</w:t>
      </w:r>
    </w:p>
    <w:p>
      <w:pPr>
        <w:spacing w:after="0" w:line="170"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8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will not receive any of the proceeds from the sale of shares of our common stock in this offering. The Selling Stockholders will receive all of the proceeds from this offering.</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Selling Stockholders will pay any underwriting discounts and commissions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and filing fees, fees and expenses of our counsel, certain expenses of counsel to the Selling Stockholders and our independent registered public accountants.</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On April 1, 2020, we entered into an investors’ rights agreement with the Selling Stockholders and certain other stockholders. This prospectus, which is being filed pursuant to our obligations under the investors’ rights agreement, covers the sale or other disposition by the Selling Stockholders of up to the total number of shares of common stock held by the selling stockholders. The shares of common stock were originally acquired in various transactions prior to or in conjunction with the Company’s initial public offering.</w:t>
      </w:r>
    </w:p>
    <w:p>
      <w:pPr>
        <w:spacing w:after="0" w:line="18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When we refer to the “Selling Stockholder” in this prospectus, we mean the person listed in the table below, as well as its donees, pledgees, assignees, transferees, distributees, successors and others who later hold the resale shares. 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covered hereby. The shares of our common stock covered hereby may be offered from time to time by the Selling Stockholders. See “Plan of Distribution.”</w:t>
      </w:r>
    </w:p>
    <w:p>
      <w:pPr>
        <w:spacing w:after="0" w:line="16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following table sets forth the name of each Selling Stockholder, the number of shares and percentage of our common stock beneficially owned by the Selling Stockholders as of June 30, 2023, based on 40,992,179 shares of our common stock outstanding, after giving effect to the resales, the number of shares of our common stock that may be offered under this prospectus, and the number and percentage of our common stock beneficially owned by the Selling Stockholders assuming all of the shares of our common stock registered hereunder are sold. 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The number of shares of our common stock in the column “Number of Shares Offered” represents all of the shares of our common stock that a Selling Stockholder may offer and sell from time to time under this prospectus.</w:t>
      </w:r>
    </w:p>
    <w:p>
      <w:pPr>
        <w:spacing w:after="0" w:line="16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information regarding shares beneficially owned after the offering assumes the sale of all shares offered by the Selling Stockholders. To our knowledge, subject to community property laws where applicable, except as otherwise noted in any footnote to the table, each person named in the table has sole voting and investment power with respect to the shares of common stock set forth opposite such person’s name.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500" w:type="dxa"/>
            <w:vAlign w:val="bottom"/>
            <w:gridSpan w:val="4"/>
          </w:tcPr>
          <w:p>
            <w:pPr>
              <w:ind w:left="440"/>
              <w:spacing w:after="0"/>
              <w:rPr>
                <w:sz w:val="20"/>
                <w:szCs w:val="20"/>
                <w:color w:val="auto"/>
              </w:rPr>
            </w:pPr>
            <w:r>
              <w:rPr>
                <w:rFonts w:ascii="Arial" w:cs="Arial" w:eastAsia="Arial" w:hAnsi="Arial"/>
                <w:sz w:val="14"/>
                <w:szCs w:val="14"/>
                <w:b w:val="1"/>
                <w:bCs w:val="1"/>
                <w:color w:val="auto"/>
              </w:rPr>
              <w:t>Prior to Offering</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gridSpan w:val="4"/>
          </w:tcPr>
          <w:p>
            <w:pPr>
              <w:ind w:left="50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20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Number of</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560" w:type="dxa"/>
            <w:vAlign w:val="bottom"/>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114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Number of</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8"/>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4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Offered</w:t>
            </w:r>
          </w:p>
        </w:tc>
        <w:tc>
          <w:tcPr>
            <w:tcW w:w="4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4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Entities affiliated with venBio Partners(1)</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9,699,925</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23.7%</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9,699,925</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Entities affiliated with Lightstone Ventures(2)</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4,526,963</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11.0%</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4,526,963</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Entities affiliated with Vivo Capital(3)</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4,220,048</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4,220,048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90"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 of (i) 5,268,325 shares held of record by venBio Global Strategic Fund II, L.P. (GSF II LP); (ii) 3,969,789 shares held of record by venBio Global Strategic Fund, L.P. (GSF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GS GP II Ltd and GS GP Ltd and the Managing Directors of venBio SPV, LLC (SPV LLC), Robert Adelman and Corey Goodman, one of our directors, share voting and dispositive power with respect to the shares held of record by GSF II LP, GSF LP and SPV LLC. This amount excludes: (i) 96,406 shares held of record by Dr. Adelman; (ii) 113,287 shares held of record by the Goodman Barinaga Trust for which Dr. Goodman serves as trustee; (iii) 54,083 shares held of record by the Emaldi Corporation for which Dr. Goodman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20"/>
        <w:spacing w:after="0" w:line="255" w:lineRule="auto"/>
        <w:rPr>
          <w:sz w:val="20"/>
          <w:szCs w:val="20"/>
          <w:color w:val="auto"/>
        </w:rPr>
      </w:pPr>
      <w:r>
        <w:rPr>
          <w:rFonts w:ascii="Arial" w:cs="Arial" w:eastAsia="Arial" w:hAnsi="Arial"/>
          <w:sz w:val="18"/>
          <w:szCs w:val="18"/>
          <w:color w:val="auto"/>
        </w:rPr>
        <w:t>serves as a director; and (iv) 51,383 shares issuable upon options held of record by Dr. Goodman that are currently exercisable or exercisable within 60 days of June 30, 2023. The address for these entities is c/o venBio Partners, LLC, 1700 Owens Street, Suite 595, San Francisco, California 94158.</w:t>
      </w:r>
    </w:p>
    <w:p>
      <w:pPr>
        <w:spacing w:after="0" w:line="3" w:lineRule="exact"/>
        <w:rPr>
          <w:sz w:val="20"/>
          <w:szCs w:val="20"/>
          <w:color w:val="auto"/>
        </w:rPr>
      </w:pPr>
    </w:p>
    <w:p>
      <w:pPr>
        <w:ind w:left="540" w:right="40" w:hanging="424"/>
        <w:spacing w:after="0" w:line="265"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 of (i) 2,097,327 shares held of record by Lightstone Ventures, LP (LV LP); (ii) 2,023,469 shares held of record by Lightstone Ventures II, LP (LV II LP); (iii) 285,955 shares held of record by Lightstone Ventures (A), LP (LV(A) LP); and (iv) 120,212 shares held of record by Lightstone Ventures II (A), LP (LV II(A) LP and, collectively with LV LP, LV II LP and LV(A) LP, the Lightstone Funds). LSV Associates, LLC (LSV Associates) is the General Partner of LV LP and LV(A) LP, and LSV Associates II, LLC (LSV Associates II) is the General Partner of LV II LP and LV II(A) LP. As the managing directors of LSV Associates and LSV Associates II, Michael A. Carusi, Jean M. George and Henry A. Plain, Jr. share voting and dispositive power with respect to the shares held of record by the Lightstone Funds. The address for these entities is c/o LSV Capital Management, LLC, 2884 Sand Hill Road, Suite 121, Menlo Park, California 94025.</w:t>
      </w:r>
    </w:p>
    <w:p>
      <w:pPr>
        <w:spacing w:after="0" w:line="1" w:lineRule="exact"/>
        <w:rPr>
          <w:rFonts w:ascii="Arial" w:cs="Arial" w:eastAsia="Arial" w:hAnsi="Arial"/>
          <w:sz w:val="17"/>
          <w:szCs w:val="17"/>
          <w:color w:val="auto"/>
        </w:rPr>
      </w:pPr>
    </w:p>
    <w:p>
      <w:pPr>
        <w:ind w:left="540" w:right="60" w:hanging="424"/>
        <w:spacing w:after="0" w:line="277"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 of (i) 4,034,522 shares held of record by Vivo Capital Fund IX, L.P. (VIVO IX LP) and (ii) 185,526 shares held of record by Vivo Opportunity Fund Holdings, L.P. (VOF). Vivo Capital IX, LLC (VIVO IX LLC) is the General Partner of VIVO IX LP. Vivo Opportunity, LLC is the general partner of VOF. The address for these entities is c/o Vivo Capital, 192 Lytton Avenue, Palo Alto, California 94301.</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Party Transactions with the Selling Stockholders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Dr. Corey Goodman, a member of our board directors and the Executive Chairman of our board of directors, co-founded and has served as a Managing Partner of venBio Partners, or venBio, since March 2010.</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Jason Lettmann, our Chief Executive Officer and a member of our board of directors, served as a General Partner of Lightstone Ventures from March 2012 to July 2023.</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 Jaume Pons, our President, Chief Scientific Officer, and a member of our board of directors, has served as a Venture Partner at venBio since January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2017. Dr. Pons entered into a consulting agreement with venBio to provide assistance with deal generation, evaluate potential investments and serve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boards of venBio’s portfolio companies. In accordance with this agreement as compensation for services provided, venBio paid Dr. Pons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$125,000 per year each year from 2017 to 2022. The consulting agreement remains in effect until terminated by either party with or without prior notice.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Pons has served as a Scientific Advisor at Lightstone Ventures, or Lightstone, since January 2019.</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Jack Nielsen, a member of our board of directors, has served as a Managing Partner at Vivo Capital LLC since March 2021 and previously served as a Managing Director since August 2017.</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For a detailed discussion of our directors’ compensation and our related party transactions, please see the “Director Compensation” and “Certain Relationships, Related Party and Other Transactions” sections, respectively, in our Definitive Proxy Statement on Schedule 14A, filed with the SEC on April 24, 2023.</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The Selling Stockholders, which as used herein includes donees, pledges, transferees or other successors-in-interest selling shares of common stock previously issued and the shares of common stock issuable upon exercise of interests in shares of common stock received after the date of this prospectus from a Selling Stockholder as a gift, pledge, partnership distribution or other transfer, may, from time to time, sell, transfer or otherwise dispose any or all of the shares of common stock beneficially owned by them and offered hereby.</w:t>
      </w:r>
    </w:p>
    <w:p>
      <w:pPr>
        <w:spacing w:after="0" w:line="17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sales may be made on one or more exchanges or in the over-the-counter market or otherwise, at prices and at terms then prevailing or at prices related to the then current market price, or in negotiated transactions. The Selling Stockholders may also pledge the shares of common stock to secure debts and other obligations or on foreclosure of a pledge, in options transactions or through convertible securities or agreements to be satisfied by the delivery of shares of common stock, or any other manner permitted pursuant to applicable law.</w:t>
      </w:r>
    </w:p>
    <w:p>
      <w:pPr>
        <w:spacing w:after="0" w:line="17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Selling Stockholders may effect such transactions by selling the shares of common stock to or through broker-dealers. The shares of common stock may be sold through broker-dealers by one or more of, or a combination of, the following:</w:t>
      </w:r>
    </w:p>
    <w:p>
      <w:pPr>
        <w:spacing w:after="0" w:line="76" w:lineRule="exact"/>
        <w:rPr>
          <w:sz w:val="20"/>
          <w:szCs w:val="20"/>
          <w:color w:val="auto"/>
        </w:rPr>
      </w:pPr>
    </w:p>
    <w:p>
      <w:pPr>
        <w:ind w:left="1080" w:right="1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block trade in which the broker-dealer so engaged will attempt to sell the shares of common stock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Selling Stockholders may also sell shares under Rule 144 under the Securities Act of 1933, as amended, if available, rather than under this prospectus.</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Selling Stockholders also may transfer the shares of common stock in other circumstances, in which case the transferees or other successors in interest will be the selling beneficial owners for purposes of this prospectus.</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w:t>
      </w:r>
    </w:p>
    <w:p>
      <w:pPr>
        <w:spacing w:after="0" w:line="165"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Selling Stockholders have informed us that, except as set forth below, none of them have any agreement or understanding, directly or indirectly, with any person to distribute the common stock. If any Selling Stockholder notifies us that a material arrangement has been entered into with a broker-dealer for the sale of shares through a block trade, special offering or secondary distribution or a purchase by a broker or dealer, we may be required to file a prospectus supplement pursuant to the applicable rules promulgated under the Securities Act of 1933. Selling Stockholders who are entities rather than natural persons may distribute shares to their partners, members, shareholders or other owners in normal course, who may in turn sell the shares in the manner listed above. The Selling Stockholders may also sell their shares through a combination of any of the above methods of sale.</w:t>
      </w:r>
    </w:p>
    <w:p>
      <w:pPr>
        <w:spacing w:after="0" w:line="16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shelf registration statement, of which this prospectus forms a part.</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We are required to pay all fees and expenses incident to the registration of the shares. We have agreed to indemnify the Selling Stockholders against certain losses, claims, damages and liabilities, including liabilities under the Securities Act, or the Selling Stockholders may be entitled to contribution. We may be indemnified by the Selling Stockholders against civil liabilities, including liabilities under the Securities Act that may arise from written information furnished to us by the Selling Stockholders specifically for use in this prospectus.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We may restrict or suspend offers and sales or other dispositions of the shares under the shelf registration statement, of which this prospectus forms a part, at any time from and after the effective date of the shelf registration statement, subject to certain terms and conditions. In the event of such restriction or suspension, the Selling Stockholders will not be able to offer or sell or otherwise dispose of the shares of common stock under the shelf registration statement.</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Once sold under the shelf registration statement, of which this prospectus forms a part, the shares of common stock will be freely tradeable in the hands of persons other than our affiliates.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validity of the common stock offered hereby has been passed upon for us by Wilson Sonsini Goodrich &amp; Rosati, Professional Corporation, Palo Alto, California.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consolidated financial statements of ALX Oncology Holdings Inc. and subsidiaries as of December 31, 2022 and 2021, and for each of the years in the three-year period ended December 31, 2022,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9, 2023;</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2023 and June 30, 2023, filed with the SEC on </w:t>
      </w:r>
      <w:hyperlink r:id="rId26">
        <w:r>
          <w:rPr>
            <w:rFonts w:ascii="Arial" w:cs="Arial" w:eastAsia="Arial" w:hAnsi="Arial"/>
            <w:sz w:val="18"/>
            <w:szCs w:val="18"/>
            <w:u w:val="single" w:color="auto"/>
            <w:color w:val="0000EE"/>
          </w:rPr>
          <w:t>May 11,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7">
        <w:r>
          <w:rPr>
            <w:rFonts w:ascii="Arial" w:cs="Arial" w:eastAsia="Arial" w:hAnsi="Arial"/>
            <w:sz w:val="18"/>
            <w:szCs w:val="18"/>
            <w:u w:val="single" w:color="auto"/>
            <w:color w:val="0000EE"/>
          </w:rPr>
          <w:t>August 10, 2023</w:t>
        </w:r>
      </w:hyperlink>
      <w:r>
        <w:rPr>
          <w:rFonts w:ascii="Arial" w:cs="Arial" w:eastAsia="Arial" w:hAnsi="Arial"/>
          <w:sz w:val="18"/>
          <w:szCs w:val="18"/>
          <w:color w:val="000000"/>
        </w:rPr>
        <w:t>;</w:t>
      </w:r>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8">
        <w:r>
          <w:rPr>
            <w:rFonts w:ascii="Arial" w:cs="Arial" w:eastAsia="Arial" w:hAnsi="Arial"/>
            <w:sz w:val="18"/>
            <w:szCs w:val="18"/>
            <w:u w:val="single" w:color="auto"/>
            <w:color w:val="0000EE"/>
          </w:rPr>
          <w:t>June 20,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9">
        <w:r>
          <w:rPr>
            <w:rFonts w:ascii="Arial" w:cs="Arial" w:eastAsia="Arial" w:hAnsi="Arial"/>
            <w:sz w:val="18"/>
            <w:szCs w:val="18"/>
            <w:u w:val="single" w:color="auto"/>
            <w:color w:val="0000EE"/>
          </w:rPr>
          <w:t>September 6, 2023</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 our Annual Report on Form 10-K for the year ended December 31, 2022, from our </w:t>
      </w:r>
      <w:hyperlink r:id="rId30">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relating to our 2023 annual meeting of stockholders, filed with the SEC on April 24, 2023;</w:t>
      </w:r>
    </w:p>
    <w:p>
      <w:pPr>
        <w:spacing w:after="0" w:line="51"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31">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July 13, 2020, including any amendments thereto or reports filed for the purposes of updating this description.</w:t>
      </w:r>
    </w:p>
    <w:p>
      <w:pPr>
        <w:spacing w:after="0" w:line="170" w:lineRule="exact"/>
        <w:rPr>
          <w:rFonts w:ascii="Arial" w:cs="Arial" w:eastAsia="Arial" w:hAnsi="Arial"/>
          <w:sz w:val="17"/>
          <w:szCs w:val="17"/>
          <w:color w:val="auto"/>
        </w:rPr>
      </w:pPr>
    </w:p>
    <w:p>
      <w:pPr>
        <w:ind w:left="120"/>
        <w:spacing w:after="0" w:line="290" w:lineRule="auto"/>
        <w:rPr>
          <w:sz w:val="20"/>
          <w:szCs w:val="20"/>
          <w:color w:val="auto"/>
        </w:rPr>
      </w:pPr>
      <w:r>
        <w:rPr>
          <w:rFonts w:ascii="Arial" w:cs="Arial" w:eastAsia="Arial" w:hAnsi="Arial"/>
          <w:sz w:val="16"/>
          <w:szCs w:val="16"/>
          <w:color w:val="auto"/>
        </w:rPr>
        <w:t>Any documents we file with the SEC pursuant to Section 13(a), 13(c), 14 or 15(d) of the Exchange Act after the date of the initial registration statement of which this prospectus forms a part and prior to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65" w:lineRule="exact"/>
        <w:rPr>
          <w:rFonts w:ascii="Arial" w:cs="Arial" w:eastAsia="Arial" w:hAnsi="Arial"/>
          <w:sz w:val="17"/>
          <w:szCs w:val="17"/>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We will provide to each person, including any beneficial owner, to whom a prospectus is delivered, a copy of any or all of the information that is incorporated by reference in the prospectus but not delivered with the prospectus. You can request a copy of these filings, at no cost, by writing or telephoning us at the following address or telephone number:</w:t>
      </w:r>
    </w:p>
    <w:p>
      <w:pPr>
        <w:spacing w:after="0" w:line="184"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ALX Oncology Holdings Inc.</w:t>
      </w:r>
    </w:p>
    <w:p>
      <w:pPr>
        <w:spacing w:after="0" w:line="23"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323 Allerton Avenue</w:t>
      </w:r>
    </w:p>
    <w:p>
      <w:pPr>
        <w:spacing w:after="0" w:line="9"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South San Francisco, CA 94080</w:t>
      </w:r>
    </w:p>
    <w:p>
      <w:pPr>
        <w:spacing w:after="0" w:line="9"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650-466-7125</w:t>
      </w:r>
    </w:p>
    <w:p>
      <w:pPr>
        <w:spacing w:after="0" w:line="211" w:lineRule="exact"/>
        <w:rPr>
          <w:rFonts w:ascii="Arial" w:cs="Arial" w:eastAsia="Arial" w:hAnsi="Arial"/>
          <w:sz w:val="17"/>
          <w:szCs w:val="17"/>
          <w:color w:val="auto"/>
        </w:rPr>
      </w:pPr>
    </w:p>
    <w:p>
      <w:pPr>
        <w:ind w:left="120" w:right="160"/>
        <w:spacing w:after="0" w:line="277"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03"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803275</wp:posOffset>
            </wp:positionV>
            <wp:extent cx="1954530" cy="702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80"/>
        <w:spacing w:after="0"/>
        <w:rPr>
          <w:sz w:val="20"/>
          <w:szCs w:val="20"/>
          <w:color w:val="auto"/>
        </w:rPr>
      </w:pPr>
      <w:r>
        <w:rPr>
          <w:rFonts w:ascii="Arial" w:cs="Arial" w:eastAsia="Arial" w:hAnsi="Arial"/>
          <w:sz w:val="25"/>
          <w:szCs w:val="25"/>
          <w:b w:val="1"/>
          <w:bCs w:val="1"/>
          <w:color w:val="auto"/>
        </w:rPr>
        <w:t>18,446,936 Shares of Common Stock</w:t>
      </w:r>
    </w:p>
    <w:p>
      <w:pPr>
        <w:spacing w:after="0" w:line="200" w:lineRule="exact"/>
        <w:rPr>
          <w:sz w:val="20"/>
          <w:szCs w:val="20"/>
          <w:color w:val="auto"/>
        </w:rPr>
      </w:pPr>
    </w:p>
    <w:p>
      <w:pPr>
        <w:spacing w:after="0" w:line="291" w:lineRule="exact"/>
        <w:rPr>
          <w:sz w:val="20"/>
          <w:szCs w:val="20"/>
          <w:color w:val="auto"/>
        </w:rPr>
      </w:pPr>
    </w:p>
    <w:p>
      <w:pPr>
        <w:ind w:left="3720"/>
        <w:spacing w:after="0"/>
        <w:rPr>
          <w:sz w:val="20"/>
          <w:szCs w:val="20"/>
          <w:color w:val="auto"/>
        </w:rPr>
      </w:pPr>
      <w:r>
        <w:rPr>
          <w:rFonts w:ascii="Arial" w:cs="Arial" w:eastAsia="Arial" w:hAnsi="Arial"/>
          <w:sz w:val="24"/>
          <w:szCs w:val="24"/>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2736850</wp:posOffset>
            </wp:positionV>
            <wp:extent cx="147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September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565785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jpe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25" Type="http://schemas.openxmlformats.org/officeDocument/2006/relationships/hyperlink" Target="http://www.sec.gov/Archives/edgar/data/1810182/000095017023007013/alxo-20221231.htm" TargetMode="External"/><Relationship Id="rId26" Type="http://schemas.openxmlformats.org/officeDocument/2006/relationships/hyperlink" Target="http://www.sec.gov/Archives/edgar/data/1810182/000095017023021247/alxo-20230331.htm" TargetMode="External"/><Relationship Id="rId27" Type="http://schemas.openxmlformats.org/officeDocument/2006/relationships/hyperlink" Target="http://www.sec.gov/Archives/edgar/data/1810182/000095017023041319/alxo-20230630.htm" TargetMode="External"/><Relationship Id="rId28" Type="http://schemas.openxmlformats.org/officeDocument/2006/relationships/hyperlink" Target="http://www.sec.gov/Archives/edgar/data/1810182/000095017023028787/alxo-20230616.htm" TargetMode="External"/><Relationship Id="rId29" Type="http://schemas.openxmlformats.org/officeDocument/2006/relationships/hyperlink" Target="http://www.sec.gov/ix?doc=/Archives/edgar/data/1810182/000119312523229584/d846509d8k.htm" TargetMode="External"/><Relationship Id="rId30" Type="http://schemas.openxmlformats.org/officeDocument/2006/relationships/hyperlink" Target="http://www.sec.gov/Archives/edgar/data/1810182/000095017023013952/alxo_def_14a_2023_proxy.htm" TargetMode="External"/><Relationship Id="rId31" Type="http://schemas.openxmlformats.org/officeDocument/2006/relationships/hyperlink" Target="http://www.sec.gov/Archives/edgar/data/0001810182/000119312520191878/d93694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2023-09-08T15:32:58Z</dcterms:created>
  <dcterms:modified xsi:type="dcterms:W3CDTF">2023-09-08T15:32:58Z</dcterms:modified>
</cp:coreProperties>
</file>