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20" w:type="dxa"/>
            <w:vAlign w:val="bottom"/>
          </w:tcPr>
          <w:p>
            <w:pPr>
              <w:spacing w:after="0"/>
              <w:rPr>
                <w:sz w:val="13"/>
                <w:szCs w:val="13"/>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2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20" w:type="dxa"/>
            <w:vAlign w:val="bottom"/>
          </w:tcPr>
          <w:p>
            <w:pPr>
              <w:spacing w:after="0"/>
              <w:rPr>
                <w:sz w:val="21"/>
                <w:szCs w:val="21"/>
                <w:color w:val="auto"/>
              </w:rPr>
            </w:pPr>
          </w:p>
        </w:tc>
        <w:tc>
          <w:tcPr>
            <w:tcW w:w="22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20" w:type="dxa"/>
            <w:vAlign w:val="bottom"/>
          </w:tcPr>
          <w:p>
            <w:pPr>
              <w:spacing w:after="0"/>
              <w:rPr>
                <w:sz w:val="16"/>
                <w:szCs w:val="16"/>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 Compensatory Arrangements of Certain Officers.</w:t>
      </w:r>
    </w:p>
    <w:p>
      <w:pPr>
        <w:spacing w:after="0" w:line="159" w:lineRule="exact"/>
        <w:rPr>
          <w:sz w:val="20"/>
          <w:szCs w:val="20"/>
          <w:color w:val="auto"/>
        </w:rPr>
      </w:pPr>
    </w:p>
    <w:p>
      <w:pPr>
        <w:ind w:right="60" w:firstLine="585"/>
        <w:spacing w:after="0" w:line="261" w:lineRule="auto"/>
        <w:rPr>
          <w:sz w:val="20"/>
          <w:szCs w:val="20"/>
          <w:color w:val="auto"/>
        </w:rPr>
      </w:pPr>
      <w:r>
        <w:rPr>
          <w:rFonts w:ascii="Times New Roman" w:cs="Times New Roman" w:eastAsia="Times New Roman" w:hAnsi="Times New Roman"/>
          <w:sz w:val="18"/>
          <w:szCs w:val="18"/>
          <w:color w:val="auto"/>
        </w:rPr>
        <w:t>Effective as of November 28, 2022, the Board of Directors of ALX Oncology Holdings Inc. (the “Company”) appointed Scott Garland to its Board of Directors and increased the size of its Board of Directors from seven to eight directors in connection with his appointment. The appointment was made based upon the recommendation of the Corporate Governance and Nominating Committee of the Company’s Board of Directors. Mr. Garland has been designated as a Class III director for a term expiring at the Company’s 2023 Annual Meeting of Stockholders.</w:t>
      </w:r>
    </w:p>
    <w:p>
      <w:pPr>
        <w:spacing w:after="0" w:line="180" w:lineRule="exact"/>
        <w:rPr>
          <w:sz w:val="20"/>
          <w:szCs w:val="20"/>
          <w:color w:val="auto"/>
        </w:rPr>
      </w:pPr>
    </w:p>
    <w:p>
      <w:pPr>
        <w:ind w:right="60" w:firstLine="585"/>
        <w:spacing w:after="0" w:line="274" w:lineRule="auto"/>
        <w:rPr>
          <w:sz w:val="20"/>
          <w:szCs w:val="20"/>
          <w:color w:val="auto"/>
        </w:rPr>
      </w:pPr>
      <w:r>
        <w:rPr>
          <w:rFonts w:ascii="Times New Roman" w:cs="Times New Roman" w:eastAsia="Times New Roman" w:hAnsi="Times New Roman"/>
          <w:sz w:val="17"/>
          <w:szCs w:val="17"/>
          <w:color w:val="auto"/>
        </w:rPr>
        <w:t>Mr. Garland currently serves as the Chief Executive Officer of PACT Pharma, a clinical stage immuno-oncology company focused on engineering T cell therapies. Over his 30 years of experience in the biopharmaceutical industry, Mr. Garland has held various leadership positions, with recent expertise focused on commercial product launches, including as President and Chief Executive Officer of Portola Pharmaceuticals from October 2018 until July 2020, as President and Chief Commercial Officer of Relypsa, Inc. from November 2014 until October 2018, and previously as Chief Commercial Officer of Exelixis, Inc. Mr. Garland currently serves as a member of the board of directors of Calithera Biosciences, Inc. and Day One Biopharmaceuticals, Inc. Mr. Garland holds a B.S. from California Polytechnic State University, San Luis Obispo and an M.B.A. from Duke University’s Fuqua School of Business.</w:t>
      </w:r>
    </w:p>
    <w:p>
      <w:pPr>
        <w:spacing w:after="0" w:line="173" w:lineRule="exact"/>
        <w:rPr>
          <w:sz w:val="20"/>
          <w:szCs w:val="20"/>
          <w:color w:val="auto"/>
        </w:rPr>
      </w:pPr>
    </w:p>
    <w:p>
      <w:pPr>
        <w:ind w:right="200" w:firstLine="585"/>
        <w:spacing w:after="0" w:line="256" w:lineRule="auto"/>
        <w:rPr>
          <w:sz w:val="20"/>
          <w:szCs w:val="20"/>
          <w:color w:val="auto"/>
        </w:rPr>
      </w:pPr>
      <w:r>
        <w:rPr>
          <w:rFonts w:ascii="Times New Roman" w:cs="Times New Roman" w:eastAsia="Times New Roman" w:hAnsi="Times New Roman"/>
          <w:sz w:val="18"/>
          <w:szCs w:val="18"/>
          <w:color w:val="auto"/>
        </w:rPr>
        <w:t>In accordance with the Company’s outside director compensation policy (the “Policy”) and in connection with his appointment on November 28, 2022, Mr. Garland was automatically granted an initial award of stock options to purchase 24,009 shares of the Company’s common stock (the “Initial Award”). The Initial Award is scheduled to vest in equal installments as to one thirty-sixth of the shares subject to the Initial Award on a monthly basis following the Initial Award’s grant date, on the same day of the month as the grant date, subject to continued services to the Company through the applicable vesting date. Mr. Garland shall also be entitled to annual cash compensation and equity awards under the terms of the Policy. In addition, the Company entered into an indemnification agreement with Mr. Garland in the same form as the Company’s other directors.</w:t>
      </w:r>
    </w:p>
    <w:p>
      <w:pPr>
        <w:spacing w:after="0" w:line="187" w:lineRule="exact"/>
        <w:rPr>
          <w:sz w:val="20"/>
          <w:szCs w:val="20"/>
          <w:color w:val="auto"/>
        </w:rPr>
      </w:pPr>
    </w:p>
    <w:p>
      <w:pPr>
        <w:jc w:val="both"/>
        <w:ind w:right="620" w:firstLine="585"/>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Garland and any other person pursuant to which he was selected to serve on the Company’s Board of Directors. There are no transactions in which the Company or any of its subsidiaries is a party and in which Mr. Garland has a material interest subject to disclosure under Item 404(a) of Regulation S-K.</w:t>
      </w:r>
    </w:p>
    <w:p>
      <w:pPr>
        <w:spacing w:after="0" w:line="176" w:lineRule="exact"/>
        <w:rPr>
          <w:sz w:val="20"/>
          <w:szCs w:val="20"/>
          <w:color w:val="auto"/>
        </w:rPr>
      </w:pPr>
    </w:p>
    <w:p>
      <w:pPr>
        <w:ind w:right="200" w:firstLine="585"/>
        <w:spacing w:after="0" w:line="282" w:lineRule="auto"/>
        <w:rPr>
          <w:sz w:val="20"/>
          <w:szCs w:val="20"/>
          <w:color w:val="auto"/>
        </w:rPr>
      </w:pPr>
      <w:r>
        <w:rPr>
          <w:rFonts w:ascii="Times New Roman" w:cs="Times New Roman" w:eastAsia="Times New Roman" w:hAnsi="Times New Roman"/>
          <w:sz w:val="18"/>
          <w:szCs w:val="18"/>
          <w:color w:val="auto"/>
        </w:rPr>
        <w:t>On November 29, 2022, the Company issued a press release announcing the appointment of Mr. Garland to its Board of Directors. A copy of this press release is furnished as Exhibit 99.1 to this Current Report on Form 8-K and is incorporated herein by reference.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29, 2022</w:t>
            </w:r>
          </w:p>
        </w:tc>
        <w:tc>
          <w:tcPr>
            <w:tcW w:w="20" w:type="dxa"/>
            <w:vAlign w:val="bottom"/>
            <w:tcBorders>
              <w:bottom w:val="single" w:sz="8" w:color="0000EE"/>
            </w:tcBorders>
          </w:tcPr>
          <w:p>
            <w:pPr>
              <w:spacing w:after="0"/>
              <w:rPr>
                <w:sz w:val="24"/>
                <w:szCs w:val="24"/>
                <w:color w:val="auto"/>
              </w:rPr>
            </w:pPr>
          </w:p>
        </w:tc>
        <w:tc>
          <w:tcPr>
            <w:tcW w:w="7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560"/>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5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November 29, 2022</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3"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182562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56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ALX Oncology Appoints Scott Garland to its Board of Directors</w:t>
      </w:r>
    </w:p>
    <w:p>
      <w:pPr>
        <w:spacing w:after="0" w:line="22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November 29, 2022 (GLOBE NEWSWIRE) -- </w:t>
      </w:r>
      <w:r>
        <w:rPr>
          <w:rFonts w:ascii="Times New Roman" w:cs="Times New Roman" w:eastAsia="Times New Roman" w:hAnsi="Times New Roman"/>
          <w:sz w:val="20"/>
          <w:szCs w:val="20"/>
          <w:color w:val="auto"/>
        </w:rPr>
        <w:t>ALX Oncology Holdings Inc., (“ALX Oncology”)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ALXO) a clinical-stage immuno-oncology company developing therapies that block the CD47 checkpoint pathway, today announced the appointment of Scott Garland to its Board of Directors (the “Board”) effective November 28, 2022. With more than 30 years of biopharmaceutical industry knowledge, Mr. Garland brings deep commercial and executive leadership experience.</w:t>
      </w:r>
    </w:p>
    <w:p>
      <w:pPr>
        <w:spacing w:after="0" w:line="7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“Scott is a biopharmaceutical industry leader who brings broad commercial, portfolio management, and leadership experience to the Board,” said Corey Goodman, Ph.D., Executive Chairman of ALX Oncology. “His strategic expertise and counsel will be critical to ALX as we continue to expand the potential value of evorpacept as a cornerstone therapy for the treatment of patients with cancer. On behalf of the Board and our executive leadership team, we welcome Scott and look forward to his contributions.”</w:t>
      </w:r>
    </w:p>
    <w:p>
      <w:pPr>
        <w:spacing w:after="0" w:line="72"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20"/>
          <w:szCs w:val="20"/>
          <w:color w:val="auto"/>
        </w:rPr>
        <w:t>Mr. Garland is the Chief Executive Officer of PACT Pharma, an immuno-oncology company focused on developing neoantigen targeted T-cell therapies for solid tumors. He was formerly the Chief Executive Officer of Portola Pharmaceuticals, which was acquired by Alexion in 2020. At Portola, he led the company through the commercial launch of Andrexxa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a novel reversal agent for factor Xa inhibitors. Before joining Portola, Mr. Garland held leadership roles at multiple pharmaceutical and biotechnology companies. At Relypsa, he served first as Chief Commercial Officer, then as president overseeing the U.S. commercial launch of Veltassa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for the treatment of hyperkalemia. Prior to Relypsa, Mr. Garland spent three years as Chief Commercial Officer at Exelixis where he built the commercial organization for the company's launch of cabozantinib in medullary thyroid cancer. He also spent nine years at Genentech, where he led the commercial franchises for two multi-billion-dollar cancer therapies – Avastin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Rituxan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Mr. Garland sits on the Board for Day One Biopharmaceuticals and Calithera Biosciences, and formerly sat on the Board of Karyopharm Therapeutics. Mr. Garland received a Bachelor of Science degree from California Polytechnic State University-San Luis Obispo and a master's degree in business administration from the Fuqua School of Business at Duke University.</w:t>
      </w:r>
    </w:p>
    <w:p>
      <w:pPr>
        <w:spacing w:after="0" w:line="8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“It is a privilege to be joining ALX’s Board, especially as the Company continues to further the development of evorpacept into a variety of patient populations with high unmet medical need,” said Mr. Garland. “I look forward to working with the Board and management team through an important growth trajectory for the Company, while making a significant impact on people living with cancer.”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ind w:right="560"/>
        <w:spacing w:after="0" w:line="245" w:lineRule="auto"/>
        <w:rPr>
          <w:sz w:val="20"/>
          <w:szCs w:val="20"/>
          <w:color w:val="auto"/>
        </w:rPr>
      </w:pPr>
      <w:r>
        <w:rPr>
          <w:rFonts w:ascii="Times New Roman" w:cs="Times New Roman" w:eastAsia="Times New Roman" w:hAnsi="Times New Roman"/>
          <w:sz w:val="20"/>
          <w:szCs w:val="20"/>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4" w:name="page5"/>
    <w:bookmarkEnd w:id="4"/>
    <w:p>
      <w:pPr>
        <w:spacing w:after="0" w:line="243" w:lineRule="auto"/>
        <w:rPr>
          <w:sz w:val="20"/>
          <w:szCs w:val="20"/>
          <w:color w:val="auto"/>
        </w:rPr>
      </w:pPr>
      <w:r>
        <w:rPr>
          <w:rFonts w:ascii="Times New Roman" w:cs="Times New Roman" w:eastAsia="Times New Roman" w:hAnsi="Times New Roman"/>
          <w:sz w:val="20"/>
          <w:szCs w:val="20"/>
          <w:color w:val="auto"/>
        </w:rPr>
        <w:t>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Garcia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 ALX Oncology</w:t>
      </w:r>
    </w:p>
    <w:p>
      <w:pPr>
        <w:jc w:val="both"/>
        <w:ind w:right="9160" w:firstLine="8"/>
        <w:spacing w:after="0" w:line="271" w:lineRule="auto"/>
        <w:tabs>
          <w:tab w:leader="none" w:pos="47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466-7125 Ext. 113 </w:t>
      </w:r>
      <w:r>
        <w:rPr>
          <w:rFonts w:ascii="Times New Roman" w:cs="Times New Roman" w:eastAsia="Times New Roman" w:hAnsi="Times New Roman"/>
          <w:sz w:val="19"/>
          <w:szCs w:val="19"/>
          <w:u w:val="single" w:color="auto"/>
          <w:color w:val="auto"/>
        </w:rPr>
        <w:t>peter@alxoncology.com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Argot Partners</w:t>
      </w:r>
    </w:p>
    <w:p>
      <w:pPr>
        <w:spacing w:after="0" w:line="22" w:lineRule="exact"/>
        <w:rPr>
          <w:sz w:val="20"/>
          <w:szCs w:val="20"/>
          <w:color w:val="auto"/>
        </w:rPr>
      </w:pPr>
    </w:p>
    <w:p>
      <w:pPr>
        <w:ind w:right="8520" w:firstLine="8"/>
        <w:spacing w:after="0" w:line="271" w:lineRule="auto"/>
        <w:tabs>
          <w:tab w:leader="none" w:pos="47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600-1902 </w:t>
      </w:r>
      <w:r>
        <w:rPr>
          <w:rFonts w:ascii="Times New Roman" w:cs="Times New Roman" w:eastAsia="Times New Roman" w:hAnsi="Times New Roman"/>
          <w:sz w:val="19"/>
          <w:szCs w:val="19"/>
          <w:u w:val="single" w:color="auto"/>
          <w:color w:val="auto"/>
        </w:rPr>
        <w:t>alxoncology@argotpartners.com</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Karen Sharma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MacDougall</w:t>
      </w:r>
    </w:p>
    <w:p>
      <w:pPr>
        <w:ind w:left="480" w:hanging="472"/>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235-3060</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alx@macbiocom.com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1" w:right="4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650"/>
    </w:lvl>
  </w:abstractNum>
  <w:abstractNum w:abstractNumId="2">
    <w:nsid w:val="2AE8944A"/>
    <w:multiLevelType w:val="hybridMultilevel"/>
    <w:lvl w:ilvl="0">
      <w:lvlJc w:val="left"/>
      <w:lvlText w:val="(%1)"/>
      <w:numFmt w:val="decimal"/>
      <w:start w:val="212"/>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2022-11-29T08:21:19Z</dcterms:created>
  <dcterms:modified xsi:type="dcterms:W3CDTF">2022-11-29T08:21:19Z</dcterms:modified>
</cp:coreProperties>
</file>