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LSV Associates,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6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LSV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LLC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2884 SAND HILL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MENLO</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94025</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6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59371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8"/>
              <w:spacing w:after="0"/>
              <w:rPr>
                <w:sz w:val="20"/>
                <w:szCs w:val="20"/>
                <w:color w:val="auto"/>
              </w:rPr>
            </w:pPr>
            <w:r>
              <w:rPr>
                <w:rFonts w:ascii="Arial" w:cs="Arial" w:eastAsia="Arial" w:hAnsi="Arial"/>
                <w:sz w:val="20"/>
                <w:szCs w:val="20"/>
                <w:color w:val="0000FF"/>
                <w:w w:val="87"/>
              </w:rPr>
              <w:t>1,633,743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222,752</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683,523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39,758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59,998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7"/>
              </w:rPr>
              <w:t>8,175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150,801</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11,110</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137,286</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18,705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96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6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-4001770</wp:posOffset>
            </wp:positionV>
            <wp:extent cx="6927850" cy="4002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240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010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2010410"/>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4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w w:val="99"/>
              </w:rPr>
              <w:t>Series C Convertible Preferred</w:t>
            </w:r>
          </w:p>
        </w:tc>
        <w:tc>
          <w:tcPr>
            <w:tcW w:w="1120" w:type="dxa"/>
            <w:vAlign w:val="bottom"/>
            <w:gridSpan w:val="2"/>
            <w:vMerge w:val="restart"/>
          </w:tcPr>
          <w:p>
            <w:pPr>
              <w:ind w:left="560"/>
              <w:spacing w:after="0"/>
              <w:rPr>
                <w:sz w:val="20"/>
                <w:szCs w:val="20"/>
                <w:color w:val="auto"/>
              </w:rPr>
            </w:pPr>
            <w:r>
              <w:rPr>
                <w:rFonts w:ascii="Arial" w:cs="Arial" w:eastAsia="Arial" w:hAnsi="Arial"/>
                <w:sz w:val="13"/>
                <w:szCs w:val="13"/>
                <w:color w:val="008000"/>
              </w:rPr>
              <w:t>(7)</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right"/>
              <w:ind w:right="56"/>
              <w:spacing w:after="0"/>
              <w:rPr>
                <w:sz w:val="20"/>
                <w:szCs w:val="20"/>
                <w:color w:val="auto"/>
              </w:rPr>
            </w:pPr>
            <w:r>
              <w:rPr>
                <w:rFonts w:ascii="Arial" w:cs="Arial" w:eastAsia="Arial" w:hAnsi="Arial"/>
                <w:sz w:val="20"/>
                <w:szCs w:val="20"/>
                <w:color w:val="0000FF"/>
              </w:rPr>
              <w:t>664,660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w w:val="99"/>
              </w:rPr>
              <w:t>Series C Convertible Preferred</w:t>
            </w:r>
          </w:p>
        </w:tc>
        <w:tc>
          <w:tcPr>
            <w:tcW w:w="1120" w:type="dxa"/>
            <w:vAlign w:val="bottom"/>
            <w:gridSpan w:val="2"/>
            <w:vMerge w:val="restart"/>
          </w:tcPr>
          <w:p>
            <w:pPr>
              <w:ind w:left="560"/>
              <w:spacing w:after="0"/>
              <w:rPr>
                <w:sz w:val="20"/>
                <w:szCs w:val="20"/>
                <w:color w:val="auto"/>
              </w:rPr>
            </w:pPr>
            <w:r>
              <w:rPr>
                <w:rFonts w:ascii="Arial" w:cs="Arial" w:eastAsia="Arial" w:hAnsi="Arial"/>
                <w:sz w:val="13"/>
                <w:szCs w:val="13"/>
                <w:color w:val="008000"/>
              </w:rPr>
              <w:t>(7)</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right"/>
              <w:ind w:right="116"/>
              <w:spacing w:after="0"/>
              <w:rPr>
                <w:sz w:val="20"/>
                <w:szCs w:val="20"/>
                <w:color w:val="auto"/>
              </w:rPr>
            </w:pPr>
            <w:r>
              <w:rPr>
                <w:rFonts w:ascii="Arial" w:cs="Arial" w:eastAsia="Arial" w:hAnsi="Arial"/>
                <w:sz w:val="20"/>
                <w:szCs w:val="20"/>
                <w:color w:val="0000FF"/>
              </w:rPr>
              <w:t>38,660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4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LSV Associates, LLC</w:t>
              </w:r>
            </w:hyperlink>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4"/>
          </w:tcPr>
          <w:p>
            <w:pPr>
              <w:ind w:left="20"/>
              <w:spacing w:after="0"/>
              <w:rPr>
                <w:sz w:val="20"/>
                <w:szCs w:val="20"/>
                <w:color w:val="auto"/>
              </w:rPr>
            </w:pPr>
            <w:r>
              <w:rPr>
                <w:rFonts w:ascii="Arial" w:cs="Arial" w:eastAsia="Arial" w:hAnsi="Arial"/>
                <w:sz w:val="20"/>
                <w:szCs w:val="20"/>
                <w:color w:val="0000FF"/>
              </w:rPr>
              <w:t>C/O LSV CAPITAL MANAGEMENT, LLC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4"/>
          </w:tcPr>
          <w:p>
            <w:pPr>
              <w:ind w:left="20"/>
              <w:spacing w:after="0"/>
              <w:rPr>
                <w:sz w:val="20"/>
                <w:szCs w:val="20"/>
                <w:color w:val="auto"/>
              </w:rPr>
            </w:pPr>
            <w:r>
              <w:rPr>
                <w:rFonts w:ascii="Arial" w:cs="Arial" w:eastAsia="Arial" w:hAnsi="Arial"/>
                <w:sz w:val="20"/>
                <w:szCs w:val="20"/>
                <w:color w:val="0000FF"/>
              </w:rPr>
              <w:t>2884 SAND HILL ROAD, SUITE 121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400" w:type="dxa"/>
            <w:vAlign w:val="bottom"/>
          </w:tcPr>
          <w:p>
            <w:pPr>
              <w:ind w:left="80"/>
              <w:spacing w:after="0"/>
              <w:rPr>
                <w:sz w:val="20"/>
                <w:szCs w:val="20"/>
                <w:color w:val="auto"/>
              </w:rPr>
            </w:pPr>
            <w:r>
              <w:rPr>
                <w:rFonts w:ascii="Arial" w:cs="Arial" w:eastAsia="Arial" w:hAnsi="Arial"/>
                <w:sz w:val="20"/>
                <w:szCs w:val="20"/>
                <w:color w:val="0000FF"/>
              </w:rPr>
              <w:t>CA</w:t>
            </w:r>
          </w:p>
        </w:tc>
        <w:tc>
          <w:tcPr>
            <w:tcW w:w="1120" w:type="dxa"/>
            <w:vAlign w:val="bottom"/>
            <w:gridSpan w:val="2"/>
          </w:tcPr>
          <w:p>
            <w:pPr>
              <w:ind w:left="60"/>
              <w:spacing w:after="0"/>
              <w:rPr>
                <w:sz w:val="20"/>
                <w:szCs w:val="20"/>
                <w:color w:val="auto"/>
              </w:rPr>
            </w:pPr>
            <w:r>
              <w:rPr>
                <w:rFonts w:ascii="Arial" w:cs="Arial" w:eastAsia="Arial" w:hAnsi="Arial"/>
                <w:sz w:val="20"/>
                <w:szCs w:val="20"/>
                <w:color w:val="0000FF"/>
              </w:rPr>
              <w:t>94025</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80"/>
              <w:spacing w:after="0"/>
              <w:rPr>
                <w:sz w:val="20"/>
                <w:szCs w:val="20"/>
                <w:color w:val="auto"/>
              </w:rPr>
            </w:pPr>
            <w:r>
              <w:rPr>
                <w:rFonts w:ascii="Arial" w:cs="Arial" w:eastAsia="Arial" w:hAnsi="Arial"/>
                <w:sz w:val="15"/>
                <w:szCs w:val="15"/>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9"/>
              </w:rPr>
            </w:pPr>
            <w:hyperlink r:id="rId18">
              <w:r>
                <w:rPr>
                  <w:rFonts w:ascii="Arial" w:cs="Arial" w:eastAsia="Arial" w:hAnsi="Arial"/>
                  <w:sz w:val="24"/>
                  <w:szCs w:val="24"/>
                  <w:u w:val="single" w:color="auto"/>
                  <w:color w:val="0000EE"/>
                  <w:w w:val="99"/>
                </w:rPr>
                <w:t>Lightstone Ventures, L.P.</w:t>
              </w:r>
            </w:hyperlink>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-3552825</wp:posOffset>
            </wp:positionV>
            <wp:extent cx="6937375" cy="9319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37375" cy="9319895"/>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MENLO PARK  CA</w:t>
      </w:r>
    </w:p>
    <w:p>
      <w:pPr>
        <w:spacing w:after="0" w:line="37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2010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Lightstone Ventures (A),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400" w:type="dxa"/>
            <w:vAlign w:val="bottom"/>
          </w:tcPr>
          <w:p>
            <w:pPr>
              <w:ind w:left="80"/>
              <w:spacing w:after="0"/>
              <w:rPr>
                <w:sz w:val="20"/>
                <w:szCs w:val="20"/>
                <w:color w:val="auto"/>
              </w:rPr>
            </w:pPr>
            <w:r>
              <w:rPr>
                <w:rFonts w:ascii="Arial" w:cs="Arial" w:eastAsia="Arial" w:hAnsi="Arial"/>
                <w:sz w:val="20"/>
                <w:szCs w:val="20"/>
                <w:color w:val="0000FF"/>
              </w:rPr>
              <w:t>CA</w:t>
            </w:r>
          </w:p>
        </w:tc>
        <w:tc>
          <w:tcPr>
            <w:tcW w:w="1400" w:type="dxa"/>
            <w:vAlign w:val="bottom"/>
          </w:tcPr>
          <w:p>
            <w:pPr>
              <w:ind w:left="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2"/>
              </w:rPr>
            </w:pPr>
            <w:hyperlink r:id="rId22">
              <w:r>
                <w:rPr>
                  <w:rFonts w:ascii="Arial" w:cs="Arial" w:eastAsia="Arial" w:hAnsi="Arial"/>
                  <w:sz w:val="24"/>
                  <w:szCs w:val="24"/>
                  <w:u w:val="single" w:color="auto"/>
                  <w:color w:val="0000EE"/>
                  <w:w w:val="92"/>
                </w:rPr>
                <w:t>Lightstone Ventures II, L.P.</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-722630</wp:posOffset>
            </wp:positionV>
            <wp:extent cx="2753995" cy="2010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2753995" cy="457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753995" cy="457200"/>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194" w:right="479" w:bottom="0" w:gutter="0" w:footer="0" w:header="0"/>
        </w:sectPr>
      </w:pPr>
    </w:p>
    <w:p>
      <w:pPr>
        <w:ind w:left="140"/>
        <w:spacing w:after="0"/>
        <w:rPr>
          <w:rFonts w:ascii="Arial" w:cs="Arial" w:eastAsia="Arial" w:hAnsi="Arial"/>
          <w:sz w:val="22"/>
          <w:szCs w:val="22"/>
          <w:u w:val="single" w:color="auto"/>
          <w:color w:val="0000EE"/>
        </w:rPr>
      </w:pPr>
      <w:hyperlink r:id="rId25">
        <w:r>
          <w:rPr>
            <w:rFonts w:ascii="Arial" w:cs="Arial" w:eastAsia="Arial" w:hAnsi="Arial"/>
            <w:sz w:val="22"/>
            <w:szCs w:val="22"/>
            <w:u w:val="single" w:color="auto"/>
            <w:color w:val="0000EE"/>
          </w:rPr>
          <w:t>Lightstone Ventures II (A), L.P.</w:t>
        </w:r>
      </w:hyperlink>
    </w:p>
    <w:p>
      <w:pPr>
        <w:sectPr>
          <w:pgSz w:w="11900" w:h="16838" w:orient="portrait"/>
          <w:cols w:equalWidth="0" w:num="1">
            <w:col w:w="10940"/>
          </w:cols>
          <w:pgMar w:left="480" w:top="194" w:right="479" w:bottom="0" w:gutter="0" w:footer="0" w:header="0"/>
          <w:type w:val="continuous"/>
        </w:sectPr>
      </w:pPr>
    </w:p>
    <w:bookmarkStart w:id="2" w:name="page3"/>
    <w:bookmarkEnd w:id="2"/>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756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773045" cy="7566025"/>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240" w:type="dxa"/>
            <w:vAlign w:val="bottom"/>
          </w:tcPr>
          <w:p>
            <w:pPr>
              <w:ind w:left="80"/>
              <w:spacing w:after="0"/>
              <w:rPr>
                <w:sz w:val="20"/>
                <w:szCs w:val="20"/>
                <w:color w:val="auto"/>
              </w:rPr>
            </w:pPr>
            <w:r>
              <w:rPr>
                <w:rFonts w:ascii="Arial" w:cs="Arial" w:eastAsia="Arial" w:hAnsi="Arial"/>
                <w:sz w:val="20"/>
                <w:szCs w:val="20"/>
                <w:color w:val="0000FF"/>
              </w:rPr>
              <w:t>CA</w:t>
            </w:r>
          </w:p>
        </w:tc>
        <w:tc>
          <w:tcPr>
            <w:tcW w:w="1560" w:type="dxa"/>
            <w:vAlign w:val="bottom"/>
          </w:tcPr>
          <w:p>
            <w:pPr>
              <w:ind w:left="22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240" w:type="dxa"/>
            <w:vAlign w:val="bottom"/>
          </w:tcPr>
          <w:p>
            <w:pPr>
              <w:ind w:left="8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60" w:type="dxa"/>
            <w:vAlign w:val="bottom"/>
            <w:gridSpan w:val="2"/>
          </w:tcPr>
          <w:p>
            <w:pPr>
              <w:ind w:left="20"/>
              <w:spacing w:after="0"/>
              <w:rPr>
                <w:rFonts w:ascii="Arial" w:cs="Arial" w:eastAsia="Arial" w:hAnsi="Arial"/>
                <w:sz w:val="24"/>
                <w:szCs w:val="24"/>
                <w:u w:val="single" w:color="auto"/>
                <w:color w:val="0000EE"/>
              </w:rPr>
            </w:pPr>
            <w:hyperlink r:id="rId27">
              <w:r>
                <w:rPr>
                  <w:rFonts w:ascii="Arial" w:cs="Arial" w:eastAsia="Arial" w:hAnsi="Arial"/>
                  <w:sz w:val="24"/>
                  <w:szCs w:val="24"/>
                  <w:u w:val="single" w:color="auto"/>
                  <w:color w:val="0000EE"/>
                </w:rPr>
                <w:t>LSV Associates II, LLC</w:t>
              </w:r>
            </w:hyperlink>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240" w:type="dxa"/>
            <w:vAlign w:val="bottom"/>
          </w:tcPr>
          <w:p>
            <w:pPr>
              <w:ind w:left="8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28">
              <w:r>
                <w:rPr>
                  <w:rFonts w:ascii="Arial" w:cs="Arial" w:eastAsia="Arial" w:hAnsi="Arial"/>
                  <w:sz w:val="24"/>
                  <w:szCs w:val="24"/>
                  <w:u w:val="single" w:color="auto"/>
                  <w:color w:val="0000EE"/>
                </w:rPr>
                <w:t>Carusi Michael A</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1320" w:type="dxa"/>
            <w:vAlign w:val="bottom"/>
          </w:tcPr>
          <w:p>
            <w:pPr>
              <w:ind w:left="20"/>
              <w:spacing w:after="0"/>
              <w:rPr>
                <w:rFonts w:ascii="Arial" w:cs="Arial" w:eastAsia="Arial" w:hAnsi="Arial"/>
                <w:sz w:val="24"/>
                <w:szCs w:val="24"/>
                <w:u w:val="single" w:color="auto"/>
                <w:color w:val="0000EE"/>
                <w:w w:val="92"/>
              </w:rPr>
            </w:pPr>
            <w:hyperlink r:id="rId29">
              <w:r>
                <w:rPr>
                  <w:rFonts w:ascii="Arial" w:cs="Arial" w:eastAsia="Arial" w:hAnsi="Arial"/>
                  <w:sz w:val="24"/>
                  <w:szCs w:val="24"/>
                  <w:u w:val="single" w:color="auto"/>
                  <w:color w:val="0000EE"/>
                  <w:w w:val="92"/>
                </w:rPr>
                <w:t>George Jean</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2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Class A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 w:right="240" w:firstLine="5"/>
        <w:spacing w:after="0" w:line="267"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of record by Lightstone Ventures, LP (LV LP). LSV Associates, LLC (LSV Associates), the General Partner of LV LP, and Michael A. Carusi, Jean M. George and Henry A. Plain, Jr., the individual managing directors of LSV Associates, share voting and dispositive power with respect to the shares held of record by LV LP, but each disclaims beneficial ownership of such shares except to the extent of his, her or its individual pecuniary interest therein.</w:t>
      </w:r>
    </w:p>
    <w:p>
      <w:pPr>
        <w:spacing w:after="0" w:line="17" w:lineRule="exact"/>
        <w:rPr>
          <w:rFonts w:ascii="Arial" w:cs="Arial" w:eastAsia="Arial" w:hAnsi="Arial"/>
          <w:sz w:val="14"/>
          <w:szCs w:val="14"/>
          <w:color w:val="008000"/>
        </w:rPr>
      </w:pPr>
    </w:p>
    <w:p>
      <w:pPr>
        <w:ind w:left="20" w:right="3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(A), LP (LV(A) LP). LSV Associates, the General Partner of LV(A) LP, and Mr. Carusi, Ms. George and Mr. Plain, the individual managing directors of LSV Associates, share voting and dispositive power with respect to the shares held of record by LV(A) LP, but each disclaims beneficial ownership of such shares except to the extent of his, her or its individual pecuniary interest therein.</w:t>
      </w:r>
    </w:p>
    <w:p>
      <w:pPr>
        <w:spacing w:after="0" w:line="35" w:lineRule="exact"/>
        <w:rPr>
          <w:rFonts w:ascii="Arial" w:cs="Arial" w:eastAsia="Arial" w:hAnsi="Arial"/>
          <w:sz w:val="15"/>
          <w:szCs w:val="15"/>
          <w:color w:val="008000"/>
        </w:rPr>
      </w:pPr>
    </w:p>
    <w:p>
      <w:pPr>
        <w:ind w:left="20" w:right="14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II, LP (LV II LP). LSV Associates II, LLC (LSV Associates II), the General Partner of LV II LP, and Mr. Carusi, Ms. George, Mr. Plain and Jason W. Lettmann, as the individual managing directors of LSV Associates II, share voting and dispositive power with respect to the shares held of record by LV II LP, but each disclaims beneficial ownership of such shares except to the extent of his, her or its individual pecuniary interest therein. Mr. Lettmann is a director of the Issuer and files separate Section 16 reports.</w:t>
      </w:r>
    </w:p>
    <w:p>
      <w:pPr>
        <w:spacing w:after="0" w:line="36" w:lineRule="exact"/>
        <w:rPr>
          <w:rFonts w:ascii="Arial" w:cs="Arial" w:eastAsia="Arial" w:hAnsi="Arial"/>
          <w:sz w:val="15"/>
          <w:szCs w:val="15"/>
          <w:color w:val="008000"/>
        </w:rPr>
      </w:pPr>
    </w:p>
    <w:p>
      <w:pPr>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II, LP (LV II(A) LP). LSV Associates II, LLC (LSV Associates II), the General Partner of LV(A) II LP, and Mr. Carusi, Ms. George, Mr. Plain and Mr. Lettmann, as the individual managing directors of LSV Associates II, share voting and dispositive power with respect to the shares held of record by LV II(A) LP, but each disclaims beneficial ownership of such shares except to the extent of his, her or its individual pecuniary interest therein. Mr. Lettmann is a director of the Issuer and files separate Section 16 reports.</w:t>
      </w:r>
    </w:p>
    <w:p>
      <w:pPr>
        <w:spacing w:after="0" w:line="36" w:lineRule="exact"/>
        <w:rPr>
          <w:rFonts w:ascii="Arial" w:cs="Arial" w:eastAsia="Arial" w:hAnsi="Arial"/>
          <w:sz w:val="15"/>
          <w:szCs w:val="15"/>
          <w:color w:val="008000"/>
        </w:rPr>
      </w:pPr>
    </w:p>
    <w:p>
      <w:pPr>
        <w:ind w:left="20" w:right="2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Class A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 w:right="2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Class A Common Stock on a 1:1 basis immediately prior to the completion of the Issuer's initial public offering of Common Stock and has no expiration date.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00" w:top="334" w:right="559" w:bottom="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Exhibit 24 - Power of Attorney</w:t>
      </w:r>
    </w:p>
    <w:p>
      <w:pPr>
        <w:sectPr>
          <w:pgSz w:w="11900" w:h="16838" w:orient="portrait"/>
          <w:cols w:equalWidth="0" w:num="1">
            <w:col w:w="10840"/>
          </w:cols>
          <w:pgMar w:left="500" w:top="334" w:right="55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904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697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55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82550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Lightstone Ventures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064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916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power of attorney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00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056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Michael A. Carusi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86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1186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power of attorney for 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683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3403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340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power of attorney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00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056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20" w:space="10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type w:val="continuous"/>
        </w:sectPr>
      </w:pPr>
    </w:p>
    <w:bookmarkStart w:id="4" w:name="page5"/>
    <w:bookmarkEnd w:id="4"/>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Travis Boettner, the undersigned's true and lawful attorney-in-fact and agent to:</w:t>
      </w:r>
    </w:p>
    <w:p>
      <w:pPr>
        <w:spacing w:after="0" w:line="232" w:lineRule="exact"/>
        <w:rPr>
          <w:sz w:val="20"/>
          <w:szCs w:val="20"/>
          <w:color w:val="auto"/>
        </w:rPr>
      </w:pPr>
    </w:p>
    <w:p>
      <w:pPr>
        <w:ind w:left="580" w:right="739" w:firstLine="5"/>
        <w:spacing w:after="0" w:line="266" w:lineRule="auto"/>
        <w:tabs>
          <w:tab w:leader="none" w:pos="10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p>
    <w:p>
      <w:pPr>
        <w:spacing w:after="0" w:line="200" w:lineRule="exact"/>
        <w:rPr>
          <w:sz w:val="20"/>
          <w:szCs w:val="20"/>
          <w:color w:val="auto"/>
        </w:rPr>
      </w:pPr>
    </w:p>
    <w:p>
      <w:pPr>
        <w:spacing w:after="0" w:line="240" w:lineRule="exact"/>
        <w:rPr>
          <w:sz w:val="20"/>
          <w:szCs w:val="20"/>
          <w:color w:val="auto"/>
        </w:rPr>
      </w:pPr>
    </w:p>
    <w:p>
      <w:pPr>
        <w:ind w:left="580" w:right="619" w:firstLine="5"/>
        <w:spacing w:after="0" w:line="268" w:lineRule="auto"/>
        <w:tabs>
          <w:tab w:leader="none" w:pos="10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the Exchange Act, including without limitation Sections 13 and 16 of the Exchange Act.</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68"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attorney-in-fact's resignation or the termination of such attorney-in-fact's position as Chief Financial Officer of LSV Capital Management, LLC.</w:t>
      </w:r>
    </w:p>
    <w:p>
      <w:pPr>
        <w:spacing w:after="0" w:line="207" w:lineRule="exact"/>
        <w:rPr>
          <w:sz w:val="20"/>
          <w:szCs w:val="20"/>
          <w:color w:val="auto"/>
        </w:rPr>
      </w:pPr>
    </w:p>
    <w:p>
      <w:pPr>
        <w:ind w:right="73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 this Power of Attorney to be executed as of July 16,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gridSpan w:val="2"/>
          </w:tcPr>
          <w:p>
            <w:pPr>
              <w:spacing w:after="0"/>
              <w:rPr>
                <w:sz w:val="20"/>
                <w:szCs w:val="20"/>
                <w:color w:val="auto"/>
              </w:rPr>
            </w:pPr>
            <w:r>
              <w:rPr>
                <w:rFonts w:ascii="Courier New" w:cs="Courier New" w:eastAsia="Courier New" w:hAnsi="Courier New"/>
                <w:sz w:val="20"/>
                <w:szCs w:val="20"/>
                <w:color w:val="auto"/>
              </w:rPr>
              <w:t>Lightstone Ventures, L.P.</w:t>
            </w:r>
          </w:p>
        </w:tc>
        <w:tc>
          <w:tcPr>
            <w:tcW w:w="4680" w:type="dxa"/>
            <w:vAlign w:val="bottom"/>
            <w:gridSpan w:val="2"/>
          </w:tcPr>
          <w:p>
            <w:pPr>
              <w:ind w:left="920"/>
              <w:spacing w:after="0"/>
              <w:rPr>
                <w:sz w:val="20"/>
                <w:szCs w:val="20"/>
                <w:color w:val="auto"/>
              </w:rPr>
            </w:pPr>
            <w:r>
              <w:rPr>
                <w:rFonts w:ascii="Courier New" w:cs="Courier New" w:eastAsia="Courier New" w:hAnsi="Courier New"/>
                <w:sz w:val="20"/>
                <w:szCs w:val="20"/>
                <w:color w:val="auto"/>
              </w:rPr>
              <w:t>Lightstone Ventures II, L.P.</w:t>
            </w:r>
          </w:p>
        </w:tc>
      </w:tr>
      <w:tr>
        <w:trPr>
          <w:trHeight w:val="450"/>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LSV Associates, LLC</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LSV Associates II, LLC</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rPr>
              <w:t>Its:</w:t>
            </w: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rPr>
              <w:t>Its:</w:t>
            </w: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r>
      <w:tr>
        <w:trPr>
          <w:trHeight w:val="225"/>
        </w:trPr>
        <w:tc>
          <w:tcPr>
            <w:tcW w:w="580" w:type="dxa"/>
            <w:vAlign w:val="bottom"/>
          </w:tcPr>
          <w:p>
            <w:pPr>
              <w:spacing w:after="0"/>
              <w:rPr>
                <w:sz w:val="19"/>
                <w:szCs w:val="19"/>
                <w:color w:val="auto"/>
              </w:rPr>
            </w:pP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60" w:type="dxa"/>
            <w:vAlign w:val="bottom"/>
          </w:tcPr>
          <w:p>
            <w:pPr>
              <w:ind w:left="240"/>
              <w:spacing w:after="0" w:line="225" w:lineRule="exact"/>
              <w:rPr>
                <w:sz w:val="20"/>
                <w:szCs w:val="20"/>
                <w:color w:val="auto"/>
              </w:rPr>
            </w:pPr>
            <w:r>
              <w:rPr>
                <w:rFonts w:ascii="Courier New" w:cs="Courier New" w:eastAsia="Courier New" w:hAnsi="Courier New"/>
                <w:sz w:val="20"/>
                <w:szCs w:val="20"/>
                <w:color w:val="auto"/>
              </w:rPr>
              <w:t>Michael A. Carusi</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w w:val="96"/>
              </w:rPr>
              <w:t>Name:</w:t>
            </w:r>
          </w:p>
        </w:tc>
        <w:tc>
          <w:tcPr>
            <w:tcW w:w="3160" w:type="dxa"/>
            <w:vAlign w:val="bottom"/>
          </w:tcPr>
          <w:p>
            <w:pPr>
              <w:ind w:left="220"/>
              <w:spacing w:after="0" w:line="225" w:lineRule="exact"/>
              <w:rPr>
                <w:sz w:val="20"/>
                <w:szCs w:val="20"/>
                <w:color w:val="auto"/>
              </w:rPr>
            </w:pPr>
            <w:r>
              <w:rPr>
                <w:rFonts w:ascii="Courier New" w:cs="Courier New" w:eastAsia="Courier New" w:hAnsi="Courier New"/>
                <w:sz w:val="20"/>
                <w:szCs w:val="20"/>
                <w:color w:val="auto"/>
              </w:rPr>
              <w:t>Michael A. Carusi</w:t>
            </w:r>
          </w:p>
        </w:tc>
      </w:tr>
      <w:tr>
        <w:trPr>
          <w:trHeight w:val="225"/>
        </w:trPr>
        <w:tc>
          <w:tcPr>
            <w:tcW w:w="434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680" w:type="dxa"/>
            <w:vAlign w:val="bottom"/>
            <w:gridSpan w:val="2"/>
          </w:tcPr>
          <w:p>
            <w:pPr>
              <w:ind w:left="92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4340" w:type="dxa"/>
            <w:vAlign w:val="bottom"/>
            <w:gridSpan w:val="2"/>
          </w:tcPr>
          <w:p>
            <w:pPr>
              <w:spacing w:after="0"/>
              <w:rPr>
                <w:sz w:val="20"/>
                <w:szCs w:val="20"/>
                <w:color w:val="auto"/>
              </w:rPr>
            </w:pPr>
            <w:r>
              <w:rPr>
                <w:rFonts w:ascii="Courier New" w:cs="Courier New" w:eastAsia="Courier New" w:hAnsi="Courier New"/>
                <w:sz w:val="20"/>
                <w:szCs w:val="20"/>
                <w:color w:val="auto"/>
              </w:rPr>
              <w:t>Lightstone Ventures (A), L.P.</w:t>
            </w:r>
          </w:p>
        </w:tc>
        <w:tc>
          <w:tcPr>
            <w:tcW w:w="4680" w:type="dxa"/>
            <w:vAlign w:val="bottom"/>
            <w:gridSpan w:val="2"/>
          </w:tcPr>
          <w:p>
            <w:pPr>
              <w:ind w:left="920"/>
              <w:spacing w:after="0"/>
              <w:rPr>
                <w:sz w:val="20"/>
                <w:szCs w:val="20"/>
                <w:color w:val="auto"/>
              </w:rPr>
            </w:pPr>
            <w:r>
              <w:rPr>
                <w:rFonts w:ascii="Courier New" w:cs="Courier New" w:eastAsia="Courier New" w:hAnsi="Courier New"/>
                <w:sz w:val="20"/>
                <w:szCs w:val="20"/>
                <w:color w:val="auto"/>
                <w:w w:val="97"/>
              </w:rPr>
              <w:t>Lightstone Ventures II (A), L.P.</w:t>
            </w:r>
          </w:p>
        </w:tc>
      </w:tr>
      <w:tr>
        <w:trPr>
          <w:trHeight w:val="450"/>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LSV Associates, LLC</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ind w:left="220"/>
              <w:spacing w:after="0"/>
              <w:rPr>
                <w:sz w:val="20"/>
                <w:szCs w:val="20"/>
                <w:color w:val="auto"/>
              </w:rPr>
            </w:pPr>
            <w:r>
              <w:rPr>
                <w:rFonts w:ascii="Courier New" w:cs="Courier New" w:eastAsia="Courier New" w:hAnsi="Courier New"/>
                <w:sz w:val="20"/>
                <w:szCs w:val="20"/>
                <w:color w:val="auto"/>
              </w:rPr>
              <w:t>LSV Associates II, LLC</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rPr>
              <w:t>Its:</w:t>
            </w: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rPr>
              <w:t>Its:</w:t>
            </w:r>
          </w:p>
        </w:tc>
        <w:tc>
          <w:tcPr>
            <w:tcW w:w="3160" w:type="dxa"/>
            <w:vAlign w:val="bottom"/>
          </w:tcPr>
          <w:p>
            <w:pPr>
              <w:ind w:left="220"/>
              <w:spacing w:after="0" w:line="225" w:lineRule="exact"/>
              <w:rPr>
                <w:sz w:val="20"/>
                <w:szCs w:val="20"/>
                <w:color w:val="auto"/>
              </w:rPr>
            </w:pPr>
            <w:r>
              <w:rPr>
                <w:rFonts w:ascii="Courier New" w:cs="Courier New" w:eastAsia="Courier New" w:hAnsi="Courier New"/>
                <w:sz w:val="20"/>
                <w:szCs w:val="20"/>
                <w:color w:val="auto"/>
              </w:rPr>
              <w:t>General Partner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r>
      <w:tr>
        <w:trPr>
          <w:trHeight w:val="225"/>
        </w:trPr>
        <w:tc>
          <w:tcPr>
            <w:tcW w:w="580" w:type="dxa"/>
            <w:vAlign w:val="bottom"/>
          </w:tcPr>
          <w:p>
            <w:pPr>
              <w:spacing w:after="0"/>
              <w:rPr>
                <w:sz w:val="19"/>
                <w:szCs w:val="19"/>
                <w:color w:val="auto"/>
              </w:rPr>
            </w:pP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r>
    </w:tbl>
    <w:p>
      <w:pPr>
        <w:sectPr>
          <w:pgSz w:w="11900" w:h="16838" w:orient="portrait"/>
          <w:cols w:equalWidth="0" w:num="1">
            <w:col w:w="9979"/>
          </w:cols>
          <w:pgMar w:left="48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142"/>
              <w:spacing w:after="0"/>
              <w:rPr>
                <w:sz w:val="20"/>
                <w:szCs w:val="20"/>
                <w:color w:val="auto"/>
              </w:rPr>
            </w:pPr>
            <w:r>
              <w:rPr>
                <w:rFonts w:ascii="Courier New" w:cs="Courier New" w:eastAsia="Courier New" w:hAnsi="Courier New"/>
                <w:sz w:val="20"/>
                <w:szCs w:val="20"/>
                <w:color w:val="auto"/>
              </w:rPr>
              <w:t>Michael A. Carusi</w:t>
            </w:r>
          </w:p>
        </w:tc>
      </w:tr>
      <w:tr>
        <w:trPr>
          <w:trHeight w:val="225"/>
        </w:trPr>
        <w:tc>
          <w:tcPr>
            <w:tcW w:w="428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040" w:type="dxa"/>
            <w:vAlign w:val="bottom"/>
            <w:gridSpan w:val="2"/>
          </w:tcPr>
          <w:p>
            <w:pPr>
              <w:ind w:left="98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4280" w:type="dxa"/>
            <w:vAlign w:val="bottom"/>
            <w:gridSpan w:val="2"/>
          </w:tcPr>
          <w:p>
            <w:pPr>
              <w:spacing w:after="0"/>
              <w:rPr>
                <w:sz w:val="20"/>
                <w:szCs w:val="20"/>
                <w:color w:val="auto"/>
              </w:rPr>
            </w:pPr>
            <w:r>
              <w:rPr>
                <w:rFonts w:ascii="Courier New" w:cs="Courier New" w:eastAsia="Courier New" w:hAnsi="Courier New"/>
                <w:sz w:val="20"/>
                <w:szCs w:val="20"/>
                <w:color w:val="auto"/>
              </w:rPr>
              <w:t>LSV Associates, LLC</w:t>
            </w:r>
          </w:p>
        </w:tc>
        <w:tc>
          <w:tcPr>
            <w:tcW w:w="4040" w:type="dxa"/>
            <w:vAlign w:val="bottom"/>
            <w:gridSpan w:val="2"/>
          </w:tcPr>
          <w:p>
            <w:pPr>
              <w:ind w:left="980"/>
              <w:spacing w:after="0"/>
              <w:rPr>
                <w:sz w:val="20"/>
                <w:szCs w:val="20"/>
                <w:color w:val="auto"/>
              </w:rPr>
            </w:pPr>
            <w:r>
              <w:rPr>
                <w:rFonts w:ascii="Courier New" w:cs="Courier New" w:eastAsia="Courier New" w:hAnsi="Courier New"/>
                <w:sz w:val="20"/>
                <w:szCs w:val="20"/>
                <w:color w:val="auto"/>
              </w:rPr>
              <w:t>LSV Associates II, LLC</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/s/ 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rPr>
              <w:t>By:</w:t>
            </w:r>
          </w:p>
        </w:tc>
        <w:tc>
          <w:tcPr>
            <w:tcW w:w="2460" w:type="dxa"/>
            <w:vAlign w:val="bottom"/>
          </w:tcPr>
          <w:p>
            <w:pPr>
              <w:jc w:val="right"/>
              <w:spacing w:after="0"/>
              <w:rPr>
                <w:sz w:val="20"/>
                <w:szCs w:val="20"/>
                <w:color w:val="auto"/>
              </w:rPr>
            </w:pPr>
            <w:r>
              <w:rPr>
                <w:rFonts w:ascii="Courier New" w:cs="Courier New" w:eastAsia="Courier New" w:hAnsi="Courier New"/>
                <w:sz w:val="20"/>
                <w:szCs w:val="20"/>
                <w:color w:val="auto"/>
                <w:w w:val="96"/>
              </w:rPr>
              <w:t>/s/ Michael A. Carusi</w:t>
            </w: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line="225" w:lineRule="exact"/>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line="225" w:lineRule="exact"/>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142"/>
              <w:spacing w:after="0" w:line="225" w:lineRule="exact"/>
              <w:rPr>
                <w:sz w:val="20"/>
                <w:szCs w:val="20"/>
                <w:color w:val="auto"/>
              </w:rPr>
            </w:pPr>
            <w:r>
              <w:rPr>
                <w:rFonts w:ascii="Courier New" w:cs="Courier New" w:eastAsia="Courier New" w:hAnsi="Courier New"/>
                <w:sz w:val="20"/>
                <w:szCs w:val="20"/>
                <w:color w:val="auto"/>
              </w:rPr>
              <w:t>Michael A. Carusi</w:t>
            </w:r>
          </w:p>
        </w:tc>
      </w:tr>
      <w:tr>
        <w:trPr>
          <w:trHeight w:val="225"/>
        </w:trPr>
        <w:tc>
          <w:tcPr>
            <w:tcW w:w="428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040" w:type="dxa"/>
            <w:vAlign w:val="bottom"/>
            <w:gridSpan w:val="2"/>
          </w:tcPr>
          <w:p>
            <w:pPr>
              <w:ind w:left="98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/s/ 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rPr>
              <w:t>By :</w:t>
            </w:r>
          </w:p>
        </w:tc>
        <w:tc>
          <w:tcPr>
            <w:tcW w:w="2460" w:type="dxa"/>
            <w:vAlign w:val="bottom"/>
          </w:tcPr>
          <w:p>
            <w:pPr>
              <w:jc w:val="right"/>
              <w:ind w:right="142"/>
              <w:spacing w:after="0"/>
              <w:rPr>
                <w:sz w:val="20"/>
                <w:szCs w:val="20"/>
                <w:color w:val="auto"/>
              </w:rPr>
            </w:pPr>
            <w:r>
              <w:rPr>
                <w:rFonts w:ascii="Courier New" w:cs="Courier New" w:eastAsia="Courier New" w:hAnsi="Courier New"/>
                <w:sz w:val="20"/>
                <w:szCs w:val="20"/>
                <w:color w:val="auto"/>
              </w:rPr>
              <w:t>/s/ Jean M. George</w:t>
            </w: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jc w:val="right"/>
              <w:ind w:right="142"/>
              <w:spacing w:after="0" w:line="225" w:lineRule="exact"/>
              <w:rPr>
                <w:sz w:val="20"/>
                <w:szCs w:val="20"/>
                <w:color w:val="auto"/>
              </w:rPr>
            </w:pPr>
            <w:r>
              <w:rPr>
                <w:rFonts w:ascii="Courier New" w:cs="Courier New" w:eastAsia="Courier New" w:hAnsi="Courier New"/>
                <w:sz w:val="20"/>
                <w:szCs w:val="20"/>
                <w:color w:val="auto"/>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line="225" w:lineRule="exact"/>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line="225" w:lineRule="exact"/>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502"/>
              <w:spacing w:after="0" w:line="225" w:lineRule="exact"/>
              <w:rPr>
                <w:sz w:val="20"/>
                <w:szCs w:val="20"/>
                <w:color w:val="auto"/>
              </w:rPr>
            </w:pPr>
            <w:r>
              <w:rPr>
                <w:rFonts w:ascii="Courier New" w:cs="Courier New" w:eastAsia="Courier New" w:hAnsi="Courier New"/>
                <w:sz w:val="20"/>
                <w:szCs w:val="20"/>
                <w:color w:val="auto"/>
              </w:rPr>
              <w:t>Jean M. George</w:t>
            </w:r>
          </w:p>
        </w:tc>
      </w:tr>
      <w:tr>
        <w:trPr>
          <w:trHeight w:val="675"/>
        </w:trPr>
        <w:tc>
          <w:tcPr>
            <w:tcW w:w="4280" w:type="dxa"/>
            <w:vAlign w:val="bottom"/>
            <w:gridSpan w:val="2"/>
          </w:tcPr>
          <w:p>
            <w:pPr>
              <w:spacing w:after="0"/>
              <w:rPr>
                <w:sz w:val="20"/>
                <w:szCs w:val="20"/>
                <w:color w:val="auto"/>
              </w:rPr>
            </w:pPr>
            <w:r>
              <w:rPr>
                <w:rFonts w:ascii="Courier New" w:cs="Courier New" w:eastAsia="Courier New" w:hAnsi="Courier New"/>
                <w:sz w:val="20"/>
                <w:szCs w:val="20"/>
                <w:color w:val="auto"/>
              </w:rPr>
              <w:t>By:  /s/ Henry A. Plain, Jr.</w:t>
            </w:r>
          </w:p>
        </w:tc>
        <w:tc>
          <w:tcPr>
            <w:tcW w:w="15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ind w:left="240"/>
              <w:spacing w:after="0" w:line="225" w:lineRule="exact"/>
              <w:rPr>
                <w:sz w:val="20"/>
                <w:szCs w:val="20"/>
                <w:color w:val="auto"/>
              </w:rPr>
            </w:pPr>
            <w:r>
              <w:rPr>
                <w:rFonts w:ascii="Courier New" w:cs="Courier New" w:eastAsia="Courier New" w:hAnsi="Courier New"/>
                <w:sz w:val="20"/>
                <w:szCs w:val="20"/>
                <w:color w:val="auto"/>
              </w:rPr>
              <w:t>Henry A. Plain, Jr.</w:t>
            </w:r>
          </w:p>
        </w:tc>
        <w:tc>
          <w:tcPr>
            <w:tcW w:w="158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6"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10" Type="http://schemas.openxmlformats.org/officeDocument/2006/relationships/hyperlink" Target="http://www.sec.gov/cgi-bin/browse-edgar?action=getcompany&amp;CIK=0001643828" TargetMode="External"/><Relationship Id="rId11" Type="http://schemas.openxmlformats.org/officeDocument/2006/relationships/hyperlink" Target="http://www.sec.gov/cgi-bin/browse-edgar?action=getcompany&amp;CIK=0001810182" TargetMode="External"/><Relationship Id="rId18" Type="http://schemas.openxmlformats.org/officeDocument/2006/relationships/hyperlink" Target="http://www.sec.gov/cgi-bin/browse-edgar?action=getcompany&amp;CIK=0001572522" TargetMode="External"/><Relationship Id="rId21" Type="http://schemas.openxmlformats.org/officeDocument/2006/relationships/hyperlink" Target="http://www.sec.gov/cgi-bin/browse-edgar?action=getcompany&amp;CIK=0001572523" TargetMode="External"/><Relationship Id="rId22" Type="http://schemas.openxmlformats.org/officeDocument/2006/relationships/hyperlink" Target="http://www.sec.gov/cgi-bin/browse-edgar?action=getcompany&amp;CIK=0001699565" TargetMode="External"/><Relationship Id="rId25" Type="http://schemas.openxmlformats.org/officeDocument/2006/relationships/hyperlink" Target="http://www.sec.gov/cgi-bin/browse-edgar?action=getcompany&amp;CIK=0001706610" TargetMode="External"/><Relationship Id="rId27" Type="http://schemas.openxmlformats.org/officeDocument/2006/relationships/hyperlink" Target="http://www.sec.gov/cgi-bin/browse-edgar?action=getcompany&amp;CIK=0001818388" TargetMode="External"/><Relationship Id="rId28" Type="http://schemas.openxmlformats.org/officeDocument/2006/relationships/hyperlink" Target="http://www.sec.gov/cgi-bin/browse-edgar?action=getcompany&amp;CIK=0001306506" TargetMode="External"/><Relationship Id="rId29" Type="http://schemas.openxmlformats.org/officeDocument/2006/relationships/hyperlink" Target="http://www.sec.gov/cgi-bin/browse-edgar?action=getcompany&amp;CIK=00012918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2020-07-16T19:46:31Z</dcterms:created>
  <dcterms:modified xsi:type="dcterms:W3CDTF">2020-07-16T19:46:31Z</dcterms:modified>
</cp:coreProperties>
</file>