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22"/>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19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20" w:type="dxa"/>
            <w:vAlign w:val="bottom"/>
          </w:tcPr>
          <w:p>
            <w:pPr>
              <w:spacing w:after="0"/>
              <w:rPr>
                <w:sz w:val="12"/>
                <w:szCs w:val="12"/>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2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5"/>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20" w:type="dxa"/>
            <w:vAlign w:val="bottom"/>
          </w:tcPr>
          <w:p>
            <w:pPr>
              <w:spacing w:after="0"/>
              <w:rPr>
                <w:sz w:val="20"/>
                <w:szCs w:val="20"/>
                <w:color w:val="auto"/>
              </w:rPr>
            </w:pPr>
          </w:p>
        </w:tc>
        <w:tc>
          <w:tcPr>
            <w:tcW w:w="19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20" w:type="dxa"/>
            <w:vAlign w:val="bottom"/>
          </w:tcPr>
          <w:p>
            <w:pPr>
              <w:spacing w:after="0"/>
              <w:rPr>
                <w:sz w:val="15"/>
                <w:szCs w:val="15"/>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7"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1280" w:firstLine="4"/>
        <w:spacing w:after="0" w:line="387"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9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The Nasdaq </w:t>
            </w:r>
            <w:r>
              <w:rPr>
                <w:rFonts w:ascii="Times New Roman" w:cs="Times New Roman" w:eastAsia="Times New Roman" w:hAnsi="Times New Roman"/>
                <w:sz w:val="18"/>
                <w:szCs w:val="18"/>
                <w:color w:val="212529"/>
                <w:w w:val="9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904240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June 25, 2026, ALX Oncology Holdings Inc., a Delaware corporation (the “Company”), entered into a loan and security agreement (the “Loan Agreement”) among HSBC Ventures USA Inc., as lender, ALX Oncology Inc., a Delaware corporation (“ALX”), as borrower, and the Company and ALX Oncology Limited, as guarantors. The Loan Agreement provides for a secured multi-tranche term loan facility in an aggregate principal amount of up to $50,000,000, of which $10,000,000 is uncommitted.</w:t>
      </w:r>
    </w:p>
    <w:p>
      <w:pPr>
        <w:spacing w:after="0" w:line="7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Agreement, the Borrower borrowed $10,000,000 of loans at closing, the proceeds of which were used to refinance the Borrower’s existing loan agreement with Oxford Finance and Silicon Valley Bank and to pay closing fees and expenses. An additional $20,000,000 remains available to draw through June 30, 2028. Upon achievement of milestones related both to the receipt of positive data in the Borrower’s Phase 2 ASPEN-09 study of Evorpacept and the receipt of positive safety data in the Phase 1 study of ALX2004, an additional $10,000,000 would become available to draw through June 30, 2028. The Borrower has access to up to an additional $10,000,000 available at the Lender’s sole discretion. The proceeds of the loans may be used by the Borrower for general corporate purposes.</w:t>
      </w:r>
    </w:p>
    <w:p>
      <w:pPr>
        <w:spacing w:after="0" w:line="8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term loans mature on June 1, 2030. The term loans will amortize in equal monthly installments beginning on July 1, 2028. However, upon the occurrence of the Interest Only Milestone Event (as defined in the Loan Agreement), then the term loans will begin to amortize in equal monthly installments beginning on July 1, 2029.</w:t>
      </w:r>
    </w:p>
    <w:p>
      <w:pPr>
        <w:spacing w:after="0" w:line="6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term loans accrue interest at a floating per annum rate equal to the greater of (A) the Prime Rate (as defined in the Loan Agreement) and (B) 6.0%. Interest on the term loans is payable monthly in arrears. The term loans once repaid or prepaid may not be reborrowed. The term loans may be prepaid in full in their entirety at any time. The Borrower is required to pay a prepayment fee of 2.0% of the outstanding principal balance for prepayments made on or prior to the first anniversary of the closing date, 1.0% for prepayments made after the first anniversary but on or prior to the second anniversary of the closing date, and no prepayment fee thereafter; provided that the prepayment fee shall be waived if the facility is refinanced by the Lender. Upon the earlier of the termination of the Loan Agreement or the maturity date, the Borrower is required to pay a final payment fee of 2.00% of the original principal amount of funded term loans. The Borrower is also obligated to pay other customary fees for a loan facility of this size and type.</w:t>
      </w:r>
    </w:p>
    <w:p>
      <w:pPr>
        <w:spacing w:after="0" w:line="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Borrower’s and the guarantors’ obligations under the Loan Agreement are secured by substantially all of the Borrower’s and the guarantors’ assets, with a negative pledge on intellectual property, and will be guaranteed by future subsidiaries of the Company, subject to certain limitations.</w:t>
      </w:r>
    </w:p>
    <w:p>
      <w:pPr>
        <w:spacing w:after="0" w:line="68" w:lineRule="exact"/>
        <w:rPr>
          <w:sz w:val="20"/>
          <w:szCs w:val="20"/>
          <w:color w:val="auto"/>
        </w:rPr>
      </w:pPr>
    </w:p>
    <w:p>
      <w:pPr>
        <w:ind w:right="220" w:firstLine="506"/>
        <w:spacing w:after="0" w:line="261"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including covenants limiting the ability of the Company and its subsidiaries to, among other things, dispose of assets, effect certain mergers, incur debt, grant liens, pay dividends and distributions on their capital stock, make investments and acquisitions, and enter into transactions with affiliates, in each case subject to customary exceptions for a loan facility of this size and type.</w:t>
      </w:r>
    </w:p>
    <w:p>
      <w:pPr>
        <w:spacing w:after="0" w:line="72" w:lineRule="exact"/>
        <w:rPr>
          <w:sz w:val="20"/>
          <w:szCs w:val="20"/>
          <w:color w:val="auto"/>
        </w:rPr>
      </w:pPr>
    </w:p>
    <w:p>
      <w:pPr>
        <w:ind w:right="240" w:firstLine="506"/>
        <w:spacing w:after="0" w:line="258" w:lineRule="auto"/>
        <w:rPr>
          <w:sz w:val="20"/>
          <w:szCs w:val="20"/>
          <w:color w:val="auto"/>
        </w:rPr>
      </w:pPr>
      <w:r>
        <w:rPr>
          <w:rFonts w:ascii="Times New Roman" w:cs="Times New Roman" w:eastAsia="Times New Roman" w:hAnsi="Times New Roman"/>
          <w:sz w:val="18"/>
          <w:szCs w:val="18"/>
          <w:color w:val="auto"/>
        </w:rPr>
        <w:t>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the Borrower’s obligations under the Loan Agreement, the termination of the Lenders’ commitments, and the exercise by the Lender of other rights and remedies provided for under the Loan Agreement.</w:t>
      </w:r>
    </w:p>
    <w:p>
      <w:pPr>
        <w:spacing w:after="0" w:line="75" w:lineRule="exact"/>
        <w:rPr>
          <w:sz w:val="20"/>
          <w:szCs w:val="20"/>
          <w:color w:val="auto"/>
        </w:rPr>
      </w:pPr>
    </w:p>
    <w:p>
      <w:pPr>
        <w:jc w:val="both"/>
        <w:ind w:right="480" w:firstLine="50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Loan Agreement does not purport to be complete and is subject to, and qualified in their entirety by reference to, the full text of the Loan Agreement, a copy of which will be filed on the Company’s Form 10-Q for the quarter ended June 30, 2026.</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right="80" w:firstLine="506"/>
        <w:spacing w:after="0" w:line="261" w:lineRule="auto"/>
        <w:rPr>
          <w:sz w:val="20"/>
          <w:szCs w:val="20"/>
          <w:color w:val="auto"/>
        </w:rPr>
      </w:pPr>
      <w:r>
        <w:rPr>
          <w:rFonts w:ascii="Times New Roman" w:cs="Times New Roman" w:eastAsia="Times New Roman" w:hAnsi="Times New Roman"/>
          <w:sz w:val="18"/>
          <w:szCs w:val="18"/>
          <w:color w:val="auto"/>
        </w:rPr>
        <w:t>On June 25, 2026, in connection with entry into the Loan Agreement, the Company used a portion of the proceeds of the Term Loans under the Loan Agreement to pay all outstanding principal, interest and other amounts owing under its existing Loan Agreement, dated as of October 27, 2022, among the Company, ALX, Oxford Finance LLC, as collateral agent, and the other parties thereto.</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related to the Loan Agreement set forth in Item 1.01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621665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97" w:right="1119" w:bottom="1440" w:gutter="0" w:footer="0" w:header="0"/>
        </w:sectPr>
      </w:pPr>
    </w:p>
    <w:bookmarkStart w:id="2" w:name="page3"/>
    <w:bookmarkEnd w:id="2"/>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8900" w:type="dxa"/>
            <w:vAlign w:val="bottom"/>
            <w:vMerge w:val="restart"/>
          </w:tcPr>
          <w:p>
            <w:pPr>
              <w:ind w:left="4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900" w:type="dxa"/>
            <w:vAlign w:val="bottom"/>
            <w:tcBorders>
              <w:bottom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3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195"/>
        </w:trPr>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97" w:right="4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7"/>
          <w:szCs w:val="17"/>
          <w:color w:val="auto"/>
        </w:rPr>
        <w:t>By: /s/ Harish Shantharam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17145</wp:posOffset>
            </wp:positionV>
            <wp:extent cx="28975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Harish Shantharam</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747395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2026-06-26T16:23:42Z</dcterms:created>
  <dcterms:modified xsi:type="dcterms:W3CDTF">2026-06-26T16:23:42Z</dcterms:modified>
</cp:coreProperties>
</file>