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00"/>
          </w:cols>
          <w:pgMar w:left="460" w:top="225" w:right="479" w:bottom="19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LSV Associates,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20"/>
        <w:spacing w:after="0" w:line="357" w:lineRule="auto"/>
        <w:rPr>
          <w:sz w:val="20"/>
          <w:szCs w:val="20"/>
          <w:color w:val="auto"/>
        </w:rPr>
      </w:pPr>
      <w:r>
        <w:rPr>
          <w:rFonts w:ascii="Arial" w:cs="Arial" w:eastAsia="Arial" w:hAnsi="Arial"/>
          <w:sz w:val="17"/>
          <w:szCs w:val="17"/>
          <w:color w:val="0000FF"/>
        </w:rPr>
        <w:t>C/O LSV CAPITAL MANAGEMENT, LLC 2884 SAND HILL ROAD, SUITE 121</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MENLO PARK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3"/>
          </w:tcPr>
          <w:p>
            <w:pPr>
              <w:spacing w:after="0"/>
              <w:rPr>
                <w:sz w:val="3"/>
                <w:szCs w:val="3"/>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4"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7"/>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1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Pr>
          <w:p>
            <w:pPr>
              <w:ind w:left="600"/>
              <w:spacing w:after="0" w:line="101" w:lineRule="exact"/>
              <w:rPr>
                <w:sz w:val="20"/>
                <w:szCs w:val="20"/>
                <w:color w:val="auto"/>
              </w:rPr>
            </w:pPr>
            <w:r>
              <w:rPr>
                <w:rFonts w:ascii="Arial" w:cs="Arial" w:eastAsia="Arial" w:hAnsi="Arial"/>
                <w:sz w:val="11"/>
                <w:szCs w:val="11"/>
                <w:color w:val="auto"/>
              </w:rPr>
              <w:t>below)</w:t>
            </w:r>
          </w:p>
        </w:tc>
        <w:tc>
          <w:tcPr>
            <w:tcW w:w="360" w:type="dxa"/>
            <w:vAlign w:val="bottom"/>
          </w:tcPr>
          <w:p>
            <w:pPr>
              <w:spacing w:after="0"/>
              <w:rPr>
                <w:sz w:val="11"/>
                <w:szCs w:val="11"/>
                <w:color w:val="auto"/>
              </w:rPr>
            </w:pPr>
          </w:p>
        </w:tc>
        <w:tc>
          <w:tcPr>
            <w:tcW w:w="124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20" w:type="dxa"/>
            <w:vAlign w:val="bottom"/>
            <w:gridSpan w:val="3"/>
          </w:tcPr>
          <w:p>
            <w:pPr>
              <w:ind w:left="80"/>
              <w:spacing w:after="0"/>
              <w:rPr>
                <w:sz w:val="20"/>
                <w:szCs w:val="20"/>
                <w:color w:val="auto"/>
              </w:rPr>
            </w:pPr>
            <w:r>
              <w:rPr>
                <w:rFonts w:ascii="Arial" w:cs="Arial" w:eastAsia="Arial" w:hAnsi="Arial"/>
                <w:sz w:val="17"/>
                <w:szCs w:val="17"/>
                <w:color w:val="0000FF"/>
              </w:rPr>
              <w:t>12/08/2021</w:t>
            </w: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1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21" w:lineRule="exact"/>
        <w:rPr>
          <w:sz w:val="20"/>
          <w:szCs w:val="20"/>
          <w:color w:val="auto"/>
        </w:rPr>
      </w:pPr>
    </w:p>
    <w:p>
      <w:pPr>
        <w:sectPr>
          <w:pgSz w:w="11900" w:h="16838" w:orient="portrait"/>
          <w:cols w:equalWidth="0" w:num="2">
            <w:col w:w="3760" w:space="80"/>
            <w:col w:w="7120"/>
          </w:cols>
          <w:pgMar w:left="460" w:top="225" w:right="479" w:bottom="198"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jc w:val="center"/>
              <w:ind w:left="4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3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12/08/2021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35,836</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33.23</w:t>
            </w:r>
            <w:r>
              <w:rPr>
                <w:rFonts w:ascii="Arial" w:cs="Arial" w:eastAsia="Arial" w:hAnsi="Arial"/>
                <w:sz w:val="22"/>
                <w:szCs w:val="22"/>
                <w:color w:val="008000"/>
                <w:w w:val="88"/>
                <w:vertAlign w:val="superscript"/>
              </w:rPr>
              <w:t>(1)</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2,232,251</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12/08/2021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4,883</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33.23</w:t>
            </w:r>
            <w:r>
              <w:rPr>
                <w:rFonts w:ascii="Arial" w:cs="Arial" w:eastAsia="Arial" w:hAnsi="Arial"/>
                <w:sz w:val="22"/>
                <w:szCs w:val="22"/>
                <w:color w:val="008000"/>
                <w:w w:val="88"/>
                <w:vertAlign w:val="superscript"/>
              </w:rPr>
              <w:t>(1)</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304,339</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9"/>
              </w:rPr>
              <w:t>(A), L.P.</w:t>
            </w:r>
            <w:r>
              <w:rPr>
                <w:rFonts w:ascii="Arial" w:cs="Arial" w:eastAsia="Arial" w:hAnsi="Arial"/>
                <w:sz w:val="22"/>
                <w:szCs w:val="22"/>
                <w:color w:val="008000"/>
                <w:w w:val="99"/>
                <w:vertAlign w:val="superscript"/>
              </w:rPr>
              <w:t>(3)</w:t>
            </w: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12/08/2021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1,531</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33.8</w:t>
            </w:r>
            <w:r>
              <w:rPr>
                <w:rFonts w:ascii="Arial" w:cs="Arial" w:eastAsia="Arial" w:hAnsi="Arial"/>
                <w:sz w:val="22"/>
                <w:szCs w:val="22"/>
                <w:color w:val="008000"/>
                <w:w w:val="89"/>
                <w:vertAlign w:val="superscript"/>
              </w:rPr>
              <w:t>(4)</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2,230,720</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12/08/2021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208</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33.8</w:t>
            </w:r>
            <w:r>
              <w:rPr>
                <w:rFonts w:ascii="Arial" w:cs="Arial" w:eastAsia="Arial" w:hAnsi="Arial"/>
                <w:sz w:val="22"/>
                <w:szCs w:val="22"/>
                <w:color w:val="008000"/>
                <w:w w:val="89"/>
                <w:vertAlign w:val="superscript"/>
              </w:rPr>
              <w:t>(4)</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304,131</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9"/>
              </w:rPr>
              <w:t>(A), L.P.</w:t>
            </w:r>
            <w:r>
              <w:rPr>
                <w:rFonts w:ascii="Arial" w:cs="Arial" w:eastAsia="Arial" w:hAnsi="Arial"/>
                <w:sz w:val="22"/>
                <w:szCs w:val="22"/>
                <w:color w:val="008000"/>
                <w:w w:val="99"/>
                <w:vertAlign w:val="superscript"/>
              </w:rPr>
              <w:t>(3)</w:t>
            </w: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12/09/2021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11,452</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31.08</w:t>
            </w:r>
            <w:r>
              <w:rPr>
                <w:rFonts w:ascii="Arial" w:cs="Arial" w:eastAsia="Arial" w:hAnsi="Arial"/>
                <w:sz w:val="22"/>
                <w:szCs w:val="22"/>
                <w:color w:val="008000"/>
                <w:w w:val="88"/>
                <w:vertAlign w:val="superscript"/>
              </w:rPr>
              <w:t>(5)</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2,219,268</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12/09/2021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1,560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31.08</w:t>
            </w:r>
            <w:r>
              <w:rPr>
                <w:rFonts w:ascii="Arial" w:cs="Arial" w:eastAsia="Arial" w:hAnsi="Arial"/>
                <w:sz w:val="22"/>
                <w:szCs w:val="22"/>
                <w:color w:val="008000"/>
                <w:w w:val="88"/>
                <w:vertAlign w:val="superscript"/>
              </w:rPr>
              <w:t>(5)</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302,571</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9"/>
              </w:rPr>
              <w:t>(A), L.P.</w:t>
            </w:r>
            <w:r>
              <w:rPr>
                <w:rFonts w:ascii="Arial" w:cs="Arial" w:eastAsia="Arial" w:hAnsi="Arial"/>
                <w:sz w:val="22"/>
                <w:szCs w:val="22"/>
                <w:color w:val="008000"/>
                <w:w w:val="99"/>
                <w:vertAlign w:val="superscript"/>
              </w:rPr>
              <w:t>(3)</w:t>
            </w: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12/09/2021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42,203</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32.06</w:t>
            </w:r>
            <w:r>
              <w:rPr>
                <w:rFonts w:ascii="Arial" w:cs="Arial" w:eastAsia="Arial" w:hAnsi="Arial"/>
                <w:sz w:val="22"/>
                <w:szCs w:val="22"/>
                <w:color w:val="008000"/>
                <w:w w:val="88"/>
                <w:vertAlign w:val="superscript"/>
              </w:rPr>
              <w:t>(6)</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2,177,065</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12/09/2021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5,751</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32.06</w:t>
            </w:r>
            <w:r>
              <w:rPr>
                <w:rFonts w:ascii="Arial" w:cs="Arial" w:eastAsia="Arial" w:hAnsi="Arial"/>
                <w:sz w:val="22"/>
                <w:szCs w:val="22"/>
                <w:color w:val="008000"/>
                <w:w w:val="88"/>
                <w:vertAlign w:val="superscript"/>
              </w:rPr>
              <w:t>(6)</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296,820</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9"/>
              </w:rPr>
              <w:t>(A), L.P.</w:t>
            </w:r>
            <w:r>
              <w:rPr>
                <w:rFonts w:ascii="Arial" w:cs="Arial" w:eastAsia="Arial" w:hAnsi="Arial"/>
                <w:sz w:val="22"/>
                <w:szCs w:val="22"/>
                <w:color w:val="008000"/>
                <w:w w:val="99"/>
                <w:vertAlign w:val="superscript"/>
              </w:rPr>
              <w:t>(3)</w:t>
            </w: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12/09/2021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14,028</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32.73</w:t>
            </w:r>
            <w:r>
              <w:rPr>
                <w:rFonts w:ascii="Arial" w:cs="Arial" w:eastAsia="Arial" w:hAnsi="Arial"/>
                <w:sz w:val="22"/>
                <w:szCs w:val="22"/>
                <w:color w:val="008000"/>
                <w:w w:val="88"/>
                <w:vertAlign w:val="superscript"/>
              </w:rPr>
              <w:t>(7)</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2,163,037</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12/09/2021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1,911</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32.73</w:t>
            </w:r>
            <w:r>
              <w:rPr>
                <w:rFonts w:ascii="Arial" w:cs="Arial" w:eastAsia="Arial" w:hAnsi="Arial"/>
                <w:sz w:val="22"/>
                <w:szCs w:val="22"/>
                <w:color w:val="008000"/>
                <w:w w:val="88"/>
                <w:vertAlign w:val="superscript"/>
              </w:rPr>
              <w:t>(7)</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294,909</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52"/>
        </w:trPr>
        <w:tc>
          <w:tcPr>
            <w:tcW w:w="23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40"/>
        <w:spacing w:after="0"/>
        <w:rPr>
          <w:sz w:val="20"/>
          <w:szCs w:val="20"/>
          <w:color w:val="auto"/>
        </w:rPr>
      </w:pPr>
      <w:r>
        <w:rPr>
          <w:rFonts w:ascii="Arial" w:cs="Arial" w:eastAsia="Arial" w:hAnsi="Arial"/>
          <w:sz w:val="17"/>
          <w:szCs w:val="17"/>
          <w:color w:val="0000FF"/>
        </w:rPr>
        <w:t>(A), L.P.</w:t>
      </w:r>
      <w:r>
        <w:rPr>
          <w:rFonts w:ascii="Arial" w:cs="Arial" w:eastAsia="Arial" w:hAnsi="Arial"/>
          <w:sz w:val="22"/>
          <w:szCs w:val="22"/>
          <w:color w:val="008000"/>
          <w:vertAlign w:val="superscript"/>
        </w:rPr>
        <w:t>(3)</w:t>
      </w:r>
    </w:p>
    <w:p>
      <w:pPr>
        <w:sectPr>
          <w:pgSz w:w="11900" w:h="16838" w:orient="portrait"/>
          <w:cols w:equalWidth="0" w:num="1">
            <w:col w:w="10960"/>
          </w:cols>
          <w:pgMar w:left="460" w:top="225" w:right="479" w:bottom="198"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20" w:type="dxa"/>
            <w:vAlign w:val="bottom"/>
            <w:gridSpan w:val="6"/>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7"/>
                <w:szCs w:val="17"/>
                <w:color w:val="0000FF"/>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0000FF"/>
              </w:rPr>
              <w:t>12/10/2021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Arial" w:cs="Arial" w:eastAsia="Arial" w:hAnsi="Arial"/>
                <w:sz w:val="13"/>
                <w:szCs w:val="13"/>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9"/>
              </w:rPr>
              <w:t>7,093</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76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30.77</w:t>
            </w:r>
            <w:r>
              <w:rPr>
                <w:rFonts w:ascii="Arial" w:cs="Arial" w:eastAsia="Arial" w:hAnsi="Arial"/>
                <w:sz w:val="22"/>
                <w:szCs w:val="22"/>
                <w:color w:val="008000"/>
                <w:w w:val="88"/>
                <w:vertAlign w:val="superscript"/>
              </w:rPr>
              <w:t>(8)</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2,155,944</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By</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0000FF"/>
              </w:rPr>
              <w:t>12/10/2021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Arial" w:cs="Arial" w:eastAsia="Arial" w:hAnsi="Arial"/>
                <w:sz w:val="13"/>
                <w:szCs w:val="13"/>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91"/>
              </w:rPr>
              <w:t>967</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76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30.77</w:t>
            </w:r>
            <w:r>
              <w:rPr>
                <w:rFonts w:ascii="Arial" w:cs="Arial" w:eastAsia="Arial" w:hAnsi="Arial"/>
                <w:sz w:val="22"/>
                <w:szCs w:val="22"/>
                <w:color w:val="008000"/>
                <w:w w:val="88"/>
                <w:vertAlign w:val="superscript"/>
              </w:rPr>
              <w:t>(8)</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293,942</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(A), 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By</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0000FF"/>
              </w:rPr>
              <w:t>12/10/2021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Arial" w:cs="Arial" w:eastAsia="Arial" w:hAnsi="Arial"/>
                <w:sz w:val="13"/>
                <w:szCs w:val="13"/>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8"/>
              </w:rPr>
              <w:t>15,942</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76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31.55</w:t>
            </w:r>
            <w:r>
              <w:rPr>
                <w:rFonts w:ascii="Arial" w:cs="Arial" w:eastAsia="Arial" w:hAnsi="Arial"/>
                <w:sz w:val="22"/>
                <w:szCs w:val="22"/>
                <w:color w:val="008000"/>
                <w:w w:val="88"/>
                <w:vertAlign w:val="superscript"/>
              </w:rPr>
              <w:t>(9)</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2,140,002</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By</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0000FF"/>
              </w:rPr>
              <w:t>12/10/2021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Arial" w:cs="Arial" w:eastAsia="Arial" w:hAnsi="Arial"/>
                <w:sz w:val="13"/>
                <w:szCs w:val="13"/>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9"/>
              </w:rPr>
              <w:t>2,172</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76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31.55</w:t>
            </w:r>
            <w:r>
              <w:rPr>
                <w:rFonts w:ascii="Arial" w:cs="Arial" w:eastAsia="Arial" w:hAnsi="Arial"/>
                <w:sz w:val="22"/>
                <w:szCs w:val="22"/>
                <w:color w:val="008000"/>
                <w:w w:val="88"/>
                <w:vertAlign w:val="superscript"/>
              </w:rPr>
              <w:t>(9)</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291,770</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(A), 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By</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0000FF"/>
              </w:rPr>
              <w:t>12/10/2021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Arial" w:cs="Arial" w:eastAsia="Arial" w:hAnsi="Arial"/>
                <w:sz w:val="13"/>
                <w:szCs w:val="13"/>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94"/>
              </w:rPr>
              <w:t>88</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680" w:type="dxa"/>
            <w:vAlign w:val="bottom"/>
            <w:gridSpan w:val="2"/>
            <w:vMerge w:val="restart"/>
          </w:tcPr>
          <w:p>
            <w:pPr>
              <w:jc w:val="center"/>
              <w:ind w:left="27"/>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32.16</w:t>
            </w:r>
          </w:p>
        </w:tc>
        <w:tc>
          <w:tcPr>
            <w:tcW w:w="8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2,139,914</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By</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0000FF"/>
              </w:rPr>
              <w:t>12/10/2021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Arial" w:cs="Arial" w:eastAsia="Arial" w:hAnsi="Arial"/>
                <w:sz w:val="13"/>
                <w:szCs w:val="13"/>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94"/>
              </w:rPr>
              <w:t>12</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680" w:type="dxa"/>
            <w:vAlign w:val="bottom"/>
            <w:gridSpan w:val="2"/>
            <w:vMerge w:val="restart"/>
          </w:tcPr>
          <w:p>
            <w:pPr>
              <w:jc w:val="center"/>
              <w:ind w:left="27"/>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32.16</w:t>
            </w:r>
          </w:p>
        </w:tc>
        <w:tc>
          <w:tcPr>
            <w:tcW w:w="8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291,758</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(A), 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By</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2,023,469</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II, L.P.</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By</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1"/>
              </w:rPr>
              <w:t>120,212</w:t>
            </w:r>
          </w:p>
        </w:tc>
        <w:tc>
          <w:tcPr>
            <w:tcW w:w="32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II (A),</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940" w:type="dxa"/>
            <w:vAlign w:val="bottom"/>
            <w:gridSpan w:val="17"/>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jc w:val="right"/>
              <w:ind w:right="260"/>
              <w:spacing w:after="0" w:line="133" w:lineRule="exact"/>
              <w:rPr>
                <w:sz w:val="20"/>
                <w:szCs w:val="20"/>
                <w:color w:val="auto"/>
              </w:rPr>
            </w:pPr>
            <w:r>
              <w:rPr>
                <w:rFonts w:ascii="Arial" w:cs="Arial" w:eastAsia="Arial" w:hAnsi="Arial"/>
                <w:sz w:val="12"/>
                <w:szCs w:val="12"/>
                <w:b w:val="1"/>
                <w:bCs w:val="1"/>
                <w:color w:val="auto"/>
                <w:w w:val="93"/>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LSV Associates, LLC</w:t>
              </w:r>
            </w:hyperlink>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Arial" w:cs="Arial" w:eastAsia="Arial" w:hAnsi="Arial"/>
                <w:sz w:val="17"/>
                <w:szCs w:val="17"/>
                <w:color w:val="0000FF"/>
              </w:rPr>
              <w:t>C/O LSV CAPITAL MANAGEMENT, LLC</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sz w:val="20"/>
                <w:szCs w:val="20"/>
                <w:color w:val="auto"/>
              </w:rPr>
            </w:pPr>
            <w:r>
              <w:rPr>
                <w:rFonts w:ascii="Arial" w:cs="Arial" w:eastAsia="Arial" w:hAnsi="Arial"/>
                <w:sz w:val="17"/>
                <w:szCs w:val="17"/>
                <w:color w:val="0000FF"/>
              </w:rPr>
              <w:t>2884 SAND HILL ROAD, SUITE 121</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MENLO PARK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94025</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Lightstone Ventures, L.P.</w:t>
              </w:r>
            </w:hyperlink>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LSV CAPITAL MANAGEMENT, LLC</w:t>
      </w:r>
    </w:p>
    <w:p>
      <w:pPr>
        <w:sectPr>
          <w:pgSz w:w="11900" w:h="16838" w:orient="portrait"/>
          <w:cols w:equalWidth="0" w:num="1">
            <w:col w:w="11080"/>
          </w:cols>
          <w:pgMar w:left="460" w:top="187" w:right="359" w:bottom="0" w:gutter="0" w:footer="0" w:header="0"/>
        </w:sectPr>
      </w:pPr>
    </w:p>
    <w:bookmarkStart w:id="2" w:name="page3"/>
    <w:bookmarkEnd w:id="2"/>
    <w:p>
      <w:pPr>
        <w:spacing w:after="0" w:line="27"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2884 SAND HILL ROAD, SUITE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w w:val="97"/>
              </w:rPr>
            </w:pPr>
            <w:hyperlink r:id="rId18">
              <w:r>
                <w:rPr>
                  <w:rFonts w:ascii="Arial" w:cs="Arial" w:eastAsia="Arial" w:hAnsi="Arial"/>
                  <w:sz w:val="21"/>
                  <w:szCs w:val="21"/>
                  <w:color w:val="0000EE"/>
                  <w:w w:val="97"/>
                </w:rPr>
                <w:t>Lightstone Ventures (A),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LSV CAPITAL MANAGEMENT, LLC</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2884 SAND HILL ROAD, SUITE 121</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LSV Associates II,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LSV CAPITAL MANAGEMENT, LLC</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2884 SAND HILL ROAD, SUITE 121</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Lightstone Ventures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LSV CAPITAL MANAGEMENT, LLC</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2884 SAND HILL ROAD, SUITE 121</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5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400" w:type="dxa"/>
            <w:vAlign w:val="bottom"/>
          </w:tcPr>
          <w:p>
            <w:pPr>
              <w:ind w:left="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60" w:type="dxa"/>
            <w:vAlign w:val="bottom"/>
            <w:gridSpan w:val="3"/>
          </w:tcPr>
          <w:p>
            <w:pPr>
              <w:spacing w:after="0" w:line="221" w:lineRule="exact"/>
              <w:rPr>
                <w:rFonts w:ascii="Arial" w:cs="Arial" w:eastAsia="Arial" w:hAnsi="Arial"/>
                <w:sz w:val="21"/>
                <w:szCs w:val="21"/>
                <w:color w:val="0000EE"/>
                <w:w w:val="95"/>
              </w:rPr>
            </w:pPr>
            <w:hyperlink r:id="rId21">
              <w:r>
                <w:rPr>
                  <w:rFonts w:ascii="Arial" w:cs="Arial" w:eastAsia="Arial" w:hAnsi="Arial"/>
                  <w:sz w:val="21"/>
                  <w:szCs w:val="21"/>
                  <w:color w:val="0000EE"/>
                  <w:w w:val="95"/>
                </w:rPr>
                <w:t>Lightstone Ventures II (A),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LSV CAPITAL MANAGEMENT, LLC</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2884 SAND HILL ROAD, SUITE 121</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Carusi Michael A</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LSV CAPITAL MANAGEMENT, LLC</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2884 SAND HILL ROAD, SUITE 121</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040" w:type="dxa"/>
            <w:vAlign w:val="bottom"/>
          </w:tcPr>
          <w:p>
            <w:pPr>
              <w:ind w:left="14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George Jean</w:t>
        </w:r>
      </w:hyperlink>
    </w:p>
    <w:p>
      <w:pPr>
        <w:sectPr>
          <w:pgSz w:w="11900" w:h="16866" w:orient="portrait"/>
          <w:cols w:equalWidth="0" w:num="1">
            <w:col w:w="9979"/>
          </w:cols>
          <w:pgMar w:left="480" w:top="131" w:right="1440" w:bottom="0" w:gutter="0" w:footer="0" w:header="0"/>
        </w:sectPr>
      </w:pPr>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66" w:orient="portrait"/>
          <w:cols w:equalWidth="0" w:num="1">
            <w:col w:w="9979"/>
          </w:cols>
          <w:pgMar w:left="480" w:top="131" w:right="1440" w:bottom="0" w:gutter="0" w:footer="0" w:header="0"/>
          <w:type w:val="continuous"/>
        </w:sectPr>
      </w:pPr>
    </w:p>
    <w:bookmarkStart w:id="3" w:name="page4"/>
    <w:bookmarkEnd w:id="3"/>
    <w:p>
      <w:pPr>
        <w:ind w:left="10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923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2809240" cy="2923540"/>
                    </a:xfrm>
                    <a:prstGeom prst="rect">
                      <a:avLst/>
                    </a:prstGeom>
                    <a:noFill/>
                  </pic:spPr>
                </pic:pic>
              </a:graphicData>
            </a:graphic>
          </wp:anchor>
        </w:drawing>
        <w:t>C/O LSV CAPITAL MANAGEMENT, LLC</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2884 SAND HILL ROAD, SUITE 121</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5">
              <w:r>
                <w:rPr>
                  <w:rFonts w:ascii="Arial" w:cs="Arial" w:eastAsia="Arial" w:hAnsi="Arial"/>
                  <w:sz w:val="21"/>
                  <w:szCs w:val="21"/>
                  <w:color w:val="0000EE"/>
                </w:rPr>
                <w:t>Plain Henry A JR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LSV CAPITAL MANAGEMENT, LLC</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2884 SAND HILL ROAD, SUITE 121</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040" w:type="dxa"/>
            <w:vAlign w:val="bottom"/>
          </w:tcPr>
          <w:p>
            <w:pPr>
              <w:ind w:left="14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$32.70 to $33.69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right="6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are held directly by Lightstone Ventures, L.P. ("LV LP"). LSV Associates, LLC (LSV Associates), is the general partner of LV LP and may be deemed to beneficially own the shares held by LV LP. Michael A. Carusi, Jean M. George and Henry A. Plain, Jr. are the managing directors of LSV Associates and may be deemed to share voting and investment power over the shares held by LV LP. Each of LSV Associates and Messrs. Carusi, George and Plain disclaims beneficial ownership of these shares except to the extent of its, his or her respective pecuniary interest therein.</w:t>
      </w:r>
    </w:p>
    <w:p>
      <w:pPr>
        <w:spacing w:after="0" w:line="8" w:lineRule="exact"/>
        <w:rPr>
          <w:rFonts w:ascii="Arial" w:cs="Arial" w:eastAsia="Arial" w:hAnsi="Arial"/>
          <w:sz w:val="12"/>
          <w:szCs w:val="12"/>
          <w:color w:val="008000"/>
        </w:rPr>
      </w:pPr>
    </w:p>
    <w:p>
      <w:pPr>
        <w:ind w:left="20" w:right="24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are held directly by Lightstone Ventures (A), L.P. ("LV(A) LP"). LSV Associates is the general partner of LV(A) LP and may be deemed to beneficially own the shares held by LV(A) LP. Michael A. Carusi, Jean M. George and Henry A. Plain, Jr. are the managing directors of LSV Associates and may be deemed to share voting and investment power over the shares held by LV(A) LP. Each of LSV Associates and Messrs. Carusi, George and Plain disclaims beneficial ownership of these shares except to the extent of its, his or her respective pecuniary interest therein.</w:t>
      </w:r>
    </w:p>
    <w:p>
      <w:pPr>
        <w:spacing w:after="0" w:line="8" w:lineRule="exact"/>
        <w:rPr>
          <w:rFonts w:ascii="Arial" w:cs="Arial" w:eastAsia="Arial" w:hAnsi="Arial"/>
          <w:sz w:val="12"/>
          <w:szCs w:val="12"/>
          <w:color w:val="008000"/>
        </w:rPr>
      </w:pPr>
    </w:p>
    <w:p>
      <w:pPr>
        <w:ind w:left="20" w:right="1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$33.70 to $33.92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right="1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$30.50 to $31.49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right="1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$31.50 to $32.49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right="1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$32.50 to $33.25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right="1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$30.12 to $31.09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right="1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$31.15 to $32.01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firstLine="7"/>
        <w:spacing w:after="0" w:line="245" w:lineRule="auto"/>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Lightstone Ventures II, L.P. ("LV II LP"). LSV Associates II, LLC (LSV Associates II), is the general partner of LV II LP and may be deemed to beneficially own the shares held by LV II LP. Michael A. Carusi, Jean M. George, Jason W. Lettmann and Henry A. Plain, Jr. are the managing directors of LSV Associates II and may be deemed to share voting and investment power over the shares held by LV II LP. Each of LSV Associates II and Messrs. Carusi, George and Plain disclaims beneficial ownership of these shares except to the extent of its, his or her respective pecuniary interest therein. Mr. Lettmann is a director of the Issuer and files separate Section 16 reports.</w:t>
      </w:r>
    </w:p>
    <w:p>
      <w:pPr>
        <w:spacing w:after="0" w:line="29" w:lineRule="exact"/>
        <w:rPr>
          <w:rFonts w:ascii="Arial" w:cs="Arial" w:eastAsia="Arial" w:hAnsi="Arial"/>
          <w:sz w:val="13"/>
          <w:szCs w:val="13"/>
          <w:color w:val="008000"/>
        </w:rPr>
      </w:pPr>
    </w:p>
    <w:p>
      <w:pPr>
        <w:ind w:left="20" w:right="100" w:firstLine="7"/>
        <w:spacing w:after="0" w:line="245" w:lineRule="auto"/>
        <w:tabs>
          <w:tab w:leader="none" w:pos="21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Lightstone Ventures II (A), L.P. ("LV II(A) LP"). LSV Associates II, is the general partner of LV II(A) LP and may be deemed to beneficially own the shares held by LV II(A) LP. Michael A. Carusi, Jean M. George, Jason W. Lettmann and Henry A. Plain, Jr. are the managing directors of LSV Associates II and may be deemed to share voting and investment power over the shares held by LV II(A) LP. Each of LSV Associates II and Messrs. Carusi, George and Plain disclaims beneficial ownership of these shares except to the extent of its, his or her respective pecuniary interest therein. Mr. Lettmann is a director of the Issuer and files separate Section 16 reports.</w:t>
      </w:r>
    </w:p>
    <w:p>
      <w:pPr>
        <w:sectPr>
          <w:pgSz w:w="11900" w:h="16838" w:orient="portrait"/>
          <w:cols w:equalWidth="0" w:num="1">
            <w:col w:w="10880"/>
          </w:cols>
          <w:pgMar w:left="480" w:top="158" w:right="539" w:bottom="0" w:gutter="0" w:footer="0" w:header="0"/>
        </w:sectPr>
      </w:pP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LSV Associates,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Travis Boettner,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9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Lightstone Ventures,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22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LSV Associates,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7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general partner, By /s/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76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Boettner,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84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Lightstone Ventures (A),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16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LSV Associates,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8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general partner, By /s/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76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Boettner,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84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LSV Associates II,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528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Travis Boettner,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9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17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Lightstone Ventures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36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LSV Associates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33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42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Travis Boettner,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9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Lightstone Ventures II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12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LSV Associates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57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/s/ Travis Boettner,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9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17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12/10/2021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12/10/2021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12/10/2021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06" w:lineRule="exact"/>
        <w:rPr>
          <w:sz w:val="20"/>
          <w:szCs w:val="20"/>
          <w:color w:val="auto"/>
        </w:rPr>
      </w:pPr>
    </w:p>
    <w:p>
      <w:pPr>
        <w:sectPr>
          <w:pgSz w:w="11900" w:h="16838" w:orient="portrait"/>
          <w:cols w:equalWidth="0" w:num="2">
            <w:col w:w="8660" w:space="100"/>
            <w:col w:w="2120"/>
          </w:cols>
          <w:pgMar w:left="480" w:top="158" w:right="539" w:bottom="0" w:gutter="0" w:footer="0" w:header="0"/>
          <w:type w:val="continuous"/>
        </w:sectPr>
      </w:pPr>
    </w:p>
    <w:tbl>
      <w:tblPr>
        <w:tblLayout w:type="fixed"/>
        <w:tblInd w:w="6560" w:type="dxa"/>
        <w:tblCellMar>
          <w:top w:w="0" w:type="dxa"/>
          <w:left w:w="0" w:type="dxa"/>
          <w:bottom w:w="0" w:type="dxa"/>
          <w:right w:w="0" w:type="dxa"/>
        </w:tblCellMar>
      </w:tblPr>
      <w:tr>
        <w:trPr>
          <w:trHeight w:val="195"/>
        </w:trPr>
        <w:tc>
          <w:tcPr>
            <w:tcW w:w="1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Michael A. Carusi, By /s/</w:t>
            </w:r>
          </w:p>
        </w:tc>
        <w:tc>
          <w:tcPr>
            <w:tcW w:w="4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00FF"/>
                <w:w w:val="91"/>
              </w:rPr>
              <w:t>12/10/2021</w:t>
            </w:r>
          </w:p>
        </w:tc>
      </w:tr>
    </w:tbl>
    <w:p>
      <w:pPr>
        <w:sectPr>
          <w:pgSz w:w="11900" w:h="16838" w:orient="portrait"/>
          <w:cols w:equalWidth="0" w:num="1">
            <w:col w:w="10880"/>
          </w:cols>
          <w:pgMar w:left="480" w:top="158" w:right="539" w:bottom="0" w:gutter="0" w:footer="0" w:header="0"/>
          <w:type w:val="continuous"/>
        </w:sectPr>
      </w:pPr>
    </w:p>
    <w:bookmarkStart w:id="4" w:name="page5"/>
    <w:bookmarkEnd w:id="4"/>
    <w:p>
      <w:pPr>
        <w:ind w:left="6540"/>
        <w:spacing w:after="0"/>
        <w:rPr>
          <w:sz w:val="20"/>
          <w:szCs w:val="20"/>
          <w:color w:val="auto"/>
        </w:rPr>
      </w:pPr>
      <w:r>
        <w:rPr>
          <w:rFonts w:ascii="Arial" w:cs="Arial" w:eastAsia="Arial" w:hAnsi="Arial"/>
          <w:sz w:val="17"/>
          <w:szCs w:val="17"/>
          <w:color w:val="0000FF"/>
        </w:rPr>
        <w:t>Travis Boettner,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39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ind w:left="6540"/>
        <w:spacing w:after="0" w:line="184" w:lineRule="auto"/>
        <w:rPr>
          <w:sz w:val="20"/>
          <w:szCs w:val="20"/>
          <w:color w:val="auto"/>
        </w:rPr>
      </w:pPr>
      <w:r>
        <w:rPr>
          <w:rFonts w:ascii="Arial" w:cs="Arial" w:eastAsia="Arial" w:hAnsi="Arial"/>
          <w:sz w:val="17"/>
          <w:szCs w:val="17"/>
          <w:color w:val="0000FF"/>
        </w:rPr>
        <w:t xml:space="preserve">Jean M. George, By /s/ Travis  </w:t>
      </w:r>
      <w:r>
        <w:rPr>
          <w:rFonts w:ascii="Arial" w:cs="Arial" w:eastAsia="Arial" w:hAnsi="Arial"/>
          <w:sz w:val="33"/>
          <w:szCs w:val="33"/>
          <w:color w:val="0000FF"/>
          <w:vertAlign w:val="subscript"/>
        </w:rPr>
        <w:t>12/10/2021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16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Boettner,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1684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16840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Henry A. Plain, Jr.,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7"/>
          <w:szCs w:val="17"/>
          <w:color w:val="0000FF"/>
        </w:rPr>
        <w:t>Travis Boettner, Attorney-in-</w:t>
      </w:r>
      <w:r>
        <w:rPr>
          <w:sz w:val="20"/>
          <w:szCs w:val="20"/>
          <w:color w:val="auto"/>
        </w:rPr>
        <w:tab/>
      </w:r>
      <w:r>
        <w:rPr>
          <w:rFonts w:ascii="Arial" w:cs="Arial" w:eastAsia="Arial" w:hAnsi="Arial"/>
          <w:sz w:val="15"/>
          <w:szCs w:val="15"/>
          <w:color w:val="0000FF"/>
        </w:rPr>
        <w:t>12/10/2021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4"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12" Type="http://schemas.openxmlformats.org/officeDocument/2006/relationships/hyperlink" Target="http://www.sec.gov/cgi-bin/browse-edgar?action=getcompany&amp;CIK=0001643828" TargetMode="External"/><Relationship Id="rId13" Type="http://schemas.openxmlformats.org/officeDocument/2006/relationships/hyperlink" Target="http://www.sec.gov/cgi-bin/browse-edgar?action=getcompany&amp;CIK=0001810182" TargetMode="External"/><Relationship Id="rId15" Type="http://schemas.openxmlformats.org/officeDocument/2006/relationships/hyperlink" Target="http://www.sec.gov/cgi-bin/browse-edgar?action=getcompany&amp;CIK=0001572522" TargetMode="External"/><Relationship Id="rId18" Type="http://schemas.openxmlformats.org/officeDocument/2006/relationships/hyperlink" Target="http://www.sec.gov/cgi-bin/browse-edgar?action=getcompany&amp;CIK=0001572523" TargetMode="External"/><Relationship Id="rId19" Type="http://schemas.openxmlformats.org/officeDocument/2006/relationships/hyperlink" Target="http://www.sec.gov/cgi-bin/browse-edgar?action=getcompany&amp;CIK=0001818388" TargetMode="External"/><Relationship Id="rId20" Type="http://schemas.openxmlformats.org/officeDocument/2006/relationships/hyperlink" Target="http://www.sec.gov/cgi-bin/browse-edgar?action=getcompany&amp;CIK=0001699565" TargetMode="External"/><Relationship Id="rId21" Type="http://schemas.openxmlformats.org/officeDocument/2006/relationships/hyperlink" Target="http://www.sec.gov/cgi-bin/browse-edgar?action=getcompany&amp;CIK=0001706610" TargetMode="External"/><Relationship Id="rId22" Type="http://schemas.openxmlformats.org/officeDocument/2006/relationships/hyperlink" Target="http://www.sec.gov/cgi-bin/browse-edgar?action=getcompany&amp;CIK=0001306506" TargetMode="External"/><Relationship Id="rId23" Type="http://schemas.openxmlformats.org/officeDocument/2006/relationships/hyperlink" Target="http://www.sec.gov/cgi-bin/browse-edgar?action=getcompany&amp;CIK=0001291804" TargetMode="External"/><Relationship Id="rId25" Type="http://schemas.openxmlformats.org/officeDocument/2006/relationships/hyperlink" Target="http://www.sec.gov/cgi-bin/browse-edgar?action=getcompany&amp;CIK=0001384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2021-12-10T19:04:10Z</dcterms:created>
  <dcterms:modified xsi:type="dcterms:W3CDTF">2021-12-10T19:04:10Z</dcterms:modified>
</cp:coreProperties>
</file>