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July 21,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ALX ONCOLOGY HOLDINGS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001-39386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85-0642577</w:t>
      </w:r>
    </w:p>
    <w:p>
      <w:pPr>
        <w:spacing w:after="0" w:line="31" w:lineRule="exact"/>
        <w:rPr>
          <w:sz w:val="24"/>
          <w:szCs w:val="24"/>
          <w:color w:val="auto"/>
        </w:rPr>
      </w:pPr>
    </w:p>
    <w:p>
      <w:pPr>
        <w:sectPr>
          <w:pgSz w:w="11900" w:h="16838" w:orient="portrait"/>
          <w:cols w:equalWidth="0" w:num="3">
            <w:col w:w="4500" w:space="720"/>
            <w:col w:w="288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0" w:space="720"/>
            <w:col w:w="2760" w:space="720"/>
            <w:col w:w="2340"/>
          </w:cols>
          <w:pgMar w:left="440" w:top="368" w:right="439" w:bottom="1440" w:gutter="0" w:footer="0" w:header="0"/>
          <w:type w:val="continuous"/>
        </w:sectPr>
      </w:pPr>
    </w:p>
    <w:p>
      <w:pPr>
        <w:ind w:left="4380"/>
        <w:spacing w:after="0"/>
        <w:rPr>
          <w:sz w:val="20"/>
          <w:szCs w:val="20"/>
          <w:color w:val="auto"/>
        </w:rPr>
      </w:pPr>
      <w:r>
        <w:rPr>
          <w:rFonts w:ascii="Arial" w:cs="Arial" w:eastAsia="Arial" w:hAnsi="Arial"/>
          <w:sz w:val="18"/>
          <w:szCs w:val="18"/>
          <w:b w:val="1"/>
          <w:bCs w:val="1"/>
          <w:color w:val="auto"/>
        </w:rPr>
        <w:t>866 Malcolm Road, Suite 100</w:t>
      </w:r>
    </w:p>
    <w:p>
      <w:pPr>
        <w:spacing w:after="0" w:line="2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Burlingame, California 94010</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16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650-466-7125</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216535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p>
      <w:pPr>
        <w:spacing w:after="0" w:line="200" w:lineRule="exact"/>
        <w:rPr>
          <w:sz w:val="24"/>
          <w:szCs w:val="24"/>
          <w:color w:val="auto"/>
        </w:rPr>
      </w:pPr>
    </w:p>
    <w:p>
      <w:pPr>
        <w:spacing w:after="0" w:line="316"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020" w:firstLine="428"/>
        <w:spacing w:after="0" w:line="480" w:lineRule="auto"/>
        <w:tabs>
          <w:tab w:leader="none" w:pos="97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3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ind w:left="1520"/>
              <w:spacing w:after="0" w:line="149" w:lineRule="exact"/>
              <w:rPr>
                <w:sz w:val="20"/>
                <w:szCs w:val="20"/>
                <w:color w:val="auto"/>
              </w:rPr>
            </w:pPr>
            <w:r>
              <w:rPr>
                <w:rFonts w:ascii="Arial" w:cs="Arial" w:eastAsia="Arial" w:hAnsi="Arial"/>
                <w:sz w:val="14"/>
                <w:szCs w:val="14"/>
                <w:b w:val="1"/>
                <w:bCs w:val="1"/>
                <w:color w:val="auto"/>
              </w:rPr>
              <w:t>Trading</w:t>
            </w:r>
          </w:p>
        </w:tc>
        <w:tc>
          <w:tcPr>
            <w:tcW w:w="3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Name of exchange</w:t>
            </w:r>
          </w:p>
        </w:tc>
        <w:tc>
          <w:tcPr>
            <w:tcW w:w="0" w:type="dxa"/>
            <w:vAlign w:val="bottom"/>
          </w:tcPr>
          <w:p>
            <w:pPr>
              <w:spacing w:after="0"/>
              <w:rPr>
                <w:sz w:val="1"/>
                <w:szCs w:val="1"/>
                <w:color w:val="auto"/>
              </w:rPr>
            </w:pPr>
          </w:p>
        </w:tc>
      </w:tr>
      <w:tr>
        <w:trPr>
          <w:trHeight w:val="185"/>
        </w:trPr>
        <w:tc>
          <w:tcPr>
            <w:tcW w:w="398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Symbol</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8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00"/>
              <w:spacing w:after="0"/>
              <w:rPr>
                <w:sz w:val="20"/>
                <w:szCs w:val="20"/>
                <w:color w:val="auto"/>
              </w:rPr>
            </w:pPr>
            <w:r>
              <w:rPr>
                <w:rFonts w:ascii="Arial" w:cs="Arial" w:eastAsia="Arial" w:hAnsi="Arial"/>
                <w:sz w:val="18"/>
                <w:szCs w:val="18"/>
                <w:b w:val="1"/>
                <w:bCs w:val="1"/>
                <w:color w:val="auto"/>
              </w:rPr>
              <w:t>ALXO</w:t>
            </w:r>
          </w:p>
        </w:tc>
        <w:tc>
          <w:tcPr>
            <w:tcW w:w="10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88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4"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ind w:left="4"/>
        <w:spacing w:after="0"/>
        <w:tabs>
          <w:tab w:leader="none" w:pos="1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121" w:lineRule="exact"/>
        <w:rPr>
          <w:sz w:val="20"/>
          <w:szCs w:val="20"/>
          <w:color w:val="auto"/>
        </w:rPr>
      </w:pPr>
    </w:p>
    <w:p>
      <w:pPr>
        <w:ind w:left="4" w:right="20"/>
        <w:spacing w:after="0" w:line="254" w:lineRule="auto"/>
        <w:rPr>
          <w:sz w:val="20"/>
          <w:szCs w:val="20"/>
          <w:color w:val="auto"/>
        </w:rPr>
      </w:pPr>
      <w:r>
        <w:rPr>
          <w:rFonts w:ascii="Arial" w:cs="Arial" w:eastAsia="Arial" w:hAnsi="Arial"/>
          <w:sz w:val="18"/>
          <w:szCs w:val="18"/>
          <w:color w:val="auto"/>
        </w:rPr>
        <w:t>On July 21, 2020, ALX Oncology Holdings Inc. (the “Company”) filed an amended and restated certificate of incorporation (the “Restated Certificate”) with the Secretary of State of the State of Delaware in connection with the completion of the Company’s initial public offering (“IPO”). A description of the Restated Certificate is set forth in the sections entitled “Risk Factors” and “Description of Capital Stock” of the Company’s Prospectus (the “Prospectus”) filed with the Securities and Exchange Commission on July 17, 2020 pursuant to Rule 424(b) under the Securities Act of 1933, as amended (the “Securities Act”), relating to the Registration Statement on Form S-1, as amended (Registration No. 333-239490). The description of the Restated Certificate is qualified in its entirety by reference to the full text of the Restated Certificate filed herewith as Exhibit 3.1 and incorporated herein by reference.</w:t>
      </w:r>
    </w:p>
    <w:p>
      <w:pPr>
        <w:spacing w:after="0" w:line="195" w:lineRule="exact"/>
        <w:rPr>
          <w:sz w:val="20"/>
          <w:szCs w:val="20"/>
          <w:color w:val="auto"/>
        </w:rPr>
      </w:pPr>
    </w:p>
    <w:p>
      <w:pPr>
        <w:ind w:left="4" w:right="160"/>
        <w:spacing w:after="0" w:line="259" w:lineRule="auto"/>
        <w:rPr>
          <w:sz w:val="20"/>
          <w:szCs w:val="20"/>
          <w:color w:val="auto"/>
        </w:rPr>
      </w:pPr>
      <w:r>
        <w:rPr>
          <w:rFonts w:ascii="Arial" w:cs="Arial" w:eastAsia="Arial" w:hAnsi="Arial"/>
          <w:sz w:val="18"/>
          <w:szCs w:val="18"/>
          <w:color w:val="auto"/>
        </w:rPr>
        <w:t>Effective as of July 21, 2020, the Company adopted amended and restated bylaws (the “Restated Bylaws”) in connection with the completion of the IPO. A description of the Restated Bylaws is set forth in the sections of the Prospectus entitled “Risk Factors” and “Description of Capital Stock.” The description of the Restated Bylaws is qualified in its entirety by reference to the full text of the Restated Bylaws filed herewith as Exhibit 3.2 and incorporated herein by reference.</w:t>
      </w:r>
    </w:p>
    <w:p>
      <w:pPr>
        <w:spacing w:after="0" w:line="331"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Press Release</w:t>
      </w:r>
    </w:p>
    <w:p>
      <w:pPr>
        <w:spacing w:after="0" w:line="117" w:lineRule="exact"/>
        <w:rPr>
          <w:sz w:val="20"/>
          <w:szCs w:val="20"/>
          <w:color w:val="auto"/>
        </w:rPr>
      </w:pPr>
    </w:p>
    <w:p>
      <w:pPr>
        <w:ind w:left="4" w:right="160"/>
        <w:spacing w:after="0" w:line="263" w:lineRule="auto"/>
        <w:rPr>
          <w:sz w:val="20"/>
          <w:szCs w:val="20"/>
          <w:color w:val="auto"/>
        </w:rPr>
      </w:pPr>
      <w:r>
        <w:rPr>
          <w:rFonts w:ascii="Arial" w:cs="Arial" w:eastAsia="Arial" w:hAnsi="Arial"/>
          <w:sz w:val="18"/>
          <w:szCs w:val="18"/>
          <w:color w:val="auto"/>
        </w:rPr>
        <w:t>On July 21, 2020, the Company issued a press release announcing the closing of its IPO of 9,775,000 shares of its common stock (which includes 1,275,000 shares that were offered and sold pursuant to the full exercise of the underwriters’ option to purchase additional shares). A copy of the press release is attached hereto as Exhibit 99.1.</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Channels for Disclosure of Information</w:t>
      </w:r>
    </w:p>
    <w:p>
      <w:pPr>
        <w:spacing w:after="0" w:line="117"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Investors and others should note that we may announce material information to the public through filings with the Securities and Exchange Commission, our website (www.alxoncology.com), press releases, public conference calls, and public webcasts. We encourage our investors and others to review the information disclosed through such channels as such information could be deemed to be material information. Please note that this list may be updated from time to time.</w:t>
      </w:r>
    </w:p>
    <w:p>
      <w:pPr>
        <w:spacing w:after="0" w:line="187" w:lineRule="exact"/>
        <w:rPr>
          <w:sz w:val="20"/>
          <w:szCs w:val="20"/>
          <w:color w:val="auto"/>
        </w:rPr>
      </w:pPr>
    </w:p>
    <w:p>
      <w:pPr>
        <w:ind w:left="4" w:right="200"/>
        <w:spacing w:after="0" w:line="259" w:lineRule="auto"/>
        <w:rPr>
          <w:sz w:val="20"/>
          <w:szCs w:val="20"/>
          <w:color w:val="auto"/>
        </w:rPr>
      </w:pPr>
      <w:r>
        <w:rPr>
          <w:rFonts w:ascii="Arial" w:cs="Arial" w:eastAsia="Arial" w:hAnsi="Arial"/>
          <w:sz w:val="18"/>
          <w:szCs w:val="18"/>
          <w:color w:val="auto"/>
        </w:rPr>
        <w:t>The information furnished pursuant to Item 7.01 on this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331"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20" w:type="dxa"/>
            <w:vAlign w:val="bottom"/>
          </w:tcPr>
          <w:p>
            <w:pPr>
              <w:spacing w:after="0"/>
              <w:rPr>
                <w:sz w:val="20"/>
                <w:szCs w:val="20"/>
                <w:color w:val="auto"/>
              </w:rPr>
            </w:pPr>
            <w:r>
              <w:rPr>
                <w:rFonts w:ascii="Arial" w:cs="Arial" w:eastAsia="Arial" w:hAnsi="Arial"/>
                <w:sz w:val="14"/>
                <w:szCs w:val="14"/>
                <w:color w:val="auto"/>
                <w:w w:val="95"/>
              </w:rPr>
              <w:t>Exhibit</w:t>
            </w: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300" w:type="dxa"/>
            <w:vAlign w:val="bottom"/>
          </w:tcPr>
          <w:p>
            <w:pPr>
              <w:spacing w:after="0"/>
              <w:rPr>
                <w:sz w:val="14"/>
                <w:szCs w:val="14"/>
                <w:color w:val="auto"/>
              </w:rPr>
            </w:pPr>
          </w:p>
        </w:tc>
      </w:tr>
      <w:tr>
        <w:trPr>
          <w:trHeight w:val="167"/>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No.</w:t>
            </w:r>
          </w:p>
        </w:tc>
        <w:tc>
          <w:tcPr>
            <w:tcW w:w="420" w:type="dxa"/>
            <w:vAlign w:val="bottom"/>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Description</w:t>
            </w:r>
          </w:p>
        </w:tc>
        <w:tc>
          <w:tcPr>
            <w:tcW w:w="4300" w:type="dxa"/>
            <w:vAlign w:val="bottom"/>
          </w:tcPr>
          <w:p>
            <w:pPr>
              <w:spacing w:after="0"/>
              <w:rPr>
                <w:sz w:val="14"/>
                <w:szCs w:val="14"/>
                <w:color w:val="auto"/>
              </w:rPr>
            </w:pPr>
          </w:p>
        </w:tc>
      </w:tr>
      <w:tr>
        <w:trPr>
          <w:trHeight w:val="318"/>
        </w:trPr>
        <w:tc>
          <w:tcPr>
            <w:tcW w:w="420" w:type="dxa"/>
            <w:vAlign w:val="bottom"/>
          </w:tcPr>
          <w:p>
            <w:pPr>
              <w:spacing w:after="0"/>
              <w:rPr>
                <w:sz w:val="20"/>
                <w:szCs w:val="20"/>
                <w:color w:val="auto"/>
              </w:rPr>
            </w:pPr>
            <w:r>
              <w:rPr>
                <w:rFonts w:ascii="Arial" w:cs="Arial" w:eastAsia="Arial" w:hAnsi="Arial"/>
                <w:sz w:val="18"/>
                <w:szCs w:val="18"/>
                <w:color w:val="auto"/>
              </w:rPr>
              <w:t>3.1</w:t>
            </w:r>
          </w:p>
        </w:tc>
        <w:tc>
          <w:tcPr>
            <w:tcW w:w="5400" w:type="dxa"/>
            <w:vAlign w:val="bottom"/>
            <w:gridSpan w:val="3"/>
          </w:tcPr>
          <w:p>
            <w:pPr>
              <w:ind w:left="420"/>
              <w:spacing w:after="0"/>
              <w:rPr>
                <w:rFonts w:ascii="Arial" w:cs="Arial" w:eastAsia="Arial" w:hAnsi="Arial"/>
                <w:sz w:val="18"/>
                <w:szCs w:val="18"/>
                <w:u w:val="single" w:color="auto"/>
                <w:color w:val="0000EE"/>
                <w:w w:val="90"/>
              </w:rPr>
            </w:pPr>
            <w:hyperlink w:anchor="page4">
              <w:r>
                <w:rPr>
                  <w:rFonts w:ascii="Arial" w:cs="Arial" w:eastAsia="Arial" w:hAnsi="Arial"/>
                  <w:sz w:val="18"/>
                  <w:szCs w:val="18"/>
                  <w:u w:val="single" w:color="auto"/>
                  <w:color w:val="0000EE"/>
                  <w:w w:val="90"/>
                </w:rPr>
                <w:t>Amended and Restated Certificate of Incorporation of the Registrant.</w:t>
              </w:r>
            </w:hyperlink>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3.2</w:t>
            </w:r>
          </w:p>
        </w:tc>
        <w:tc>
          <w:tcPr>
            <w:tcW w:w="5400" w:type="dxa"/>
            <w:vAlign w:val="bottom"/>
            <w:gridSpan w:val="3"/>
          </w:tcPr>
          <w:p>
            <w:pPr>
              <w:ind w:left="420"/>
              <w:spacing w:after="0"/>
              <w:rPr>
                <w:rFonts w:ascii="Arial" w:cs="Arial" w:eastAsia="Arial" w:hAnsi="Arial"/>
                <w:sz w:val="18"/>
                <w:szCs w:val="18"/>
                <w:color w:val="0000EE"/>
              </w:rPr>
            </w:pPr>
            <w:hyperlink w:anchor="page10">
              <w:r>
                <w:rPr>
                  <w:rFonts w:ascii="Arial" w:cs="Arial" w:eastAsia="Arial" w:hAnsi="Arial"/>
                  <w:sz w:val="18"/>
                  <w:szCs w:val="18"/>
                  <w:u w:val="single" w:color="auto"/>
                  <w:color w:val="0000EE"/>
                </w:rPr>
                <w:t>Amended and Restated Bylaws of the Registrant</w:t>
              </w:r>
              <w:r>
                <w:rPr>
                  <w:rFonts w:ascii="Arial" w:cs="Arial" w:eastAsia="Arial" w:hAnsi="Arial"/>
                  <w:sz w:val="18"/>
                  <w:szCs w:val="18"/>
                  <w:color w:val="0000EE"/>
                </w:rPr>
                <w:t>.</w:t>
              </w:r>
            </w:hyperlink>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99.1</w:t>
            </w:r>
          </w:p>
        </w:tc>
        <w:tc>
          <w:tcPr>
            <w:tcW w:w="5400" w:type="dxa"/>
            <w:vAlign w:val="bottom"/>
            <w:gridSpan w:val="3"/>
          </w:tcPr>
          <w:p>
            <w:pPr>
              <w:ind w:left="42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Press Release, dated July 21, 2020.</w:t>
              </w:r>
            </w:hyperlink>
          </w:p>
        </w:tc>
      </w:tr>
    </w:tbl>
    <w:p>
      <w:pPr>
        <w:sectPr>
          <w:pgSz w:w="11900" w:h="16838" w:orient="portrait"/>
          <w:cols w:equalWidth="0" w:num="1">
            <w:col w:w="11004"/>
          </w:cols>
          <w:pgMar w:left="436" w:top="270" w:right="45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ALX ONCOLOGY HOLDINGS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Peter García</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21, 2020</w:t>
      </w:r>
    </w:p>
    <w:p>
      <w:pPr>
        <w:sectPr>
          <w:pgSz w:w="11900" w:h="16838" w:orient="portrait"/>
          <w:cols w:equalWidth="0" w:num="1">
            <w:col w:w="10260"/>
          </w:cols>
          <w:pgMar w:left="440" w:top="270"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ALX ONCOLOGY HOLDINGS INC.</w:t>
      </w:r>
    </w:p>
    <w:p>
      <w:pPr>
        <w:spacing w:after="0" w:line="229"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ALX Oncology Holdings Inc., a corporation organized and existing under the laws of the State of Delaware (the “</w:t>
      </w:r>
      <w:r>
        <w:rPr>
          <w:rFonts w:ascii="Arial" w:cs="Arial" w:eastAsia="Arial" w:hAnsi="Arial"/>
          <w:sz w:val="18"/>
          <w:szCs w:val="18"/>
          <w:u w:val="single" w:color="auto"/>
          <w:color w:val="auto"/>
        </w:rPr>
        <w:t>Corporation</w:t>
      </w:r>
      <w:r>
        <w:rPr>
          <w:rFonts w:ascii="Arial" w:cs="Arial" w:eastAsia="Arial" w:hAnsi="Arial"/>
          <w:sz w:val="18"/>
          <w:szCs w:val="18"/>
          <w:color w:val="auto"/>
        </w:rPr>
        <w:t>”), does hereby certify as follows:</w:t>
      </w:r>
    </w:p>
    <w:p>
      <w:pPr>
        <w:spacing w:after="0" w:line="62" w:lineRule="exact"/>
        <w:rPr>
          <w:sz w:val="20"/>
          <w:szCs w:val="20"/>
          <w:color w:val="auto"/>
        </w:rPr>
      </w:pPr>
    </w:p>
    <w:p>
      <w:pPr>
        <w:ind w:right="380" w:firstLine="991"/>
        <w:spacing w:after="0" w:line="277" w:lineRule="auto"/>
        <w:rPr>
          <w:sz w:val="20"/>
          <w:szCs w:val="20"/>
          <w:color w:val="auto"/>
        </w:rPr>
      </w:pPr>
      <w:r>
        <w:rPr>
          <w:rFonts w:ascii="Arial" w:cs="Arial" w:eastAsia="Arial" w:hAnsi="Arial"/>
          <w:sz w:val="18"/>
          <w:szCs w:val="18"/>
          <w:color w:val="auto"/>
        </w:rPr>
        <w:t>A. The name of the Corporation is ALX Oncology Holdings Inc. The Corporation was originally incorporated pursuant to the General Corporation Law of the State of Delaware (“</w:t>
      </w:r>
      <w:r>
        <w:rPr>
          <w:rFonts w:ascii="Arial" w:cs="Arial" w:eastAsia="Arial" w:hAnsi="Arial"/>
          <w:sz w:val="18"/>
          <w:szCs w:val="18"/>
          <w:u w:val="single" w:color="auto"/>
          <w:color w:val="auto"/>
        </w:rPr>
        <w:t>DGCL</w:t>
      </w:r>
      <w:r>
        <w:rPr>
          <w:rFonts w:ascii="Arial" w:cs="Arial" w:eastAsia="Arial" w:hAnsi="Arial"/>
          <w:sz w:val="18"/>
          <w:szCs w:val="18"/>
          <w:color w:val="auto"/>
        </w:rPr>
        <w:t>”) on April 1, 2020.</w:t>
      </w:r>
    </w:p>
    <w:p>
      <w:pPr>
        <w:spacing w:after="0" w:line="62" w:lineRule="exact"/>
        <w:rPr>
          <w:sz w:val="20"/>
          <w:szCs w:val="20"/>
          <w:color w:val="auto"/>
        </w:rPr>
      </w:pPr>
    </w:p>
    <w:p>
      <w:pPr>
        <w:ind w:right="140" w:firstLine="991"/>
        <w:spacing w:after="0" w:line="286" w:lineRule="auto"/>
        <w:rPr>
          <w:sz w:val="20"/>
          <w:szCs w:val="20"/>
          <w:color w:val="auto"/>
        </w:rPr>
      </w:pPr>
      <w:r>
        <w:rPr>
          <w:rFonts w:ascii="Arial" w:cs="Arial" w:eastAsia="Arial" w:hAnsi="Arial"/>
          <w:sz w:val="17"/>
          <w:szCs w:val="17"/>
          <w:color w:val="auto"/>
        </w:rPr>
        <w:t>B. This Amended and Restated Certificate of Incorporation (this “</w:t>
      </w:r>
      <w:r>
        <w:rPr>
          <w:rFonts w:ascii="Arial" w:cs="Arial" w:eastAsia="Arial" w:hAnsi="Arial"/>
          <w:sz w:val="17"/>
          <w:szCs w:val="17"/>
          <w:u w:val="single" w:color="auto"/>
          <w:color w:val="auto"/>
        </w:rPr>
        <w:t>Amended and Restated Certificate of Incorporation</w:t>
      </w:r>
      <w:r>
        <w:rPr>
          <w:rFonts w:ascii="Arial" w:cs="Arial" w:eastAsia="Arial" w:hAnsi="Arial"/>
          <w:sz w:val="17"/>
          <w:szCs w:val="17"/>
          <w:color w:val="auto"/>
        </w:rPr>
        <w:t>”) was duly adopted by the Board of Directors of the Corporation (the “</w:t>
      </w:r>
      <w:r>
        <w:rPr>
          <w:rFonts w:ascii="Arial" w:cs="Arial" w:eastAsia="Arial" w:hAnsi="Arial"/>
          <w:sz w:val="17"/>
          <w:szCs w:val="17"/>
          <w:u w:val="single" w:color="auto"/>
          <w:color w:val="auto"/>
        </w:rPr>
        <w:t>Board of Directors</w:t>
      </w:r>
      <w:r>
        <w:rPr>
          <w:rFonts w:ascii="Arial" w:cs="Arial" w:eastAsia="Arial" w:hAnsi="Arial"/>
          <w:sz w:val="17"/>
          <w:szCs w:val="17"/>
          <w:color w:val="auto"/>
        </w:rPr>
        <w:t>”) in accordance with Sections 242 and 245 of the DGCL, and has been duly approved by the written consent of the stockholders of the Corporation in accordance with Section 228 of the DGCL.</w:t>
      </w:r>
    </w:p>
    <w:p>
      <w:pPr>
        <w:spacing w:after="0" w:line="5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C. The text of the Amended and Restated Certificate of Incorporation is hereby amended and restated in its entirety to read as follows: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the Corporation is ALX Oncology Holdings Inc.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1209 Orange Street, City of Wilmington, County of New Castle, Delaware 19801. The name of its registered agent at such address is The Corporation Trust Company.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The nature of the business or purposes to be conducted or promoted by the Corporation is to engage in any lawful act or activity for which corporations may be organized under the DGCL.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9"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Section 1. This Corporation is authorized to issue two classes of stock, to be designated, respectively, Common Stock and Preferred Stock. The total number of shares of stock that the Corporation shall have authority to issue is one billion one hundred million (1,100,000,000) shares, of which one billion (1,000,000,000) shares are Common Stock, $0.001 par value, and one hundred million (100,000,000) shares are Preferred Stock, $0.001 par value.</w:t>
      </w:r>
    </w:p>
    <w:p>
      <w:pPr>
        <w:spacing w:after="0" w:line="187" w:lineRule="exact"/>
        <w:rPr>
          <w:sz w:val="20"/>
          <w:szCs w:val="20"/>
          <w:color w:val="auto"/>
        </w:rPr>
      </w:pPr>
    </w:p>
    <w:p>
      <w:pPr>
        <w:ind w:right="800" w:firstLine="440"/>
        <w:spacing w:after="0" w:line="277" w:lineRule="auto"/>
        <w:rPr>
          <w:sz w:val="20"/>
          <w:szCs w:val="20"/>
          <w:color w:val="auto"/>
        </w:rPr>
      </w:pPr>
      <w:r>
        <w:rPr>
          <w:rFonts w:ascii="Arial" w:cs="Arial" w:eastAsia="Arial" w:hAnsi="Arial"/>
          <w:sz w:val="18"/>
          <w:szCs w:val="18"/>
          <w:color w:val="auto"/>
        </w:rPr>
        <w:t>Section 2. Each share of Common Stock shall entitle the holder thereof to one (1) vote on any matter submitted to a vote at a meeting of stockholders.</w:t>
      </w:r>
    </w:p>
    <w:p>
      <w:pPr>
        <w:sectPr>
          <w:pgSz w:w="11900" w:h="16838" w:orient="portrait"/>
          <w:cols w:equalWidth="0" w:num="1">
            <w:col w:w="11020"/>
          </w:cols>
          <w:pgMar w:left="440" w:top="121" w:right="439" w:bottom="1440" w:gutter="0" w:footer="0" w:header="0"/>
        </w:sectPr>
      </w:pPr>
    </w:p>
    <w:bookmarkStart w:id="4" w:name="page5"/>
    <w:bookmarkEnd w:id="4"/>
    <w:p>
      <w:pPr>
        <w:ind w:right="80"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3. The Preferred Stock may be issued from time to time in one or more series pursuant to a resolution or resolutions providing for such issue duly adopted by the Board of Directors (authority to do so being hereby expressly vested in the Board of Directors). The Board of Directors is further authorized, subject to limitations prescribed by law, to fix by resolution or resolutions the designations, powers, preferences and rights, and the qualifications, limitations or restrictions thereof, of any wholly unissued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 The Board of Directors is further authorized to increase (but not above the total number of authorized shares of the class) or decrease (but not below the number of shares of any such series then outstanding) the number of shares of any series, the number of which was fixed by it, subsequent to the issuance of shares of such series then outstanding, subject to the powers, preferences and rights, and the qualifications, limitations and restrictions thereof stated in this Amended and Restated Certificate of Incorporation or the resolution of the Board of Directors originally fixing the number of shares of such series. If the number of shares of any series is so decreased, then the Corporation shall take all such steps as are necessary to cause the shares constituting such decrease to resume the status which they had prior to the adoption of the resolution originally fixing the number of shares of such series.</w:t>
      </w:r>
    </w:p>
    <w:p>
      <w:pPr>
        <w:spacing w:after="0" w:line="186"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Section 4. Except as otherwise required by law, holders of Common Stock shall not be entitled to vote on any amendment to this Amended and Restated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Amended and Restated Certificate of Incorporation (including any certificate of designation filed with respect to any series of Preferred Stock).</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9"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Section 1. The number of directors that constitutes the entire Board of Directors of the Corporation shall be determined in the manner set forth in the Bylaws of the Corporation. At each annual meeting of stockholders, directors of the Corporation shall be elected to hold office until the expiration of the term for which they are elected and until their successors have been duly elected and qualified or until their earlier resignation or removal; except that if any such meeting shall not be so held, such election shall take place at a stockholders’ meeting called and held in accordance with the DGCL.</w:t>
      </w:r>
    </w:p>
    <w:p>
      <w:pPr>
        <w:spacing w:after="0" w:line="157"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Section 2. From and after the effectiveness of this Amended and Restated Certificate of Incorporation, the directors of the Corporation (other than any who may be elected by holders of Preferred Stock under specified circumstances) shall be divided into three classes as nearly equal in size as is practicable, hereby designated Class I, Class II and Class III. Directors already in office shall be assigned to each class at the time such classification becomes effective in accordance with a resolution or resolutions adopted by the Board of Directors. At the first annual meeting of</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5" w:name="page6"/>
    <w:bookmarkEnd w:id="5"/>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stockholders following the date hereof, the term of office of the Class I directors shall expire and Class I directors shall be elected for a full term of three years. At the second annual meeting of stockholders following the date hereof, the term of office of the Class II directors shall expire and Class II directors shall be elected for a full term of three years. At the third annual meeting of stockholders following the date hereof,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If the number of directors is changed, any newly created directorships or decrease in directorships shall be so apportioned hereafter among the classes as to make all classes as nearly equal in number as is practicable,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no decrease in the number of directors constituting the Board of Directors shall shorten the term of any incumbent director.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Section 1. Any director or the entire Board of Directors may be removed from office at any time, but only for cause, and only by the affirmative vote of the holders of at least a majority of the voting power of the issued and outstanding capital stock of the Corporation entitled to vote in the election of directors.</w:t>
      </w:r>
    </w:p>
    <w:p>
      <w:pPr>
        <w:spacing w:after="0" w:line="184"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Section 2. Except as otherwise provided for or fixed by or pursuant to the provisions of Article IV hereof in relation to the rights of the holders of Preferred Stock to elect directors under specified circumstances, newly created directorships resulting from any increase in the number of directors, created in accordance with the Bylaws of the Corporation, and any vacancies on the Board of Directors resulting from death, resignation, disqualification, removal or other cause shall be filled only by the affirmative vote of a majority of the remaining directors then in office, even though less than a quorum of the Board of Directors, or by a sole remaining director, and not by the stockholders. A person so elected by the Board of Directors to fill a vacancy or newly created directorship shall hold office until the next election of the class for which such director shall have been chosen until his or her successor shall have been duly elected and qualified, or until such director’s earlier death, resignation or removal. No decrease in the number of directors constituting the Board of Directors shall shorten the term of any incumbent director.</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 The Corporation is to have perpetual existence.</w:t>
      </w:r>
    </w:p>
    <w:p>
      <w:pPr>
        <w:spacing w:after="0" w:line="225" w:lineRule="exact"/>
        <w:rPr>
          <w:sz w:val="20"/>
          <w:szCs w:val="20"/>
          <w:color w:val="auto"/>
        </w:rPr>
      </w:pPr>
    </w:p>
    <w:p>
      <w:pPr>
        <w:ind w:right="360" w:firstLine="440"/>
        <w:spacing w:after="0" w:line="259" w:lineRule="auto"/>
        <w:rPr>
          <w:sz w:val="20"/>
          <w:szCs w:val="20"/>
          <w:color w:val="auto"/>
        </w:rPr>
      </w:pPr>
      <w:r>
        <w:rPr>
          <w:rFonts w:ascii="Arial" w:cs="Arial" w:eastAsia="Arial" w:hAnsi="Arial"/>
          <w:sz w:val="18"/>
          <w:szCs w:val="18"/>
          <w:color w:val="auto"/>
        </w:rPr>
        <w:t>Section 2. The business and affairs of the Corporation shall be managed by or under the direction of the Board of Directors. In addition to the powers and authority expressly conferred upon them by statute or by this Amended and Restated Certificate of Incorporation or the Bylaws of the Corporation, the directors are hereby empowered to exercise all such powers and do all such acts and things as may be exercised or done by the Corporation.</w:t>
      </w:r>
    </w:p>
    <w:p>
      <w:pPr>
        <w:spacing w:after="0" w:line="187" w:lineRule="exact"/>
        <w:rPr>
          <w:sz w:val="20"/>
          <w:szCs w:val="20"/>
          <w:color w:val="auto"/>
        </w:rPr>
      </w:pPr>
    </w:p>
    <w:p>
      <w:pPr>
        <w:ind w:right="280" w:firstLine="440"/>
        <w:spacing w:after="0" w:line="308" w:lineRule="auto"/>
        <w:rPr>
          <w:sz w:val="20"/>
          <w:szCs w:val="20"/>
          <w:color w:val="auto"/>
        </w:rPr>
      </w:pPr>
      <w:r>
        <w:rPr>
          <w:rFonts w:ascii="Arial" w:cs="Arial" w:eastAsia="Arial" w:hAnsi="Arial"/>
          <w:sz w:val="17"/>
          <w:szCs w:val="17"/>
          <w:color w:val="auto"/>
        </w:rPr>
        <w:t>Section 3. In furtherance and not in limitation of the powers conferred by statute, the Board of Directors is expressly authorized to adopt, alter, amend or repeal the Bylaws of the Corporation. The affirmative vote of at least a majority of the Board of Directors then in office shall</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6" w:name="page7"/>
    <w:bookmarkEnd w:id="6"/>
    <w:p>
      <w:pPr>
        <w:ind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 required in order for the Board of Directors to adopt, amend, alter or repeal the Corporation’s Bylaws. The Corporation’s Bylaws may also be adopted, amended, altered or repealed by the stockholders of the Corporation. Notwithstanding the above or any other provision of this Amended and Restated Certificate of Incorporation, the Bylaws of the Corporation may not be amended, altered or repealed except in accordance with Article X of the Bylaws. No Bylaw hereafter legally adopted, amended, altered or repealed shall invalidate any prior act of the directors or officers of the Corporation that would have been valid if such Bylaw had not been adopted, amended, altered or repealed.</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4. The election of directors need not be by written ballot unless the Bylaws of the Corporation shall so provide.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5. No stockholder will be permitted to cumulate votes at any election of directors.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9"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Section 1.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Section 2. Special meetings of stockholders of the Corporation may be called only by the Chairperson of the Board of Directors, the Chief Executive Officer, the President or the Board of Directors acting pursuant to a resolution adopted by a majority of the Board of Directors, and any power of stockholders to call a special meeting of stockholders is specifically denied. Only such business shall be considered at a special meeting of stockholders as shall have been stated in the notice for such meeting.</w:t>
      </w:r>
    </w:p>
    <w:p>
      <w:pPr>
        <w:spacing w:after="0" w:line="187" w:lineRule="exact"/>
        <w:rPr>
          <w:sz w:val="20"/>
          <w:szCs w:val="20"/>
          <w:color w:val="auto"/>
        </w:rPr>
      </w:pPr>
    </w:p>
    <w:p>
      <w:pPr>
        <w:ind w:right="500" w:firstLine="440"/>
        <w:spacing w:after="0" w:line="342" w:lineRule="auto"/>
        <w:rPr>
          <w:sz w:val="20"/>
          <w:szCs w:val="20"/>
          <w:color w:val="auto"/>
        </w:rPr>
      </w:pPr>
      <w:r>
        <w:rPr>
          <w:rFonts w:ascii="Arial" w:cs="Arial" w:eastAsia="Arial" w:hAnsi="Arial"/>
          <w:sz w:val="16"/>
          <w:szCs w:val="16"/>
          <w:color w:val="auto"/>
        </w:rPr>
        <w:t>Section 3. Advance notice of stockholder nominations for the election of directors and of business to be brought by stockholders before any meeting of the stockholders of the Corporation shall be given in the manner and to the extent provided in the Bylaws of the Corporation.</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9" w:lineRule="exact"/>
        <w:rPr>
          <w:sz w:val="20"/>
          <w:szCs w:val="20"/>
          <w:color w:val="auto"/>
        </w:rPr>
      </w:pPr>
    </w:p>
    <w:p>
      <w:pPr>
        <w:ind w:right="220" w:firstLine="440"/>
        <w:spacing w:after="0" w:line="279" w:lineRule="auto"/>
        <w:rPr>
          <w:sz w:val="20"/>
          <w:szCs w:val="20"/>
          <w:color w:val="auto"/>
        </w:rPr>
      </w:pPr>
      <w:r>
        <w:rPr>
          <w:rFonts w:ascii="Arial" w:cs="Arial" w:eastAsia="Arial" w:hAnsi="Arial"/>
          <w:sz w:val="17"/>
          <w:szCs w:val="17"/>
          <w:color w:val="auto"/>
        </w:rPr>
        <w:t>Section 1. To the fullest extent permitted by the DGCL as the same exists or as may hereafter be amended from time to time, a director of the Corporation shall not be personally liable to the Corporation or its stockholders for monetary damages for breach of fiduciary duty as a director. If the DGCL is amended to authorize corporate action further eliminating or limiting the personal liability of directors, then the liability of a director of the Corporation shall be eliminated or limited to the fullest extent permitted by the DGCL, as so amended.</w:t>
      </w:r>
    </w:p>
    <w:p>
      <w:pPr>
        <w:spacing w:after="0" w:line="171"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Section 2. The Corporation shall indemnify, to the fullest extent permitted by applicable law, any director or officer of the Corporation who was or is a party or is threatened to be made a party to any threatened, pending or completed action, suit or proceeding, whether civil, criminal, administrative or investigative (a “</w:t>
      </w:r>
      <w:r>
        <w:rPr>
          <w:rFonts w:ascii="Arial" w:cs="Arial" w:eastAsia="Arial" w:hAnsi="Arial"/>
          <w:sz w:val="18"/>
          <w:szCs w:val="18"/>
          <w:u w:val="single" w:color="auto"/>
          <w:color w:val="auto"/>
        </w:rPr>
        <w:t>Proceeding</w:t>
      </w:r>
      <w:r>
        <w:rPr>
          <w:rFonts w:ascii="Arial" w:cs="Arial" w:eastAsia="Arial" w:hAnsi="Arial"/>
          <w:sz w:val="18"/>
          <w:szCs w:val="18"/>
          <w:color w:val="auto"/>
        </w:rPr>
        <w:t>”) by reason of the fact that he or she is or was a director, officer, employee or agent of the Corporation or is or was serving at the request of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7" w:name="page8"/>
    <w:bookmarkEnd w:id="7"/>
    <w:p>
      <w:pPr>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Corporation shall be required to indemnify a person in connection with a Proceeding initiated by such person only if the Proceeding was authorized by the Board of Directors.</w:t>
      </w:r>
    </w:p>
    <w:p>
      <w:pPr>
        <w:spacing w:after="0" w:line="171"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Section 3. The Corporation shall have the power to indemnify, to the extent permitted by applicable law, any employee or agent of the Corporation who was or is a party or is threatened to be made a party to any Proceeding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161"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Section 4. Neither any amendment nor repeal of any Section of this Article IX, nor the adoption of any provision of this Amended and Restated Certificate of Incorporation or the Bylaws of the Corporation inconsistent with this Article IX, shall eliminate or reduce the effect of this Article IX in respect of any matter occurring, or any cause of action, suit, claim or proceeding accruing or arising or that, but for this Article IX, would accrue or arise, prior to such amendment, repeal or adoption of an inconsistent provision.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9"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Meetings of stockholders may be held within or outside of the State of Delaware, as the Bylaws may provide. The books of the Corporation may be kept (subject to any provision contained in the statutes) outside of the State of Delaware at such place or places as may be designated from time to time by the Board of Directors or in the Bylaws of the Corporation.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29" w:lineRule="exact"/>
        <w:rPr>
          <w:sz w:val="20"/>
          <w:szCs w:val="20"/>
          <w:color w:val="auto"/>
        </w:rPr>
      </w:pPr>
    </w:p>
    <w:p>
      <w:pPr>
        <w:ind w:right="120" w:firstLine="440"/>
        <w:spacing w:after="0" w:line="272" w:lineRule="auto"/>
        <w:rPr>
          <w:sz w:val="20"/>
          <w:szCs w:val="20"/>
          <w:color w:val="auto"/>
        </w:rPr>
      </w:pPr>
      <w:r>
        <w:rPr>
          <w:rFonts w:ascii="Arial" w:cs="Arial" w:eastAsia="Arial" w:hAnsi="Arial"/>
          <w:sz w:val="17"/>
          <w:szCs w:val="17"/>
          <w:color w:val="auto"/>
        </w:rPr>
        <w:t xml:space="preserve">The Corporation reserves the right to amend or repeal any provision contained in this Amended and Restated Certificate of Incorporation in the manner prescribed by the laws of the State of Delaware and all rights conferred upon stockholders are granted subject to this reservation;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notwithstanding any other provision of this Amended and Restated Certificate of Incorporation or any provision of law that might</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permit a lesser vote or no vote, the Board of Directors acting pursuant to a resolution adopted by a majority of the Board of Directors and the affirmative vote of sixty-six and two-thirds percent (66 2/3%) of the then outstanding voting securities of the Corporation, voting together as a single class, shall be required for the amendment, repeal or modification of the provisions of Section 3 of Article IV, Section 2 of Article V, Article VI, Section 5 of Article VII, Article VIII or Article XI of this Amended and Restated Certificate of Incorporation.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8" w:name="page9"/>
    <w:bookmarkEnd w:id="8"/>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ALX Oncology Holdings Inc. has caused this Amended and Restated Certificate of Incorporation to be signed by Jaume Pons, a duly authorized officer of the Corporation, on this 21st day of July, 2020.</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Jaume Pons, Ph.D.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President and Chief Executive Officer</w:t>
      </w:r>
    </w:p>
    <w:p>
      <w:pPr>
        <w:spacing w:after="0" w:line="14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600"/>
          </w:cols>
          <w:pgMar w:left="440" w:top="274" w:right="85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AMENDED AND RESTATED BYLAWS OF</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ALX ONCOLOGY HOLDINGS INC.</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(initially adopted on April 1, 2020)</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(as amended on June 25, 2020 and effective as of the</w:t>
      </w:r>
    </w:p>
    <w:p>
      <w:pPr>
        <w:spacing w:after="0" w:line="58"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closing of the corporation’s initial public offering)</w:t>
      </w:r>
    </w:p>
    <w:p>
      <w:pPr>
        <w:sectPr>
          <w:pgSz w:w="11900" w:h="16838" w:orient="portrait"/>
          <w:cols w:equalWidth="0" w:num="1">
            <w:col w:w="10020"/>
          </w:cols>
          <w:pgMar w:left="1440" w:top="121" w:right="4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7980" w:type="dxa"/>
            <w:vAlign w:val="bottom"/>
          </w:tcPr>
          <w:p>
            <w:pPr>
              <w:ind w:left="3720"/>
              <w:spacing w:after="0"/>
              <w:rPr>
                <w:sz w:val="20"/>
                <w:szCs w:val="20"/>
                <w:color w:val="auto"/>
              </w:rPr>
            </w:pPr>
            <w:r>
              <w:rPr>
                <w:rFonts w:ascii="Arial" w:cs="Arial" w:eastAsia="Arial" w:hAnsi="Arial"/>
                <w:sz w:val="18"/>
                <w:szCs w:val="18"/>
                <w:b w:val="1"/>
                <w:bCs w:val="1"/>
                <w:color w:val="auto"/>
              </w:rPr>
              <w:t>TABLE OF CONTENTS</w:t>
            </w:r>
          </w:p>
        </w:tc>
        <w:tc>
          <w:tcPr>
            <w:tcW w:w="2160" w:type="dxa"/>
            <w:vAlign w:val="bottom"/>
          </w:tcPr>
          <w:p>
            <w:pPr>
              <w:spacing w:after="0"/>
              <w:rPr>
                <w:sz w:val="20"/>
                <w:szCs w:val="20"/>
                <w:color w:val="auto"/>
              </w:rPr>
            </w:pPr>
          </w:p>
        </w:tc>
      </w:tr>
      <w:tr>
        <w:trPr>
          <w:trHeight w:val="377"/>
        </w:trPr>
        <w:tc>
          <w:tcPr>
            <w:tcW w:w="8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4"/>
                <w:szCs w:val="14"/>
                <w:i w:val="1"/>
                <w:iCs w:val="1"/>
                <w:color w:val="auto"/>
              </w:rPr>
              <w:t>Page</w:t>
            </w:r>
          </w:p>
        </w:tc>
      </w:tr>
      <w:tr>
        <w:trPr>
          <w:trHeight w:val="230"/>
        </w:trPr>
        <w:tc>
          <w:tcPr>
            <w:tcW w:w="8800" w:type="dxa"/>
            <w:vAlign w:val="bottom"/>
            <w:gridSpan w:val="2"/>
          </w:tcPr>
          <w:p>
            <w:pPr>
              <w:spacing w:after="0"/>
              <w:rPr>
                <w:sz w:val="20"/>
                <w:szCs w:val="20"/>
                <w:color w:val="auto"/>
              </w:rPr>
            </w:pPr>
            <w:r>
              <w:rPr>
                <w:rFonts w:ascii="Arial" w:cs="Arial" w:eastAsia="Arial" w:hAnsi="Arial"/>
                <w:sz w:val="18"/>
                <w:szCs w:val="18"/>
                <w:color w:val="auto"/>
              </w:rPr>
              <w:t>ARTICLE I - CORPORATE OFFICES</w:t>
            </w:r>
          </w:p>
        </w:tc>
        <w:tc>
          <w:tcPr>
            <w:tcW w:w="2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820" w:type="dxa"/>
            <w:vAlign w:val="bottom"/>
          </w:tcPr>
          <w:p>
            <w:pPr>
              <w:ind w:left="360"/>
              <w:spacing w:after="0"/>
              <w:rPr>
                <w:sz w:val="20"/>
                <w:szCs w:val="20"/>
                <w:color w:val="auto"/>
              </w:rPr>
            </w:pPr>
            <w:r>
              <w:rPr>
                <w:rFonts w:ascii="Arial" w:cs="Arial" w:eastAsia="Arial" w:hAnsi="Arial"/>
                <w:sz w:val="18"/>
                <w:szCs w:val="18"/>
                <w:color w:val="auto"/>
              </w:rPr>
              <w:t>1.1</w:t>
            </w:r>
          </w:p>
        </w:tc>
        <w:tc>
          <w:tcPr>
            <w:tcW w:w="7980" w:type="dxa"/>
            <w:vAlign w:val="bottom"/>
          </w:tcPr>
          <w:p>
            <w:pPr>
              <w:ind w:left="140"/>
              <w:spacing w:after="0"/>
              <w:rPr>
                <w:sz w:val="20"/>
                <w:szCs w:val="20"/>
                <w:color w:val="auto"/>
              </w:rPr>
            </w:pPr>
            <w:r>
              <w:rPr>
                <w:rFonts w:ascii="Arial" w:cs="Arial" w:eastAsia="Arial" w:hAnsi="Arial"/>
                <w:sz w:val="18"/>
                <w:szCs w:val="18"/>
                <w:color w:val="auto"/>
              </w:rPr>
              <w:t>REGISTERED OFFICE</w:t>
            </w:r>
          </w:p>
        </w:tc>
        <w:tc>
          <w:tcPr>
            <w:tcW w:w="2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1.2</w:t>
            </w:r>
          </w:p>
        </w:tc>
        <w:tc>
          <w:tcPr>
            <w:tcW w:w="7980" w:type="dxa"/>
            <w:vAlign w:val="bottom"/>
          </w:tcPr>
          <w:p>
            <w:pPr>
              <w:ind w:left="140"/>
              <w:spacing w:after="0"/>
              <w:rPr>
                <w:sz w:val="20"/>
                <w:szCs w:val="20"/>
                <w:color w:val="auto"/>
              </w:rPr>
            </w:pPr>
            <w:r>
              <w:rPr>
                <w:rFonts w:ascii="Arial" w:cs="Arial" w:eastAsia="Arial" w:hAnsi="Arial"/>
                <w:sz w:val="18"/>
                <w:szCs w:val="18"/>
                <w:color w:val="auto"/>
              </w:rPr>
              <w:t>OTHER OFFICES</w:t>
            </w:r>
          </w:p>
        </w:tc>
        <w:tc>
          <w:tcPr>
            <w:tcW w:w="2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800" w:type="dxa"/>
            <w:vAlign w:val="bottom"/>
            <w:gridSpan w:val="2"/>
          </w:tcPr>
          <w:p>
            <w:pPr>
              <w:spacing w:after="0"/>
              <w:rPr>
                <w:sz w:val="20"/>
                <w:szCs w:val="20"/>
                <w:color w:val="auto"/>
              </w:rPr>
            </w:pPr>
            <w:r>
              <w:rPr>
                <w:rFonts w:ascii="Arial" w:cs="Arial" w:eastAsia="Arial" w:hAnsi="Arial"/>
                <w:sz w:val="18"/>
                <w:szCs w:val="18"/>
                <w:color w:val="auto"/>
              </w:rPr>
              <w:t>ARTICLE II - MEETINGS OF STOCKHOLDERS</w:t>
            </w:r>
          </w:p>
        </w:tc>
        <w:tc>
          <w:tcPr>
            <w:tcW w:w="2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820" w:type="dxa"/>
            <w:vAlign w:val="bottom"/>
          </w:tcPr>
          <w:p>
            <w:pPr>
              <w:ind w:left="360"/>
              <w:spacing w:after="0"/>
              <w:rPr>
                <w:sz w:val="20"/>
                <w:szCs w:val="20"/>
                <w:color w:val="auto"/>
              </w:rPr>
            </w:pPr>
            <w:r>
              <w:rPr>
                <w:rFonts w:ascii="Arial" w:cs="Arial" w:eastAsia="Arial" w:hAnsi="Arial"/>
                <w:sz w:val="18"/>
                <w:szCs w:val="18"/>
                <w:color w:val="auto"/>
              </w:rPr>
              <w:t>2.1</w:t>
            </w:r>
          </w:p>
        </w:tc>
        <w:tc>
          <w:tcPr>
            <w:tcW w:w="7980" w:type="dxa"/>
            <w:vAlign w:val="bottom"/>
          </w:tcPr>
          <w:p>
            <w:pPr>
              <w:ind w:left="140"/>
              <w:spacing w:after="0"/>
              <w:rPr>
                <w:sz w:val="20"/>
                <w:szCs w:val="20"/>
                <w:color w:val="auto"/>
              </w:rPr>
            </w:pPr>
            <w:r>
              <w:rPr>
                <w:rFonts w:ascii="Arial" w:cs="Arial" w:eastAsia="Arial" w:hAnsi="Arial"/>
                <w:sz w:val="18"/>
                <w:szCs w:val="18"/>
                <w:color w:val="auto"/>
              </w:rPr>
              <w:t>PLACE OF MEETINGS</w:t>
            </w:r>
          </w:p>
        </w:tc>
        <w:tc>
          <w:tcPr>
            <w:tcW w:w="2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2.2</w:t>
            </w:r>
          </w:p>
        </w:tc>
        <w:tc>
          <w:tcPr>
            <w:tcW w:w="7980" w:type="dxa"/>
            <w:vAlign w:val="bottom"/>
          </w:tcPr>
          <w:p>
            <w:pPr>
              <w:ind w:left="140"/>
              <w:spacing w:after="0"/>
              <w:rPr>
                <w:sz w:val="20"/>
                <w:szCs w:val="20"/>
                <w:color w:val="auto"/>
              </w:rPr>
            </w:pPr>
            <w:r>
              <w:rPr>
                <w:rFonts w:ascii="Arial" w:cs="Arial" w:eastAsia="Arial" w:hAnsi="Arial"/>
                <w:sz w:val="18"/>
                <w:szCs w:val="18"/>
                <w:color w:val="auto"/>
              </w:rPr>
              <w:t>ANNUAL MEETING</w:t>
            </w:r>
          </w:p>
        </w:tc>
        <w:tc>
          <w:tcPr>
            <w:tcW w:w="2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2.3</w:t>
            </w:r>
          </w:p>
        </w:tc>
        <w:tc>
          <w:tcPr>
            <w:tcW w:w="7980" w:type="dxa"/>
            <w:vAlign w:val="bottom"/>
          </w:tcPr>
          <w:p>
            <w:pPr>
              <w:ind w:left="140"/>
              <w:spacing w:after="0"/>
              <w:rPr>
                <w:sz w:val="20"/>
                <w:szCs w:val="20"/>
                <w:color w:val="auto"/>
              </w:rPr>
            </w:pPr>
            <w:r>
              <w:rPr>
                <w:rFonts w:ascii="Arial" w:cs="Arial" w:eastAsia="Arial" w:hAnsi="Arial"/>
                <w:sz w:val="18"/>
                <w:szCs w:val="18"/>
                <w:color w:val="auto"/>
              </w:rPr>
              <w:t>SPECIAL MEETING</w:t>
            </w:r>
          </w:p>
        </w:tc>
        <w:tc>
          <w:tcPr>
            <w:tcW w:w="2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2.4</w:t>
            </w:r>
          </w:p>
        </w:tc>
        <w:tc>
          <w:tcPr>
            <w:tcW w:w="7980" w:type="dxa"/>
            <w:vAlign w:val="bottom"/>
          </w:tcPr>
          <w:p>
            <w:pPr>
              <w:ind w:left="140"/>
              <w:spacing w:after="0"/>
              <w:rPr>
                <w:sz w:val="20"/>
                <w:szCs w:val="20"/>
                <w:color w:val="auto"/>
              </w:rPr>
            </w:pPr>
            <w:r>
              <w:rPr>
                <w:rFonts w:ascii="Arial" w:cs="Arial" w:eastAsia="Arial" w:hAnsi="Arial"/>
                <w:sz w:val="18"/>
                <w:szCs w:val="18"/>
                <w:color w:val="auto"/>
              </w:rPr>
              <w:t>ADVANCE NOTICE PROCEDURES</w:t>
            </w:r>
          </w:p>
        </w:tc>
        <w:tc>
          <w:tcPr>
            <w:tcW w:w="2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2.5</w:t>
            </w:r>
          </w:p>
        </w:tc>
        <w:tc>
          <w:tcPr>
            <w:tcW w:w="7980" w:type="dxa"/>
            <w:vAlign w:val="bottom"/>
          </w:tcPr>
          <w:p>
            <w:pPr>
              <w:ind w:left="140"/>
              <w:spacing w:after="0"/>
              <w:rPr>
                <w:sz w:val="20"/>
                <w:szCs w:val="20"/>
                <w:color w:val="auto"/>
              </w:rPr>
            </w:pPr>
            <w:r>
              <w:rPr>
                <w:rFonts w:ascii="Arial" w:cs="Arial" w:eastAsia="Arial" w:hAnsi="Arial"/>
                <w:sz w:val="18"/>
                <w:szCs w:val="18"/>
                <w:color w:val="auto"/>
              </w:rPr>
              <w:t>NOTICE OF STOCKHOLDERS’ MEETINGS</w:t>
            </w:r>
          </w:p>
        </w:tc>
        <w:tc>
          <w:tcPr>
            <w:tcW w:w="21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2.6</w:t>
            </w:r>
          </w:p>
        </w:tc>
        <w:tc>
          <w:tcPr>
            <w:tcW w:w="7980" w:type="dxa"/>
            <w:vAlign w:val="bottom"/>
          </w:tcPr>
          <w:p>
            <w:pPr>
              <w:ind w:left="140"/>
              <w:spacing w:after="0"/>
              <w:rPr>
                <w:sz w:val="20"/>
                <w:szCs w:val="20"/>
                <w:color w:val="auto"/>
              </w:rPr>
            </w:pPr>
            <w:r>
              <w:rPr>
                <w:rFonts w:ascii="Arial" w:cs="Arial" w:eastAsia="Arial" w:hAnsi="Arial"/>
                <w:sz w:val="18"/>
                <w:szCs w:val="18"/>
                <w:color w:val="auto"/>
              </w:rPr>
              <w:t>QUORUM</w:t>
            </w:r>
          </w:p>
        </w:tc>
        <w:tc>
          <w:tcPr>
            <w:tcW w:w="21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2.7</w:t>
            </w:r>
          </w:p>
        </w:tc>
        <w:tc>
          <w:tcPr>
            <w:tcW w:w="7980" w:type="dxa"/>
            <w:vAlign w:val="bottom"/>
          </w:tcPr>
          <w:p>
            <w:pPr>
              <w:ind w:left="140"/>
              <w:spacing w:after="0"/>
              <w:rPr>
                <w:sz w:val="20"/>
                <w:szCs w:val="20"/>
                <w:color w:val="auto"/>
              </w:rPr>
            </w:pPr>
            <w:r>
              <w:rPr>
                <w:rFonts w:ascii="Arial" w:cs="Arial" w:eastAsia="Arial" w:hAnsi="Arial"/>
                <w:sz w:val="18"/>
                <w:szCs w:val="18"/>
                <w:color w:val="auto"/>
              </w:rPr>
              <w:t>ADJOURNED MEETING; NOTICE</w:t>
            </w:r>
          </w:p>
        </w:tc>
        <w:tc>
          <w:tcPr>
            <w:tcW w:w="21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2.8</w:t>
            </w:r>
          </w:p>
        </w:tc>
        <w:tc>
          <w:tcPr>
            <w:tcW w:w="7980" w:type="dxa"/>
            <w:vAlign w:val="bottom"/>
          </w:tcPr>
          <w:p>
            <w:pPr>
              <w:ind w:left="140"/>
              <w:spacing w:after="0"/>
              <w:rPr>
                <w:sz w:val="20"/>
                <w:szCs w:val="20"/>
                <w:color w:val="auto"/>
              </w:rPr>
            </w:pPr>
            <w:r>
              <w:rPr>
                <w:rFonts w:ascii="Arial" w:cs="Arial" w:eastAsia="Arial" w:hAnsi="Arial"/>
                <w:sz w:val="18"/>
                <w:szCs w:val="18"/>
                <w:color w:val="auto"/>
              </w:rPr>
              <w:t>CONDUCT OF BUSINESS</w:t>
            </w:r>
          </w:p>
        </w:tc>
        <w:tc>
          <w:tcPr>
            <w:tcW w:w="21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2.9</w:t>
            </w:r>
          </w:p>
        </w:tc>
        <w:tc>
          <w:tcPr>
            <w:tcW w:w="7980" w:type="dxa"/>
            <w:vAlign w:val="bottom"/>
          </w:tcPr>
          <w:p>
            <w:pPr>
              <w:ind w:left="140"/>
              <w:spacing w:after="0"/>
              <w:rPr>
                <w:sz w:val="20"/>
                <w:szCs w:val="20"/>
                <w:color w:val="auto"/>
              </w:rPr>
            </w:pPr>
            <w:r>
              <w:rPr>
                <w:rFonts w:ascii="Arial" w:cs="Arial" w:eastAsia="Arial" w:hAnsi="Arial"/>
                <w:sz w:val="18"/>
                <w:szCs w:val="18"/>
                <w:color w:val="auto"/>
              </w:rPr>
              <w:t>VOTING</w:t>
            </w:r>
          </w:p>
        </w:tc>
        <w:tc>
          <w:tcPr>
            <w:tcW w:w="21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2.10</w:t>
            </w:r>
          </w:p>
        </w:tc>
        <w:tc>
          <w:tcPr>
            <w:tcW w:w="7980" w:type="dxa"/>
            <w:vAlign w:val="bottom"/>
          </w:tcPr>
          <w:p>
            <w:pPr>
              <w:ind w:left="140"/>
              <w:spacing w:after="0"/>
              <w:rPr>
                <w:sz w:val="20"/>
                <w:szCs w:val="20"/>
                <w:color w:val="auto"/>
              </w:rPr>
            </w:pPr>
            <w:r>
              <w:rPr>
                <w:rFonts w:ascii="Arial" w:cs="Arial" w:eastAsia="Arial" w:hAnsi="Arial"/>
                <w:sz w:val="18"/>
                <w:szCs w:val="18"/>
                <w:color w:val="auto"/>
              </w:rPr>
              <w:t>STOCKHOLDER ACTION BY WRITTEN CONSENT WITHOUT A MEETING</w:t>
            </w:r>
          </w:p>
        </w:tc>
        <w:tc>
          <w:tcPr>
            <w:tcW w:w="21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2.11</w:t>
            </w:r>
          </w:p>
        </w:tc>
        <w:tc>
          <w:tcPr>
            <w:tcW w:w="7980" w:type="dxa"/>
            <w:vAlign w:val="bottom"/>
          </w:tcPr>
          <w:p>
            <w:pPr>
              <w:ind w:left="140"/>
              <w:spacing w:after="0"/>
              <w:rPr>
                <w:sz w:val="20"/>
                <w:szCs w:val="20"/>
                <w:color w:val="auto"/>
              </w:rPr>
            </w:pPr>
            <w:r>
              <w:rPr>
                <w:rFonts w:ascii="Arial" w:cs="Arial" w:eastAsia="Arial" w:hAnsi="Arial"/>
                <w:sz w:val="18"/>
                <w:szCs w:val="18"/>
                <w:color w:val="auto"/>
              </w:rPr>
              <w:t>RECORD DATES</w:t>
            </w:r>
          </w:p>
        </w:tc>
        <w:tc>
          <w:tcPr>
            <w:tcW w:w="21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2.12</w:t>
            </w:r>
          </w:p>
        </w:tc>
        <w:tc>
          <w:tcPr>
            <w:tcW w:w="7980" w:type="dxa"/>
            <w:vAlign w:val="bottom"/>
          </w:tcPr>
          <w:p>
            <w:pPr>
              <w:ind w:left="140"/>
              <w:spacing w:after="0"/>
              <w:rPr>
                <w:sz w:val="20"/>
                <w:szCs w:val="20"/>
                <w:color w:val="auto"/>
              </w:rPr>
            </w:pPr>
            <w:r>
              <w:rPr>
                <w:rFonts w:ascii="Arial" w:cs="Arial" w:eastAsia="Arial" w:hAnsi="Arial"/>
                <w:sz w:val="18"/>
                <w:szCs w:val="18"/>
                <w:color w:val="auto"/>
              </w:rPr>
              <w:t>PROXIES</w:t>
            </w:r>
          </w:p>
        </w:tc>
        <w:tc>
          <w:tcPr>
            <w:tcW w:w="21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2.13</w:t>
            </w:r>
          </w:p>
        </w:tc>
        <w:tc>
          <w:tcPr>
            <w:tcW w:w="7980" w:type="dxa"/>
            <w:vAlign w:val="bottom"/>
          </w:tcPr>
          <w:p>
            <w:pPr>
              <w:ind w:left="140"/>
              <w:spacing w:after="0"/>
              <w:rPr>
                <w:sz w:val="20"/>
                <w:szCs w:val="20"/>
                <w:color w:val="auto"/>
              </w:rPr>
            </w:pPr>
            <w:r>
              <w:rPr>
                <w:rFonts w:ascii="Arial" w:cs="Arial" w:eastAsia="Arial" w:hAnsi="Arial"/>
                <w:sz w:val="18"/>
                <w:szCs w:val="18"/>
                <w:color w:val="auto"/>
              </w:rPr>
              <w:t>LIST OF STOCKHOLDERS ENTITLED TO VOTE</w:t>
            </w:r>
          </w:p>
        </w:tc>
        <w:tc>
          <w:tcPr>
            <w:tcW w:w="21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2.14</w:t>
            </w:r>
          </w:p>
        </w:tc>
        <w:tc>
          <w:tcPr>
            <w:tcW w:w="7980" w:type="dxa"/>
            <w:vAlign w:val="bottom"/>
          </w:tcPr>
          <w:p>
            <w:pPr>
              <w:ind w:left="140"/>
              <w:spacing w:after="0"/>
              <w:rPr>
                <w:sz w:val="20"/>
                <w:szCs w:val="20"/>
                <w:color w:val="auto"/>
              </w:rPr>
            </w:pPr>
            <w:r>
              <w:rPr>
                <w:rFonts w:ascii="Arial" w:cs="Arial" w:eastAsia="Arial" w:hAnsi="Arial"/>
                <w:sz w:val="18"/>
                <w:szCs w:val="18"/>
                <w:color w:val="auto"/>
              </w:rPr>
              <w:t>INSPECTORS OF ELECTION</w:t>
            </w:r>
          </w:p>
        </w:tc>
        <w:tc>
          <w:tcPr>
            <w:tcW w:w="21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8800" w:type="dxa"/>
            <w:vAlign w:val="bottom"/>
            <w:gridSpan w:val="2"/>
          </w:tcPr>
          <w:p>
            <w:pPr>
              <w:spacing w:after="0"/>
              <w:rPr>
                <w:sz w:val="20"/>
                <w:szCs w:val="20"/>
                <w:color w:val="auto"/>
              </w:rPr>
            </w:pPr>
            <w:r>
              <w:rPr>
                <w:rFonts w:ascii="Arial" w:cs="Arial" w:eastAsia="Arial" w:hAnsi="Arial"/>
                <w:sz w:val="18"/>
                <w:szCs w:val="18"/>
                <w:color w:val="auto"/>
              </w:rPr>
              <w:t>ARTICLE III - DIRECTORS</w:t>
            </w:r>
          </w:p>
        </w:tc>
        <w:tc>
          <w:tcPr>
            <w:tcW w:w="21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0"/>
        </w:trPr>
        <w:tc>
          <w:tcPr>
            <w:tcW w:w="820" w:type="dxa"/>
            <w:vAlign w:val="bottom"/>
          </w:tcPr>
          <w:p>
            <w:pPr>
              <w:ind w:left="360"/>
              <w:spacing w:after="0"/>
              <w:rPr>
                <w:sz w:val="20"/>
                <w:szCs w:val="20"/>
                <w:color w:val="auto"/>
              </w:rPr>
            </w:pPr>
            <w:r>
              <w:rPr>
                <w:rFonts w:ascii="Arial" w:cs="Arial" w:eastAsia="Arial" w:hAnsi="Arial"/>
                <w:sz w:val="18"/>
                <w:szCs w:val="18"/>
                <w:color w:val="auto"/>
              </w:rPr>
              <w:t>3.1</w:t>
            </w:r>
          </w:p>
        </w:tc>
        <w:tc>
          <w:tcPr>
            <w:tcW w:w="7980" w:type="dxa"/>
            <w:vAlign w:val="bottom"/>
          </w:tcPr>
          <w:p>
            <w:pPr>
              <w:ind w:left="140"/>
              <w:spacing w:after="0"/>
              <w:rPr>
                <w:sz w:val="20"/>
                <w:szCs w:val="20"/>
                <w:color w:val="auto"/>
              </w:rPr>
            </w:pPr>
            <w:r>
              <w:rPr>
                <w:rFonts w:ascii="Arial" w:cs="Arial" w:eastAsia="Arial" w:hAnsi="Arial"/>
                <w:sz w:val="18"/>
                <w:szCs w:val="18"/>
                <w:color w:val="auto"/>
              </w:rPr>
              <w:t>POWERS</w:t>
            </w:r>
          </w:p>
        </w:tc>
        <w:tc>
          <w:tcPr>
            <w:tcW w:w="21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3.2</w:t>
            </w:r>
          </w:p>
        </w:tc>
        <w:tc>
          <w:tcPr>
            <w:tcW w:w="7980" w:type="dxa"/>
            <w:vAlign w:val="bottom"/>
          </w:tcPr>
          <w:p>
            <w:pPr>
              <w:ind w:left="140"/>
              <w:spacing w:after="0"/>
              <w:rPr>
                <w:sz w:val="20"/>
                <w:szCs w:val="20"/>
                <w:color w:val="auto"/>
              </w:rPr>
            </w:pPr>
            <w:r>
              <w:rPr>
                <w:rFonts w:ascii="Arial" w:cs="Arial" w:eastAsia="Arial" w:hAnsi="Arial"/>
                <w:sz w:val="18"/>
                <w:szCs w:val="18"/>
                <w:color w:val="auto"/>
              </w:rPr>
              <w:t>NUMBER OF DIRECTORS</w:t>
            </w:r>
          </w:p>
        </w:tc>
        <w:tc>
          <w:tcPr>
            <w:tcW w:w="21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3.3</w:t>
            </w:r>
          </w:p>
        </w:tc>
        <w:tc>
          <w:tcPr>
            <w:tcW w:w="7980" w:type="dxa"/>
            <w:vAlign w:val="bottom"/>
          </w:tcPr>
          <w:p>
            <w:pPr>
              <w:ind w:left="140"/>
              <w:spacing w:after="0"/>
              <w:rPr>
                <w:sz w:val="20"/>
                <w:szCs w:val="20"/>
                <w:color w:val="auto"/>
              </w:rPr>
            </w:pPr>
            <w:r>
              <w:rPr>
                <w:rFonts w:ascii="Arial" w:cs="Arial" w:eastAsia="Arial" w:hAnsi="Arial"/>
                <w:sz w:val="18"/>
                <w:szCs w:val="18"/>
                <w:color w:val="auto"/>
              </w:rPr>
              <w:t>ELECTION, QUALIFICATION AND TERM OF OFFICE OF DIRECTORS</w:t>
            </w:r>
          </w:p>
        </w:tc>
        <w:tc>
          <w:tcPr>
            <w:tcW w:w="21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3.4</w:t>
            </w:r>
          </w:p>
        </w:tc>
        <w:tc>
          <w:tcPr>
            <w:tcW w:w="7980" w:type="dxa"/>
            <w:vAlign w:val="bottom"/>
          </w:tcPr>
          <w:p>
            <w:pPr>
              <w:ind w:left="140"/>
              <w:spacing w:after="0"/>
              <w:rPr>
                <w:sz w:val="20"/>
                <w:szCs w:val="20"/>
                <w:color w:val="auto"/>
              </w:rPr>
            </w:pPr>
            <w:r>
              <w:rPr>
                <w:rFonts w:ascii="Arial" w:cs="Arial" w:eastAsia="Arial" w:hAnsi="Arial"/>
                <w:sz w:val="18"/>
                <w:szCs w:val="18"/>
                <w:color w:val="auto"/>
              </w:rPr>
              <w:t>RESIGNATION AND VACANCIES</w:t>
            </w:r>
          </w:p>
        </w:tc>
        <w:tc>
          <w:tcPr>
            <w:tcW w:w="21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3.5</w:t>
            </w:r>
          </w:p>
        </w:tc>
        <w:tc>
          <w:tcPr>
            <w:tcW w:w="7980" w:type="dxa"/>
            <w:vAlign w:val="bottom"/>
          </w:tcPr>
          <w:p>
            <w:pPr>
              <w:ind w:left="140"/>
              <w:spacing w:after="0"/>
              <w:rPr>
                <w:sz w:val="20"/>
                <w:szCs w:val="20"/>
                <w:color w:val="auto"/>
              </w:rPr>
            </w:pPr>
            <w:r>
              <w:rPr>
                <w:rFonts w:ascii="Arial" w:cs="Arial" w:eastAsia="Arial" w:hAnsi="Arial"/>
                <w:sz w:val="18"/>
                <w:szCs w:val="18"/>
                <w:color w:val="auto"/>
              </w:rPr>
              <w:t>PLACE OF MEETINGS; MEETINGS BY TELEPHONE</w:t>
            </w:r>
          </w:p>
        </w:tc>
        <w:tc>
          <w:tcPr>
            <w:tcW w:w="2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3.6</w:t>
            </w:r>
          </w:p>
        </w:tc>
        <w:tc>
          <w:tcPr>
            <w:tcW w:w="7980" w:type="dxa"/>
            <w:vAlign w:val="bottom"/>
          </w:tcPr>
          <w:p>
            <w:pPr>
              <w:ind w:left="140"/>
              <w:spacing w:after="0"/>
              <w:rPr>
                <w:sz w:val="20"/>
                <w:szCs w:val="20"/>
                <w:color w:val="auto"/>
              </w:rPr>
            </w:pPr>
            <w:r>
              <w:rPr>
                <w:rFonts w:ascii="Arial" w:cs="Arial" w:eastAsia="Arial" w:hAnsi="Arial"/>
                <w:sz w:val="18"/>
                <w:szCs w:val="18"/>
                <w:color w:val="auto"/>
              </w:rPr>
              <w:t>REGULAR MEETINGS</w:t>
            </w:r>
          </w:p>
        </w:tc>
        <w:tc>
          <w:tcPr>
            <w:tcW w:w="2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3.7</w:t>
            </w:r>
          </w:p>
        </w:tc>
        <w:tc>
          <w:tcPr>
            <w:tcW w:w="7980" w:type="dxa"/>
            <w:vAlign w:val="bottom"/>
          </w:tcPr>
          <w:p>
            <w:pPr>
              <w:ind w:left="140"/>
              <w:spacing w:after="0"/>
              <w:rPr>
                <w:sz w:val="20"/>
                <w:szCs w:val="20"/>
                <w:color w:val="auto"/>
              </w:rPr>
            </w:pPr>
            <w:r>
              <w:rPr>
                <w:rFonts w:ascii="Arial" w:cs="Arial" w:eastAsia="Arial" w:hAnsi="Arial"/>
                <w:sz w:val="18"/>
                <w:szCs w:val="18"/>
                <w:color w:val="auto"/>
              </w:rPr>
              <w:t>SPECIAL MEETINGS; NOTICE</w:t>
            </w:r>
          </w:p>
        </w:tc>
        <w:tc>
          <w:tcPr>
            <w:tcW w:w="2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3.8</w:t>
            </w:r>
          </w:p>
        </w:tc>
        <w:tc>
          <w:tcPr>
            <w:tcW w:w="7980" w:type="dxa"/>
            <w:vAlign w:val="bottom"/>
          </w:tcPr>
          <w:p>
            <w:pPr>
              <w:ind w:left="140"/>
              <w:spacing w:after="0"/>
              <w:rPr>
                <w:sz w:val="20"/>
                <w:szCs w:val="20"/>
                <w:color w:val="auto"/>
              </w:rPr>
            </w:pPr>
            <w:r>
              <w:rPr>
                <w:rFonts w:ascii="Arial" w:cs="Arial" w:eastAsia="Arial" w:hAnsi="Arial"/>
                <w:sz w:val="18"/>
                <w:szCs w:val="18"/>
                <w:color w:val="auto"/>
              </w:rPr>
              <w:t>QUORUM; VOTING</w:t>
            </w:r>
          </w:p>
        </w:tc>
        <w:tc>
          <w:tcPr>
            <w:tcW w:w="21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3.9</w:t>
            </w:r>
          </w:p>
        </w:tc>
        <w:tc>
          <w:tcPr>
            <w:tcW w:w="7980" w:type="dxa"/>
            <w:vAlign w:val="bottom"/>
          </w:tcPr>
          <w:p>
            <w:pPr>
              <w:ind w:left="140"/>
              <w:spacing w:after="0"/>
              <w:rPr>
                <w:sz w:val="20"/>
                <w:szCs w:val="20"/>
                <w:color w:val="auto"/>
              </w:rPr>
            </w:pPr>
            <w:r>
              <w:rPr>
                <w:rFonts w:ascii="Arial" w:cs="Arial" w:eastAsia="Arial" w:hAnsi="Arial"/>
                <w:sz w:val="18"/>
                <w:szCs w:val="18"/>
                <w:color w:val="auto"/>
              </w:rPr>
              <w:t>BOARD ACTION BY WRITTEN CONSENT WITHOUT A MEETING</w:t>
            </w:r>
          </w:p>
        </w:tc>
        <w:tc>
          <w:tcPr>
            <w:tcW w:w="21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3.10</w:t>
            </w:r>
          </w:p>
        </w:tc>
        <w:tc>
          <w:tcPr>
            <w:tcW w:w="7980" w:type="dxa"/>
            <w:vAlign w:val="bottom"/>
          </w:tcPr>
          <w:p>
            <w:pPr>
              <w:ind w:left="140"/>
              <w:spacing w:after="0"/>
              <w:rPr>
                <w:sz w:val="20"/>
                <w:szCs w:val="20"/>
                <w:color w:val="auto"/>
              </w:rPr>
            </w:pPr>
            <w:r>
              <w:rPr>
                <w:rFonts w:ascii="Arial" w:cs="Arial" w:eastAsia="Arial" w:hAnsi="Arial"/>
                <w:sz w:val="18"/>
                <w:szCs w:val="18"/>
                <w:color w:val="auto"/>
              </w:rPr>
              <w:t>FEES AND COMPENSATION OF DIRECTORS</w:t>
            </w:r>
          </w:p>
        </w:tc>
        <w:tc>
          <w:tcPr>
            <w:tcW w:w="21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3.11</w:t>
            </w:r>
          </w:p>
        </w:tc>
        <w:tc>
          <w:tcPr>
            <w:tcW w:w="7980" w:type="dxa"/>
            <w:vAlign w:val="bottom"/>
          </w:tcPr>
          <w:p>
            <w:pPr>
              <w:ind w:left="140"/>
              <w:spacing w:after="0"/>
              <w:rPr>
                <w:sz w:val="20"/>
                <w:szCs w:val="20"/>
                <w:color w:val="auto"/>
              </w:rPr>
            </w:pPr>
            <w:r>
              <w:rPr>
                <w:rFonts w:ascii="Arial" w:cs="Arial" w:eastAsia="Arial" w:hAnsi="Arial"/>
                <w:sz w:val="18"/>
                <w:szCs w:val="18"/>
                <w:color w:val="auto"/>
              </w:rPr>
              <w:t>REMOVAL OF DIRECTORS</w:t>
            </w:r>
          </w:p>
        </w:tc>
        <w:tc>
          <w:tcPr>
            <w:tcW w:w="2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8800" w:type="dxa"/>
            <w:vAlign w:val="bottom"/>
            <w:gridSpan w:val="2"/>
          </w:tcPr>
          <w:p>
            <w:pPr>
              <w:spacing w:after="0"/>
              <w:rPr>
                <w:sz w:val="20"/>
                <w:szCs w:val="20"/>
                <w:color w:val="auto"/>
              </w:rPr>
            </w:pPr>
            <w:r>
              <w:rPr>
                <w:rFonts w:ascii="Arial" w:cs="Arial" w:eastAsia="Arial" w:hAnsi="Arial"/>
                <w:sz w:val="18"/>
                <w:szCs w:val="18"/>
                <w:color w:val="auto"/>
              </w:rPr>
              <w:t>ARTICLE IV - COMMITTEES</w:t>
            </w:r>
          </w:p>
        </w:tc>
        <w:tc>
          <w:tcPr>
            <w:tcW w:w="2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0"/>
        </w:trPr>
        <w:tc>
          <w:tcPr>
            <w:tcW w:w="820" w:type="dxa"/>
            <w:vAlign w:val="bottom"/>
          </w:tcPr>
          <w:p>
            <w:pPr>
              <w:ind w:left="360"/>
              <w:spacing w:after="0"/>
              <w:rPr>
                <w:sz w:val="20"/>
                <w:szCs w:val="20"/>
                <w:color w:val="auto"/>
              </w:rPr>
            </w:pPr>
            <w:r>
              <w:rPr>
                <w:rFonts w:ascii="Arial" w:cs="Arial" w:eastAsia="Arial" w:hAnsi="Arial"/>
                <w:sz w:val="18"/>
                <w:szCs w:val="18"/>
                <w:color w:val="auto"/>
              </w:rPr>
              <w:t>4.1</w:t>
            </w:r>
          </w:p>
        </w:tc>
        <w:tc>
          <w:tcPr>
            <w:tcW w:w="7980" w:type="dxa"/>
            <w:vAlign w:val="bottom"/>
          </w:tcPr>
          <w:p>
            <w:pPr>
              <w:ind w:left="140"/>
              <w:spacing w:after="0"/>
              <w:rPr>
                <w:sz w:val="20"/>
                <w:szCs w:val="20"/>
                <w:color w:val="auto"/>
              </w:rPr>
            </w:pPr>
            <w:r>
              <w:rPr>
                <w:rFonts w:ascii="Arial" w:cs="Arial" w:eastAsia="Arial" w:hAnsi="Arial"/>
                <w:sz w:val="18"/>
                <w:szCs w:val="18"/>
                <w:color w:val="auto"/>
              </w:rPr>
              <w:t>COMMITTEES OF DIRECTORS</w:t>
            </w:r>
          </w:p>
        </w:tc>
        <w:tc>
          <w:tcPr>
            <w:tcW w:w="2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4.2</w:t>
            </w:r>
          </w:p>
        </w:tc>
        <w:tc>
          <w:tcPr>
            <w:tcW w:w="7980" w:type="dxa"/>
            <w:vAlign w:val="bottom"/>
          </w:tcPr>
          <w:p>
            <w:pPr>
              <w:ind w:left="140"/>
              <w:spacing w:after="0"/>
              <w:rPr>
                <w:sz w:val="20"/>
                <w:szCs w:val="20"/>
                <w:color w:val="auto"/>
              </w:rPr>
            </w:pPr>
            <w:r>
              <w:rPr>
                <w:rFonts w:ascii="Arial" w:cs="Arial" w:eastAsia="Arial" w:hAnsi="Arial"/>
                <w:sz w:val="18"/>
                <w:szCs w:val="18"/>
                <w:color w:val="auto"/>
              </w:rPr>
              <w:t>COMMITTEE MINUTES</w:t>
            </w:r>
          </w:p>
        </w:tc>
        <w:tc>
          <w:tcPr>
            <w:tcW w:w="2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4.3</w:t>
            </w:r>
          </w:p>
        </w:tc>
        <w:tc>
          <w:tcPr>
            <w:tcW w:w="7980" w:type="dxa"/>
            <w:vAlign w:val="bottom"/>
          </w:tcPr>
          <w:p>
            <w:pPr>
              <w:ind w:left="140"/>
              <w:spacing w:after="0"/>
              <w:rPr>
                <w:sz w:val="20"/>
                <w:szCs w:val="20"/>
                <w:color w:val="auto"/>
              </w:rPr>
            </w:pPr>
            <w:r>
              <w:rPr>
                <w:rFonts w:ascii="Arial" w:cs="Arial" w:eastAsia="Arial" w:hAnsi="Arial"/>
                <w:sz w:val="18"/>
                <w:szCs w:val="18"/>
                <w:color w:val="auto"/>
              </w:rPr>
              <w:t>MEETINGS AND ACTION OF COMMITTEES</w:t>
            </w:r>
          </w:p>
        </w:tc>
        <w:tc>
          <w:tcPr>
            <w:tcW w:w="2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4.4</w:t>
            </w:r>
          </w:p>
        </w:tc>
        <w:tc>
          <w:tcPr>
            <w:tcW w:w="7980" w:type="dxa"/>
            <w:vAlign w:val="bottom"/>
          </w:tcPr>
          <w:p>
            <w:pPr>
              <w:ind w:left="140"/>
              <w:spacing w:after="0"/>
              <w:rPr>
                <w:sz w:val="20"/>
                <w:szCs w:val="20"/>
                <w:color w:val="auto"/>
              </w:rPr>
            </w:pPr>
            <w:r>
              <w:rPr>
                <w:rFonts w:ascii="Arial" w:cs="Arial" w:eastAsia="Arial" w:hAnsi="Arial"/>
                <w:sz w:val="18"/>
                <w:szCs w:val="18"/>
                <w:color w:val="auto"/>
              </w:rPr>
              <w:t>SUBCOMMITTEES</w:t>
            </w:r>
          </w:p>
        </w:tc>
        <w:tc>
          <w:tcPr>
            <w:tcW w:w="21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8800" w:type="dxa"/>
            <w:vAlign w:val="bottom"/>
            <w:gridSpan w:val="2"/>
          </w:tcPr>
          <w:p>
            <w:pPr>
              <w:spacing w:after="0"/>
              <w:rPr>
                <w:sz w:val="20"/>
                <w:szCs w:val="20"/>
                <w:color w:val="auto"/>
              </w:rPr>
            </w:pPr>
            <w:r>
              <w:rPr>
                <w:rFonts w:ascii="Arial" w:cs="Arial" w:eastAsia="Arial" w:hAnsi="Arial"/>
                <w:sz w:val="18"/>
                <w:szCs w:val="18"/>
                <w:color w:val="auto"/>
              </w:rPr>
              <w:t>ARTICLE V - OFFICERS</w:t>
            </w:r>
          </w:p>
        </w:tc>
        <w:tc>
          <w:tcPr>
            <w:tcW w:w="21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0"/>
        </w:trPr>
        <w:tc>
          <w:tcPr>
            <w:tcW w:w="820" w:type="dxa"/>
            <w:vAlign w:val="bottom"/>
          </w:tcPr>
          <w:p>
            <w:pPr>
              <w:ind w:left="360"/>
              <w:spacing w:after="0"/>
              <w:rPr>
                <w:sz w:val="20"/>
                <w:szCs w:val="20"/>
                <w:color w:val="auto"/>
              </w:rPr>
            </w:pPr>
            <w:r>
              <w:rPr>
                <w:rFonts w:ascii="Arial" w:cs="Arial" w:eastAsia="Arial" w:hAnsi="Arial"/>
                <w:sz w:val="18"/>
                <w:szCs w:val="18"/>
                <w:color w:val="auto"/>
              </w:rPr>
              <w:t>5.1</w:t>
            </w:r>
          </w:p>
        </w:tc>
        <w:tc>
          <w:tcPr>
            <w:tcW w:w="7980" w:type="dxa"/>
            <w:vAlign w:val="bottom"/>
          </w:tcPr>
          <w:p>
            <w:pPr>
              <w:ind w:left="140"/>
              <w:spacing w:after="0"/>
              <w:rPr>
                <w:sz w:val="20"/>
                <w:szCs w:val="20"/>
                <w:color w:val="auto"/>
              </w:rPr>
            </w:pPr>
            <w:r>
              <w:rPr>
                <w:rFonts w:ascii="Arial" w:cs="Arial" w:eastAsia="Arial" w:hAnsi="Arial"/>
                <w:sz w:val="18"/>
                <w:szCs w:val="18"/>
                <w:color w:val="auto"/>
              </w:rPr>
              <w:t>OFFICERS</w:t>
            </w:r>
          </w:p>
        </w:tc>
        <w:tc>
          <w:tcPr>
            <w:tcW w:w="21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5.2</w:t>
            </w:r>
          </w:p>
        </w:tc>
        <w:tc>
          <w:tcPr>
            <w:tcW w:w="7980" w:type="dxa"/>
            <w:vAlign w:val="bottom"/>
          </w:tcPr>
          <w:p>
            <w:pPr>
              <w:ind w:left="140"/>
              <w:spacing w:after="0"/>
              <w:rPr>
                <w:sz w:val="20"/>
                <w:szCs w:val="20"/>
                <w:color w:val="auto"/>
              </w:rPr>
            </w:pPr>
            <w:r>
              <w:rPr>
                <w:rFonts w:ascii="Arial" w:cs="Arial" w:eastAsia="Arial" w:hAnsi="Arial"/>
                <w:sz w:val="18"/>
                <w:szCs w:val="18"/>
                <w:color w:val="auto"/>
              </w:rPr>
              <w:t>APPOINTMENT OF OFFICERS</w:t>
            </w:r>
          </w:p>
        </w:tc>
        <w:tc>
          <w:tcPr>
            <w:tcW w:w="21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5.3</w:t>
            </w:r>
          </w:p>
        </w:tc>
        <w:tc>
          <w:tcPr>
            <w:tcW w:w="7980" w:type="dxa"/>
            <w:vAlign w:val="bottom"/>
          </w:tcPr>
          <w:p>
            <w:pPr>
              <w:ind w:left="140"/>
              <w:spacing w:after="0"/>
              <w:rPr>
                <w:sz w:val="20"/>
                <w:szCs w:val="20"/>
                <w:color w:val="auto"/>
              </w:rPr>
            </w:pPr>
            <w:r>
              <w:rPr>
                <w:rFonts w:ascii="Arial" w:cs="Arial" w:eastAsia="Arial" w:hAnsi="Arial"/>
                <w:sz w:val="18"/>
                <w:szCs w:val="18"/>
                <w:color w:val="auto"/>
              </w:rPr>
              <w:t>SUBORDINATE OFFICERS</w:t>
            </w:r>
          </w:p>
        </w:tc>
        <w:tc>
          <w:tcPr>
            <w:tcW w:w="21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5.4</w:t>
            </w:r>
          </w:p>
        </w:tc>
        <w:tc>
          <w:tcPr>
            <w:tcW w:w="7980" w:type="dxa"/>
            <w:vAlign w:val="bottom"/>
          </w:tcPr>
          <w:p>
            <w:pPr>
              <w:ind w:left="140"/>
              <w:spacing w:after="0"/>
              <w:rPr>
                <w:sz w:val="20"/>
                <w:szCs w:val="20"/>
                <w:color w:val="auto"/>
              </w:rPr>
            </w:pPr>
            <w:r>
              <w:rPr>
                <w:rFonts w:ascii="Arial" w:cs="Arial" w:eastAsia="Arial" w:hAnsi="Arial"/>
                <w:sz w:val="18"/>
                <w:szCs w:val="18"/>
                <w:color w:val="auto"/>
              </w:rPr>
              <w:t>REMOVAL AND RESIGNATION OF OFFICERS</w:t>
            </w:r>
          </w:p>
        </w:tc>
        <w:tc>
          <w:tcPr>
            <w:tcW w:w="216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i w:val="1"/>
                <w:iCs w:val="1"/>
                <w:color w:val="auto"/>
              </w:rPr>
              <w:t>Page</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5.5</w:t>
            </w:r>
          </w:p>
        </w:tc>
        <w:tc>
          <w:tcPr>
            <w:tcW w:w="9540" w:type="dxa"/>
            <w:vAlign w:val="bottom"/>
          </w:tcPr>
          <w:p>
            <w:pPr>
              <w:ind w:left="140"/>
              <w:spacing w:after="0"/>
              <w:rPr>
                <w:sz w:val="20"/>
                <w:szCs w:val="20"/>
                <w:color w:val="auto"/>
              </w:rPr>
            </w:pPr>
            <w:r>
              <w:rPr>
                <w:rFonts w:ascii="Arial" w:cs="Arial" w:eastAsia="Arial" w:hAnsi="Arial"/>
                <w:sz w:val="18"/>
                <w:szCs w:val="18"/>
                <w:color w:val="auto"/>
              </w:rPr>
              <w:t>VACANCIES IN OFFICES</w:t>
            </w: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5.6</w:t>
            </w:r>
          </w:p>
        </w:tc>
        <w:tc>
          <w:tcPr>
            <w:tcW w:w="9540" w:type="dxa"/>
            <w:vAlign w:val="bottom"/>
          </w:tcPr>
          <w:p>
            <w:pPr>
              <w:ind w:left="140"/>
              <w:spacing w:after="0"/>
              <w:rPr>
                <w:sz w:val="20"/>
                <w:szCs w:val="20"/>
                <w:color w:val="auto"/>
              </w:rPr>
            </w:pPr>
            <w:r>
              <w:rPr>
                <w:rFonts w:ascii="Arial" w:cs="Arial" w:eastAsia="Arial" w:hAnsi="Arial"/>
                <w:sz w:val="18"/>
                <w:szCs w:val="18"/>
                <w:color w:val="auto"/>
              </w:rPr>
              <w:t>REPRESENTATION OF SHARES OF OTHER CORPORATIONS</w:t>
            </w: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5.7</w:t>
            </w:r>
          </w:p>
        </w:tc>
        <w:tc>
          <w:tcPr>
            <w:tcW w:w="9540" w:type="dxa"/>
            <w:vAlign w:val="bottom"/>
          </w:tcPr>
          <w:p>
            <w:pPr>
              <w:ind w:left="140"/>
              <w:spacing w:after="0"/>
              <w:rPr>
                <w:sz w:val="20"/>
                <w:szCs w:val="20"/>
                <w:color w:val="auto"/>
              </w:rPr>
            </w:pPr>
            <w:r>
              <w:rPr>
                <w:rFonts w:ascii="Arial" w:cs="Arial" w:eastAsia="Arial" w:hAnsi="Arial"/>
                <w:sz w:val="18"/>
                <w:szCs w:val="18"/>
                <w:color w:val="auto"/>
              </w:rPr>
              <w:t>AUTHORITY AND DUTIES OF OFFICERS</w:t>
            </w: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0360" w:type="dxa"/>
            <w:vAlign w:val="bottom"/>
            <w:gridSpan w:val="2"/>
          </w:tcPr>
          <w:p>
            <w:pPr>
              <w:spacing w:after="0"/>
              <w:rPr>
                <w:sz w:val="20"/>
                <w:szCs w:val="20"/>
                <w:color w:val="auto"/>
              </w:rPr>
            </w:pPr>
            <w:r>
              <w:rPr>
                <w:rFonts w:ascii="Arial" w:cs="Arial" w:eastAsia="Arial" w:hAnsi="Arial"/>
                <w:sz w:val="18"/>
                <w:szCs w:val="18"/>
                <w:color w:val="auto"/>
              </w:rPr>
              <w:t>ARTICLE VI - STOCK</w:t>
            </w: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0"/>
        </w:trPr>
        <w:tc>
          <w:tcPr>
            <w:tcW w:w="820" w:type="dxa"/>
            <w:vAlign w:val="bottom"/>
          </w:tcPr>
          <w:p>
            <w:pPr>
              <w:ind w:left="360"/>
              <w:spacing w:after="0"/>
              <w:rPr>
                <w:sz w:val="20"/>
                <w:szCs w:val="20"/>
                <w:color w:val="auto"/>
              </w:rPr>
            </w:pPr>
            <w:r>
              <w:rPr>
                <w:rFonts w:ascii="Arial" w:cs="Arial" w:eastAsia="Arial" w:hAnsi="Arial"/>
                <w:sz w:val="18"/>
                <w:szCs w:val="18"/>
                <w:color w:val="auto"/>
              </w:rPr>
              <w:t>6.1</w:t>
            </w:r>
          </w:p>
        </w:tc>
        <w:tc>
          <w:tcPr>
            <w:tcW w:w="9540" w:type="dxa"/>
            <w:vAlign w:val="bottom"/>
          </w:tcPr>
          <w:p>
            <w:pPr>
              <w:ind w:left="140"/>
              <w:spacing w:after="0"/>
              <w:rPr>
                <w:sz w:val="20"/>
                <w:szCs w:val="20"/>
                <w:color w:val="auto"/>
              </w:rPr>
            </w:pPr>
            <w:r>
              <w:rPr>
                <w:rFonts w:ascii="Arial" w:cs="Arial" w:eastAsia="Arial" w:hAnsi="Arial"/>
                <w:sz w:val="18"/>
                <w:szCs w:val="18"/>
                <w:color w:val="auto"/>
              </w:rPr>
              <w:t>STOCK CERTIFICATES; PARTLY PAID SHARES</w:t>
            </w: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6.2</w:t>
            </w:r>
          </w:p>
        </w:tc>
        <w:tc>
          <w:tcPr>
            <w:tcW w:w="9540" w:type="dxa"/>
            <w:vAlign w:val="bottom"/>
          </w:tcPr>
          <w:p>
            <w:pPr>
              <w:ind w:left="140"/>
              <w:spacing w:after="0"/>
              <w:rPr>
                <w:sz w:val="20"/>
                <w:szCs w:val="20"/>
                <w:color w:val="auto"/>
              </w:rPr>
            </w:pPr>
            <w:r>
              <w:rPr>
                <w:rFonts w:ascii="Arial" w:cs="Arial" w:eastAsia="Arial" w:hAnsi="Arial"/>
                <w:sz w:val="18"/>
                <w:szCs w:val="18"/>
                <w:color w:val="auto"/>
              </w:rPr>
              <w:t>SPECIAL DESIGNATION ON CERTIFICATES</w:t>
            </w: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6.3</w:t>
            </w:r>
          </w:p>
        </w:tc>
        <w:tc>
          <w:tcPr>
            <w:tcW w:w="9540" w:type="dxa"/>
            <w:vAlign w:val="bottom"/>
          </w:tcPr>
          <w:p>
            <w:pPr>
              <w:ind w:left="140"/>
              <w:spacing w:after="0"/>
              <w:rPr>
                <w:sz w:val="20"/>
                <w:szCs w:val="20"/>
                <w:color w:val="auto"/>
              </w:rPr>
            </w:pPr>
            <w:r>
              <w:rPr>
                <w:rFonts w:ascii="Arial" w:cs="Arial" w:eastAsia="Arial" w:hAnsi="Arial"/>
                <w:sz w:val="18"/>
                <w:szCs w:val="18"/>
                <w:color w:val="auto"/>
              </w:rPr>
              <w:t>LOST CERTIFICATES</w:t>
            </w: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6.4</w:t>
            </w:r>
          </w:p>
        </w:tc>
        <w:tc>
          <w:tcPr>
            <w:tcW w:w="9540" w:type="dxa"/>
            <w:vAlign w:val="bottom"/>
          </w:tcPr>
          <w:p>
            <w:pPr>
              <w:ind w:left="140"/>
              <w:spacing w:after="0"/>
              <w:rPr>
                <w:sz w:val="20"/>
                <w:szCs w:val="20"/>
                <w:color w:val="auto"/>
              </w:rPr>
            </w:pPr>
            <w:r>
              <w:rPr>
                <w:rFonts w:ascii="Arial" w:cs="Arial" w:eastAsia="Arial" w:hAnsi="Arial"/>
                <w:sz w:val="18"/>
                <w:szCs w:val="18"/>
                <w:color w:val="auto"/>
              </w:rPr>
              <w:t>DIVIDENDS</w:t>
            </w: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6.5</w:t>
            </w:r>
          </w:p>
        </w:tc>
        <w:tc>
          <w:tcPr>
            <w:tcW w:w="9540" w:type="dxa"/>
            <w:vAlign w:val="bottom"/>
          </w:tcPr>
          <w:p>
            <w:pPr>
              <w:ind w:left="140"/>
              <w:spacing w:after="0"/>
              <w:rPr>
                <w:sz w:val="20"/>
                <w:szCs w:val="20"/>
                <w:color w:val="auto"/>
              </w:rPr>
            </w:pPr>
            <w:r>
              <w:rPr>
                <w:rFonts w:ascii="Arial" w:cs="Arial" w:eastAsia="Arial" w:hAnsi="Arial"/>
                <w:sz w:val="18"/>
                <w:szCs w:val="18"/>
                <w:color w:val="auto"/>
              </w:rPr>
              <w:t>TRANSFER OF STOCK</w:t>
            </w: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6.6</w:t>
            </w:r>
          </w:p>
        </w:tc>
        <w:tc>
          <w:tcPr>
            <w:tcW w:w="9540" w:type="dxa"/>
            <w:vAlign w:val="bottom"/>
          </w:tcPr>
          <w:p>
            <w:pPr>
              <w:ind w:left="140"/>
              <w:spacing w:after="0"/>
              <w:rPr>
                <w:sz w:val="20"/>
                <w:szCs w:val="20"/>
                <w:color w:val="auto"/>
              </w:rPr>
            </w:pPr>
            <w:r>
              <w:rPr>
                <w:rFonts w:ascii="Arial" w:cs="Arial" w:eastAsia="Arial" w:hAnsi="Arial"/>
                <w:sz w:val="18"/>
                <w:szCs w:val="18"/>
                <w:color w:val="auto"/>
              </w:rPr>
              <w:t>STOCK TRANSFER AGREEMENTS</w:t>
            </w: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6.7</w:t>
            </w:r>
          </w:p>
        </w:tc>
        <w:tc>
          <w:tcPr>
            <w:tcW w:w="9540" w:type="dxa"/>
            <w:vAlign w:val="bottom"/>
          </w:tcPr>
          <w:p>
            <w:pPr>
              <w:ind w:left="140"/>
              <w:spacing w:after="0"/>
              <w:rPr>
                <w:sz w:val="20"/>
                <w:szCs w:val="20"/>
                <w:color w:val="auto"/>
              </w:rPr>
            </w:pPr>
            <w:r>
              <w:rPr>
                <w:rFonts w:ascii="Arial" w:cs="Arial" w:eastAsia="Arial" w:hAnsi="Arial"/>
                <w:sz w:val="18"/>
                <w:szCs w:val="18"/>
                <w:color w:val="auto"/>
              </w:rPr>
              <w:t>REGISTERED STOCKHOLDERS</w:t>
            </w: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0360" w:type="dxa"/>
            <w:vAlign w:val="bottom"/>
            <w:gridSpan w:val="2"/>
          </w:tcPr>
          <w:p>
            <w:pPr>
              <w:spacing w:after="0"/>
              <w:rPr>
                <w:sz w:val="20"/>
                <w:szCs w:val="20"/>
                <w:color w:val="auto"/>
              </w:rPr>
            </w:pPr>
            <w:r>
              <w:rPr>
                <w:rFonts w:ascii="Arial" w:cs="Arial" w:eastAsia="Arial" w:hAnsi="Arial"/>
                <w:sz w:val="18"/>
                <w:szCs w:val="18"/>
                <w:color w:val="auto"/>
              </w:rPr>
              <w:t>ARTICLE VII - MANNER OF GIVING NOTICE AND WAIVER</w:t>
            </w: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0"/>
        </w:trPr>
        <w:tc>
          <w:tcPr>
            <w:tcW w:w="820" w:type="dxa"/>
            <w:vAlign w:val="bottom"/>
          </w:tcPr>
          <w:p>
            <w:pPr>
              <w:ind w:left="360"/>
              <w:spacing w:after="0"/>
              <w:rPr>
                <w:sz w:val="20"/>
                <w:szCs w:val="20"/>
                <w:color w:val="auto"/>
              </w:rPr>
            </w:pPr>
            <w:r>
              <w:rPr>
                <w:rFonts w:ascii="Arial" w:cs="Arial" w:eastAsia="Arial" w:hAnsi="Arial"/>
                <w:sz w:val="18"/>
                <w:szCs w:val="18"/>
                <w:color w:val="auto"/>
              </w:rPr>
              <w:t>7.1</w:t>
            </w:r>
          </w:p>
        </w:tc>
        <w:tc>
          <w:tcPr>
            <w:tcW w:w="9540" w:type="dxa"/>
            <w:vAlign w:val="bottom"/>
          </w:tcPr>
          <w:p>
            <w:pPr>
              <w:ind w:left="140"/>
              <w:spacing w:after="0"/>
              <w:rPr>
                <w:sz w:val="20"/>
                <w:szCs w:val="20"/>
                <w:color w:val="auto"/>
              </w:rPr>
            </w:pPr>
            <w:r>
              <w:rPr>
                <w:rFonts w:ascii="Arial" w:cs="Arial" w:eastAsia="Arial" w:hAnsi="Arial"/>
                <w:sz w:val="18"/>
                <w:szCs w:val="18"/>
                <w:color w:val="auto"/>
              </w:rPr>
              <w:t>NOTICE OF STOCKHOLDERS’ MEETINGS</w:t>
            </w: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7.2</w:t>
            </w:r>
          </w:p>
        </w:tc>
        <w:tc>
          <w:tcPr>
            <w:tcW w:w="9540" w:type="dxa"/>
            <w:vAlign w:val="bottom"/>
          </w:tcPr>
          <w:p>
            <w:pPr>
              <w:ind w:left="140"/>
              <w:spacing w:after="0"/>
              <w:rPr>
                <w:sz w:val="20"/>
                <w:szCs w:val="20"/>
                <w:color w:val="auto"/>
              </w:rPr>
            </w:pPr>
            <w:r>
              <w:rPr>
                <w:rFonts w:ascii="Arial" w:cs="Arial" w:eastAsia="Arial" w:hAnsi="Arial"/>
                <w:sz w:val="18"/>
                <w:szCs w:val="18"/>
                <w:color w:val="auto"/>
              </w:rPr>
              <w:t>NOTICE BY ELECTRONIC TRANSMISSION</w:t>
            </w: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7.3</w:t>
            </w:r>
          </w:p>
        </w:tc>
        <w:tc>
          <w:tcPr>
            <w:tcW w:w="9540" w:type="dxa"/>
            <w:vAlign w:val="bottom"/>
          </w:tcPr>
          <w:p>
            <w:pPr>
              <w:ind w:left="140"/>
              <w:spacing w:after="0"/>
              <w:rPr>
                <w:sz w:val="20"/>
                <w:szCs w:val="20"/>
                <w:color w:val="auto"/>
              </w:rPr>
            </w:pPr>
            <w:r>
              <w:rPr>
                <w:rFonts w:ascii="Arial" w:cs="Arial" w:eastAsia="Arial" w:hAnsi="Arial"/>
                <w:sz w:val="18"/>
                <w:szCs w:val="18"/>
                <w:color w:val="auto"/>
              </w:rPr>
              <w:t>NOTICE TO STOCKHOLDERS SHARING AN ADDRESS</w:t>
            </w: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7.4</w:t>
            </w:r>
          </w:p>
        </w:tc>
        <w:tc>
          <w:tcPr>
            <w:tcW w:w="9540" w:type="dxa"/>
            <w:vAlign w:val="bottom"/>
          </w:tcPr>
          <w:p>
            <w:pPr>
              <w:ind w:left="140"/>
              <w:spacing w:after="0"/>
              <w:rPr>
                <w:sz w:val="20"/>
                <w:szCs w:val="20"/>
                <w:color w:val="auto"/>
              </w:rPr>
            </w:pPr>
            <w:r>
              <w:rPr>
                <w:rFonts w:ascii="Arial" w:cs="Arial" w:eastAsia="Arial" w:hAnsi="Arial"/>
                <w:sz w:val="18"/>
                <w:szCs w:val="18"/>
                <w:color w:val="auto"/>
              </w:rPr>
              <w:t>NOTICE TO PERSON WITH WHOM COMMUNICATION IS UNLAWFUL</w:t>
            </w: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7.5</w:t>
            </w:r>
          </w:p>
        </w:tc>
        <w:tc>
          <w:tcPr>
            <w:tcW w:w="9540" w:type="dxa"/>
            <w:vAlign w:val="bottom"/>
          </w:tcPr>
          <w:p>
            <w:pPr>
              <w:ind w:left="140"/>
              <w:spacing w:after="0"/>
              <w:rPr>
                <w:sz w:val="20"/>
                <w:szCs w:val="20"/>
                <w:color w:val="auto"/>
              </w:rPr>
            </w:pPr>
            <w:r>
              <w:rPr>
                <w:rFonts w:ascii="Arial" w:cs="Arial" w:eastAsia="Arial" w:hAnsi="Arial"/>
                <w:sz w:val="18"/>
                <w:szCs w:val="18"/>
                <w:color w:val="auto"/>
              </w:rPr>
              <w:t>WAIVER OF NOTICE</w:t>
            </w: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0360" w:type="dxa"/>
            <w:vAlign w:val="bottom"/>
            <w:gridSpan w:val="2"/>
          </w:tcPr>
          <w:p>
            <w:pPr>
              <w:spacing w:after="0"/>
              <w:rPr>
                <w:sz w:val="20"/>
                <w:szCs w:val="20"/>
                <w:color w:val="auto"/>
              </w:rPr>
            </w:pPr>
            <w:r>
              <w:rPr>
                <w:rFonts w:ascii="Arial" w:cs="Arial" w:eastAsia="Arial" w:hAnsi="Arial"/>
                <w:sz w:val="18"/>
                <w:szCs w:val="18"/>
                <w:color w:val="auto"/>
              </w:rPr>
              <w:t>ARTICLE VIII - INDEMNIFICATION</w:t>
            </w: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0"/>
        </w:trPr>
        <w:tc>
          <w:tcPr>
            <w:tcW w:w="820" w:type="dxa"/>
            <w:vAlign w:val="bottom"/>
          </w:tcPr>
          <w:p>
            <w:pPr>
              <w:ind w:left="360"/>
              <w:spacing w:after="0"/>
              <w:rPr>
                <w:sz w:val="20"/>
                <w:szCs w:val="20"/>
                <w:color w:val="auto"/>
              </w:rPr>
            </w:pPr>
            <w:r>
              <w:rPr>
                <w:rFonts w:ascii="Arial" w:cs="Arial" w:eastAsia="Arial" w:hAnsi="Arial"/>
                <w:sz w:val="18"/>
                <w:szCs w:val="18"/>
                <w:color w:val="auto"/>
              </w:rPr>
              <w:t>8.1</w:t>
            </w:r>
          </w:p>
        </w:tc>
        <w:tc>
          <w:tcPr>
            <w:tcW w:w="9540" w:type="dxa"/>
            <w:vAlign w:val="bottom"/>
          </w:tcPr>
          <w:p>
            <w:pPr>
              <w:ind w:left="140"/>
              <w:spacing w:after="0"/>
              <w:rPr>
                <w:sz w:val="20"/>
                <w:szCs w:val="20"/>
                <w:color w:val="auto"/>
              </w:rPr>
            </w:pPr>
            <w:r>
              <w:rPr>
                <w:rFonts w:ascii="Arial" w:cs="Arial" w:eastAsia="Arial" w:hAnsi="Arial"/>
                <w:sz w:val="18"/>
                <w:szCs w:val="18"/>
                <w:color w:val="auto"/>
              </w:rPr>
              <w:t>INDEMNIFICATION OF DIRECTORS AND OFFICERS IN THIRD PARTY PROCEEDINGS</w:t>
            </w: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8.2</w:t>
            </w:r>
          </w:p>
        </w:tc>
        <w:tc>
          <w:tcPr>
            <w:tcW w:w="9540" w:type="dxa"/>
            <w:vAlign w:val="bottom"/>
          </w:tcPr>
          <w:p>
            <w:pPr>
              <w:ind w:left="140"/>
              <w:spacing w:after="0"/>
              <w:rPr>
                <w:sz w:val="20"/>
                <w:szCs w:val="20"/>
                <w:color w:val="auto"/>
              </w:rPr>
            </w:pPr>
            <w:r>
              <w:rPr>
                <w:rFonts w:ascii="Arial" w:cs="Arial" w:eastAsia="Arial" w:hAnsi="Arial"/>
                <w:sz w:val="18"/>
                <w:szCs w:val="18"/>
                <w:color w:val="auto"/>
                <w:w w:val="99"/>
              </w:rPr>
              <w:t>INDEMNIFICATION OF DIRECTORS AND OFFICERS IN ACTIONS BY OR IN THE RIGHT OF THE CORPORATION</w:t>
            </w: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8.3</w:t>
            </w:r>
          </w:p>
        </w:tc>
        <w:tc>
          <w:tcPr>
            <w:tcW w:w="9540" w:type="dxa"/>
            <w:vAlign w:val="bottom"/>
          </w:tcPr>
          <w:p>
            <w:pPr>
              <w:ind w:left="140"/>
              <w:spacing w:after="0"/>
              <w:rPr>
                <w:sz w:val="20"/>
                <w:szCs w:val="20"/>
                <w:color w:val="auto"/>
              </w:rPr>
            </w:pPr>
            <w:r>
              <w:rPr>
                <w:rFonts w:ascii="Arial" w:cs="Arial" w:eastAsia="Arial" w:hAnsi="Arial"/>
                <w:sz w:val="18"/>
                <w:szCs w:val="18"/>
                <w:color w:val="auto"/>
              </w:rPr>
              <w:t>SUCCESSFUL DEFENSE</w:t>
            </w: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8.4</w:t>
            </w:r>
          </w:p>
        </w:tc>
        <w:tc>
          <w:tcPr>
            <w:tcW w:w="9540" w:type="dxa"/>
            <w:vAlign w:val="bottom"/>
          </w:tcPr>
          <w:p>
            <w:pPr>
              <w:ind w:left="140"/>
              <w:spacing w:after="0"/>
              <w:rPr>
                <w:sz w:val="20"/>
                <w:szCs w:val="20"/>
                <w:color w:val="auto"/>
              </w:rPr>
            </w:pPr>
            <w:r>
              <w:rPr>
                <w:rFonts w:ascii="Arial" w:cs="Arial" w:eastAsia="Arial" w:hAnsi="Arial"/>
                <w:sz w:val="18"/>
                <w:szCs w:val="18"/>
                <w:color w:val="auto"/>
              </w:rPr>
              <w:t>INDEMNIFICATION OF OTHERS</w:t>
            </w: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8.5</w:t>
            </w:r>
          </w:p>
        </w:tc>
        <w:tc>
          <w:tcPr>
            <w:tcW w:w="9540" w:type="dxa"/>
            <w:vAlign w:val="bottom"/>
          </w:tcPr>
          <w:p>
            <w:pPr>
              <w:ind w:left="140"/>
              <w:spacing w:after="0"/>
              <w:rPr>
                <w:sz w:val="20"/>
                <w:szCs w:val="20"/>
                <w:color w:val="auto"/>
              </w:rPr>
            </w:pPr>
            <w:r>
              <w:rPr>
                <w:rFonts w:ascii="Arial" w:cs="Arial" w:eastAsia="Arial" w:hAnsi="Arial"/>
                <w:sz w:val="18"/>
                <w:szCs w:val="18"/>
                <w:color w:val="auto"/>
              </w:rPr>
              <w:t>ADVANCED PAYMENT OF EXPENSES</w:t>
            </w: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8.6</w:t>
            </w:r>
          </w:p>
        </w:tc>
        <w:tc>
          <w:tcPr>
            <w:tcW w:w="9540" w:type="dxa"/>
            <w:vAlign w:val="bottom"/>
          </w:tcPr>
          <w:p>
            <w:pPr>
              <w:ind w:left="140"/>
              <w:spacing w:after="0"/>
              <w:rPr>
                <w:sz w:val="20"/>
                <w:szCs w:val="20"/>
                <w:color w:val="auto"/>
              </w:rPr>
            </w:pPr>
            <w:r>
              <w:rPr>
                <w:rFonts w:ascii="Arial" w:cs="Arial" w:eastAsia="Arial" w:hAnsi="Arial"/>
                <w:sz w:val="18"/>
                <w:szCs w:val="18"/>
                <w:color w:val="auto"/>
              </w:rPr>
              <w:t>LIMITATION ON INDEMNIFICATION</w:t>
            </w: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8.7</w:t>
            </w:r>
          </w:p>
        </w:tc>
        <w:tc>
          <w:tcPr>
            <w:tcW w:w="9540" w:type="dxa"/>
            <w:vAlign w:val="bottom"/>
          </w:tcPr>
          <w:p>
            <w:pPr>
              <w:ind w:left="140"/>
              <w:spacing w:after="0"/>
              <w:rPr>
                <w:sz w:val="20"/>
                <w:szCs w:val="20"/>
                <w:color w:val="auto"/>
              </w:rPr>
            </w:pPr>
            <w:r>
              <w:rPr>
                <w:rFonts w:ascii="Arial" w:cs="Arial" w:eastAsia="Arial" w:hAnsi="Arial"/>
                <w:sz w:val="18"/>
                <w:szCs w:val="18"/>
                <w:color w:val="auto"/>
              </w:rPr>
              <w:t>DETERMINATION; CLAIM</w:t>
            </w: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8.8</w:t>
            </w:r>
          </w:p>
        </w:tc>
        <w:tc>
          <w:tcPr>
            <w:tcW w:w="9540" w:type="dxa"/>
            <w:vAlign w:val="bottom"/>
          </w:tcPr>
          <w:p>
            <w:pPr>
              <w:ind w:left="140"/>
              <w:spacing w:after="0"/>
              <w:rPr>
                <w:sz w:val="20"/>
                <w:szCs w:val="20"/>
                <w:color w:val="auto"/>
              </w:rPr>
            </w:pPr>
            <w:r>
              <w:rPr>
                <w:rFonts w:ascii="Arial" w:cs="Arial" w:eastAsia="Arial" w:hAnsi="Arial"/>
                <w:sz w:val="18"/>
                <w:szCs w:val="18"/>
                <w:color w:val="auto"/>
              </w:rPr>
              <w:t>NON-EXCLUSIVITY OF RIGHTS</w:t>
            </w: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8.9</w:t>
            </w:r>
          </w:p>
        </w:tc>
        <w:tc>
          <w:tcPr>
            <w:tcW w:w="9540" w:type="dxa"/>
            <w:vAlign w:val="bottom"/>
          </w:tcPr>
          <w:p>
            <w:pPr>
              <w:ind w:left="140"/>
              <w:spacing w:after="0"/>
              <w:rPr>
                <w:sz w:val="20"/>
                <w:szCs w:val="20"/>
                <w:color w:val="auto"/>
              </w:rPr>
            </w:pPr>
            <w:r>
              <w:rPr>
                <w:rFonts w:ascii="Arial" w:cs="Arial" w:eastAsia="Arial" w:hAnsi="Arial"/>
                <w:sz w:val="18"/>
                <w:szCs w:val="18"/>
                <w:color w:val="auto"/>
              </w:rPr>
              <w:t>INSURANCE</w:t>
            </w: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8.10</w:t>
            </w:r>
          </w:p>
        </w:tc>
        <w:tc>
          <w:tcPr>
            <w:tcW w:w="9540" w:type="dxa"/>
            <w:vAlign w:val="bottom"/>
          </w:tcPr>
          <w:p>
            <w:pPr>
              <w:ind w:left="140"/>
              <w:spacing w:after="0"/>
              <w:rPr>
                <w:sz w:val="20"/>
                <w:szCs w:val="20"/>
                <w:color w:val="auto"/>
              </w:rPr>
            </w:pPr>
            <w:r>
              <w:rPr>
                <w:rFonts w:ascii="Arial" w:cs="Arial" w:eastAsia="Arial" w:hAnsi="Arial"/>
                <w:sz w:val="18"/>
                <w:szCs w:val="18"/>
                <w:color w:val="auto"/>
              </w:rPr>
              <w:t>SURVIVAL</w:t>
            </w: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8.11</w:t>
            </w:r>
          </w:p>
        </w:tc>
        <w:tc>
          <w:tcPr>
            <w:tcW w:w="9540" w:type="dxa"/>
            <w:vAlign w:val="bottom"/>
          </w:tcPr>
          <w:p>
            <w:pPr>
              <w:ind w:left="140"/>
              <w:spacing w:after="0"/>
              <w:rPr>
                <w:sz w:val="20"/>
                <w:szCs w:val="20"/>
                <w:color w:val="auto"/>
              </w:rPr>
            </w:pPr>
            <w:r>
              <w:rPr>
                <w:rFonts w:ascii="Arial" w:cs="Arial" w:eastAsia="Arial" w:hAnsi="Arial"/>
                <w:sz w:val="18"/>
                <w:szCs w:val="18"/>
                <w:color w:val="auto"/>
              </w:rPr>
              <w:t>EFFECT OF REPEAL OR MODIFICATION</w:t>
            </w: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8.12</w:t>
            </w:r>
          </w:p>
        </w:tc>
        <w:tc>
          <w:tcPr>
            <w:tcW w:w="9540" w:type="dxa"/>
            <w:vAlign w:val="bottom"/>
          </w:tcPr>
          <w:p>
            <w:pPr>
              <w:ind w:left="140"/>
              <w:spacing w:after="0"/>
              <w:rPr>
                <w:sz w:val="20"/>
                <w:szCs w:val="20"/>
                <w:color w:val="auto"/>
              </w:rPr>
            </w:pPr>
            <w:r>
              <w:rPr>
                <w:rFonts w:ascii="Arial" w:cs="Arial" w:eastAsia="Arial" w:hAnsi="Arial"/>
                <w:sz w:val="18"/>
                <w:szCs w:val="18"/>
                <w:color w:val="auto"/>
              </w:rPr>
              <w:t>CERTAIN DEFINITIONS</w:t>
            </w: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0360" w:type="dxa"/>
            <w:vAlign w:val="bottom"/>
            <w:gridSpan w:val="2"/>
          </w:tcPr>
          <w:p>
            <w:pPr>
              <w:spacing w:after="0"/>
              <w:rPr>
                <w:sz w:val="20"/>
                <w:szCs w:val="20"/>
                <w:color w:val="auto"/>
              </w:rPr>
            </w:pPr>
            <w:r>
              <w:rPr>
                <w:rFonts w:ascii="Arial" w:cs="Arial" w:eastAsia="Arial" w:hAnsi="Arial"/>
                <w:sz w:val="18"/>
                <w:szCs w:val="18"/>
                <w:color w:val="auto"/>
              </w:rPr>
              <w:t>ARTICLE IX - GENERAL MATTERS</w:t>
            </w: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0"/>
        </w:trPr>
        <w:tc>
          <w:tcPr>
            <w:tcW w:w="820" w:type="dxa"/>
            <w:vAlign w:val="bottom"/>
          </w:tcPr>
          <w:p>
            <w:pPr>
              <w:ind w:left="360"/>
              <w:spacing w:after="0"/>
              <w:rPr>
                <w:sz w:val="20"/>
                <w:szCs w:val="20"/>
                <w:color w:val="auto"/>
              </w:rPr>
            </w:pPr>
            <w:r>
              <w:rPr>
                <w:rFonts w:ascii="Arial" w:cs="Arial" w:eastAsia="Arial" w:hAnsi="Arial"/>
                <w:sz w:val="18"/>
                <w:szCs w:val="18"/>
                <w:color w:val="auto"/>
              </w:rPr>
              <w:t>9.1</w:t>
            </w:r>
          </w:p>
        </w:tc>
        <w:tc>
          <w:tcPr>
            <w:tcW w:w="9540" w:type="dxa"/>
            <w:vAlign w:val="bottom"/>
          </w:tcPr>
          <w:p>
            <w:pPr>
              <w:ind w:left="140"/>
              <w:spacing w:after="0"/>
              <w:rPr>
                <w:sz w:val="20"/>
                <w:szCs w:val="20"/>
                <w:color w:val="auto"/>
              </w:rPr>
            </w:pPr>
            <w:r>
              <w:rPr>
                <w:rFonts w:ascii="Arial" w:cs="Arial" w:eastAsia="Arial" w:hAnsi="Arial"/>
                <w:sz w:val="18"/>
                <w:szCs w:val="18"/>
                <w:color w:val="auto"/>
              </w:rPr>
              <w:t>EXECUTION OF CORPORATE CONTRACTS AND INSTRUMENTS</w:t>
            </w: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9.2</w:t>
            </w:r>
          </w:p>
        </w:tc>
        <w:tc>
          <w:tcPr>
            <w:tcW w:w="9540" w:type="dxa"/>
            <w:vAlign w:val="bottom"/>
          </w:tcPr>
          <w:p>
            <w:pPr>
              <w:ind w:left="140"/>
              <w:spacing w:after="0"/>
              <w:rPr>
                <w:sz w:val="20"/>
                <w:szCs w:val="20"/>
                <w:color w:val="auto"/>
              </w:rPr>
            </w:pPr>
            <w:r>
              <w:rPr>
                <w:rFonts w:ascii="Arial" w:cs="Arial" w:eastAsia="Arial" w:hAnsi="Arial"/>
                <w:sz w:val="18"/>
                <w:szCs w:val="18"/>
                <w:color w:val="auto"/>
              </w:rPr>
              <w:t>FISCAL YEAR</w:t>
            </w: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9.3</w:t>
            </w:r>
          </w:p>
        </w:tc>
        <w:tc>
          <w:tcPr>
            <w:tcW w:w="9540" w:type="dxa"/>
            <w:vAlign w:val="bottom"/>
          </w:tcPr>
          <w:p>
            <w:pPr>
              <w:ind w:left="140"/>
              <w:spacing w:after="0"/>
              <w:rPr>
                <w:sz w:val="20"/>
                <w:szCs w:val="20"/>
                <w:color w:val="auto"/>
              </w:rPr>
            </w:pPr>
            <w:r>
              <w:rPr>
                <w:rFonts w:ascii="Arial" w:cs="Arial" w:eastAsia="Arial" w:hAnsi="Arial"/>
                <w:sz w:val="18"/>
                <w:szCs w:val="18"/>
                <w:color w:val="auto"/>
              </w:rPr>
              <w:t>SEAL</w:t>
            </w: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9.4</w:t>
            </w:r>
          </w:p>
        </w:tc>
        <w:tc>
          <w:tcPr>
            <w:tcW w:w="9540" w:type="dxa"/>
            <w:vAlign w:val="bottom"/>
          </w:tcPr>
          <w:p>
            <w:pPr>
              <w:ind w:left="140"/>
              <w:spacing w:after="0"/>
              <w:rPr>
                <w:sz w:val="20"/>
                <w:szCs w:val="20"/>
                <w:color w:val="auto"/>
              </w:rPr>
            </w:pPr>
            <w:r>
              <w:rPr>
                <w:rFonts w:ascii="Arial" w:cs="Arial" w:eastAsia="Arial" w:hAnsi="Arial"/>
                <w:sz w:val="18"/>
                <w:szCs w:val="18"/>
                <w:color w:val="auto"/>
              </w:rPr>
              <w:t>CONSTRUCTION; DEFINITIONS</w:t>
            </w: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0" w:right="49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TABLE OF CONTENTS</w:t>
      </w:r>
    </w:p>
    <w:p>
      <w:pPr>
        <w:spacing w:after="0" w:line="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139" w:lineRule="exact"/>
        <w:rPr>
          <w:sz w:val="20"/>
          <w:szCs w:val="20"/>
          <w:color w:val="auto"/>
        </w:rPr>
      </w:pPr>
    </w:p>
    <w:p>
      <w:pPr>
        <w:ind w:left="10660"/>
        <w:spacing w:after="0"/>
        <w:rPr>
          <w:sz w:val="20"/>
          <w:szCs w:val="20"/>
          <w:color w:val="auto"/>
        </w:rPr>
      </w:pPr>
      <w:r>
        <w:rPr>
          <w:rFonts w:ascii="Arial" w:cs="Arial" w:eastAsia="Arial" w:hAnsi="Arial"/>
          <w:sz w:val="12"/>
          <w:szCs w:val="12"/>
          <w:i w:val="1"/>
          <w:iCs w:val="1"/>
          <w:color w:val="auto"/>
        </w:rPr>
        <w:t>Page</w:t>
      </w:r>
    </w:p>
    <w:p>
      <w:pPr>
        <w:sectPr>
          <w:pgSz w:w="11900" w:h="16838" w:orient="portrait"/>
          <w:cols w:equalWidth="0" w:num="1">
            <w:col w:w="10960"/>
          </w:cols>
          <w:pgMar w:left="440" w:top="270" w:right="499" w:bottom="1440" w:gutter="0" w:footer="0" w:header="0"/>
        </w:sectPr>
      </w:pP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ARTICLE X - AMENDMENTS</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26</w:t>
      </w:r>
    </w:p>
    <w:p>
      <w:pPr>
        <w:spacing w:after="0" w:line="110" w:lineRule="exact"/>
        <w:rPr>
          <w:sz w:val="20"/>
          <w:szCs w:val="20"/>
          <w:color w:val="auto"/>
        </w:rPr>
      </w:pPr>
    </w:p>
    <w:p>
      <w:pPr>
        <w:sectPr>
          <w:pgSz w:w="11900" w:h="16838" w:orient="portrait"/>
          <w:cols w:equalWidth="0" w:num="2">
            <w:col w:w="10060" w:space="720"/>
            <w:col w:w="180"/>
          </w:cols>
          <w:pgMar w:left="440" w:top="270" w:right="499" w:bottom="1440" w:gutter="0" w:footer="0" w:header="0"/>
          <w:type w:val="continuous"/>
        </w:sectPr>
      </w:pPr>
    </w:p>
    <w:p>
      <w:pPr>
        <w:spacing w:after="0"/>
        <w:rPr>
          <w:sz w:val="20"/>
          <w:szCs w:val="20"/>
          <w:color w:val="auto"/>
        </w:rPr>
      </w:pPr>
      <w:r>
        <w:rPr>
          <w:rFonts w:ascii="Arial" w:cs="Arial" w:eastAsia="Arial" w:hAnsi="Arial"/>
          <w:sz w:val="17"/>
          <w:szCs w:val="17"/>
          <w:color w:val="auto"/>
        </w:rPr>
        <w:t>ARTICLE XI - EXCLUSIVE FORUM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26</w:t>
      </w:r>
    </w:p>
    <w:p>
      <w:pPr>
        <w:spacing w:after="0" w:line="180" w:lineRule="exact"/>
        <w:rPr>
          <w:sz w:val="20"/>
          <w:szCs w:val="20"/>
          <w:color w:val="auto"/>
        </w:rPr>
      </w:pPr>
    </w:p>
    <w:p>
      <w:pPr>
        <w:sectPr>
          <w:pgSz w:w="11900" w:h="16838" w:orient="portrait"/>
          <w:cols w:equalWidth="0" w:num="2">
            <w:col w:w="10060" w:space="720"/>
            <w:col w:w="180"/>
          </w:cols>
          <w:pgMar w:left="440" w:top="270" w:right="499" w:bottom="1440" w:gutter="0" w:footer="0" w:header="0"/>
          <w:type w:val="continuous"/>
        </w:sect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0" w:right="499" w:bottom="1440" w:gutter="0" w:footer="0" w:header="0"/>
          <w:type w:val="continuous"/>
        </w:sectPr>
      </w:pPr>
    </w:p>
    <w:bookmarkStart w:id="13" w:name="page14"/>
    <w:bookmarkEnd w:id="13"/>
    <w:p>
      <w:pPr>
        <w:jc w:val="center"/>
        <w:ind w:right="-8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BYLAWS OF ALX ONCOLOGY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ARTICLE I - CORPORATE OFFICES</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1.1 REGISTERED OFFICE</w:t>
      </w:r>
    </w:p>
    <w:p>
      <w:pPr>
        <w:spacing w:after="0" w:line="117"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The registered office of ALX Oncology Holdings Inc. shall be fixed in the corporation’s certificate of incorporation, as the same may be amended from time to time.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1.2 OTHER OFFICES</w:t>
      </w:r>
    </w:p>
    <w:p>
      <w:pPr>
        <w:spacing w:after="0" w:line="117" w:lineRule="exact"/>
        <w:rPr>
          <w:sz w:val="20"/>
          <w:szCs w:val="20"/>
          <w:color w:val="auto"/>
        </w:rPr>
      </w:pPr>
    </w:p>
    <w:p>
      <w:pPr>
        <w:ind w:left="4" w:right="600" w:firstLine="440"/>
        <w:spacing w:after="0" w:line="277" w:lineRule="auto"/>
        <w:rPr>
          <w:sz w:val="20"/>
          <w:szCs w:val="20"/>
          <w:color w:val="auto"/>
        </w:rPr>
      </w:pPr>
      <w:r>
        <w:rPr>
          <w:rFonts w:ascii="Arial" w:cs="Arial" w:eastAsia="Arial" w:hAnsi="Arial"/>
          <w:sz w:val="18"/>
          <w:szCs w:val="18"/>
          <w:color w:val="auto"/>
        </w:rPr>
        <w:t>The corporation’s board of directors may at any time establish other offices at any place or places where the corporation is qualified to do business.</w:t>
      </w:r>
    </w:p>
    <w:p>
      <w:pPr>
        <w:spacing w:after="0" w:line="382"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ARTICLE II - MEETINGS OF STOCKHOLDERS</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2.1 PLACE OF MEETINGS</w:t>
      </w:r>
    </w:p>
    <w:p>
      <w:pPr>
        <w:spacing w:after="0" w:line="117" w:lineRule="exact"/>
        <w:rPr>
          <w:sz w:val="20"/>
          <w:szCs w:val="20"/>
          <w:color w:val="auto"/>
        </w:rPr>
      </w:pPr>
    </w:p>
    <w:p>
      <w:pPr>
        <w:ind w:left="4" w:right="80" w:firstLine="440"/>
        <w:spacing w:after="0" w:line="279" w:lineRule="auto"/>
        <w:rPr>
          <w:sz w:val="20"/>
          <w:szCs w:val="20"/>
          <w:color w:val="auto"/>
        </w:rPr>
      </w:pPr>
      <w:r>
        <w:rPr>
          <w:rFonts w:ascii="Arial" w:cs="Arial" w:eastAsia="Arial" w:hAnsi="Arial"/>
          <w:sz w:val="17"/>
          <w:szCs w:val="17"/>
          <w:color w:val="auto"/>
        </w:rPr>
        <w:t>Meetings of stockholders shall be held at any place, within or outside the State of Delaware, determined by the board of directors. The board of directors may, in its sole discretion, determine that a meeting of stockholders shall not be held at any place, but may instead be held solely by means of remote communication as authorized by Section 211(a)(2) of the Delaware General Corporation Law (the “</w:t>
      </w:r>
      <w:r>
        <w:rPr>
          <w:rFonts w:ascii="Arial" w:cs="Arial" w:eastAsia="Arial" w:hAnsi="Arial"/>
          <w:sz w:val="17"/>
          <w:szCs w:val="17"/>
          <w:b w:val="1"/>
          <w:bCs w:val="1"/>
          <w:color w:val="auto"/>
        </w:rPr>
        <w:t>DGCL</w:t>
      </w:r>
      <w:r>
        <w:rPr>
          <w:rFonts w:ascii="Arial" w:cs="Arial" w:eastAsia="Arial" w:hAnsi="Arial"/>
          <w:sz w:val="17"/>
          <w:szCs w:val="17"/>
          <w:color w:val="auto"/>
        </w:rPr>
        <w:t>”). In the absence of any such designation or determination, stockholders’ meetings shall be held at the corporation’s principal executive office.</w:t>
      </w:r>
    </w:p>
    <w:p>
      <w:pPr>
        <w:spacing w:after="0" w:line="17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2.2 ANNUAL MEETING</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annual meeting of stockholders shall be held at such place, on such day and at such time as may be fixed by the board of directors each year.</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At the annual meeting, directors shall be elected and any other proper business may be transacted.</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2.3 SPECIAL MEETING</w:t>
      </w:r>
    </w:p>
    <w:p>
      <w:pPr>
        <w:spacing w:after="0" w:line="117" w:lineRule="exact"/>
        <w:rPr>
          <w:sz w:val="20"/>
          <w:szCs w:val="20"/>
          <w:color w:val="auto"/>
        </w:rPr>
      </w:pPr>
    </w:p>
    <w:p>
      <w:pPr>
        <w:ind w:left="1204" w:hanging="213"/>
        <w:spacing w:after="0"/>
        <w:tabs>
          <w:tab w:leader="none" w:pos="1204" w:val="left"/>
        </w:tabs>
        <w:numPr>
          <w:ilvl w:val="1"/>
          <w:numId w:val="3"/>
        </w:numPr>
        <w:rPr>
          <w:rFonts w:ascii="Arial" w:cs="Arial" w:eastAsia="Arial" w:hAnsi="Arial"/>
          <w:sz w:val="16"/>
          <w:szCs w:val="16"/>
          <w:color w:val="auto"/>
        </w:rPr>
      </w:pPr>
      <w:r>
        <w:rPr>
          <w:rFonts w:ascii="Arial" w:cs="Arial" w:eastAsia="Arial" w:hAnsi="Arial"/>
          <w:sz w:val="16"/>
          <w:szCs w:val="16"/>
          <w:color w:val="auto"/>
        </w:rPr>
        <w:t>A special meeting of the stockholders, other than those required by statute, may be called at any time by (A) the board of directors,</w:t>
      </w:r>
    </w:p>
    <w:p>
      <w:pPr>
        <w:spacing w:after="0" w:line="46" w:lineRule="exact"/>
        <w:rPr>
          <w:rFonts w:ascii="Arial" w:cs="Arial" w:eastAsia="Arial" w:hAnsi="Arial"/>
          <w:sz w:val="16"/>
          <w:szCs w:val="16"/>
          <w:color w:val="auto"/>
        </w:rPr>
      </w:pPr>
    </w:p>
    <w:p>
      <w:pPr>
        <w:ind w:left="4" w:right="60" w:hanging="4"/>
        <w:spacing w:after="0" w:line="277" w:lineRule="auto"/>
        <w:tabs>
          <w:tab w:leader="none" w:pos="289"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chairperson of the board of directors, (C) the chief executive officer or (D) the president (in the absence of a chief executive officer), but a special meeting may not be called by any other person or persons. The board of directors may cancel, postpone or reschedule any previously scheduled special meeting at any time, before or after the notice for such meeting has been sent to the stockholders.</w:t>
      </w:r>
    </w:p>
    <w:p>
      <w:pPr>
        <w:sectPr>
          <w:pgSz w:w="11900" w:h="16838" w:orient="portrait"/>
          <w:cols w:equalWidth="0" w:num="1">
            <w:col w:w="10944"/>
          </w:cols>
          <w:pgMar w:left="436" w:top="270" w:right="519" w:bottom="1440" w:gutter="0" w:footer="0" w:header="0"/>
        </w:sectPr>
      </w:pPr>
    </w:p>
    <w:bookmarkStart w:id="14" w:name="page15"/>
    <w:bookmarkEnd w:id="14"/>
    <w:p>
      <w:pPr>
        <w:ind w:right="20" w:firstLine="987"/>
        <w:spacing w:after="0" w:line="279" w:lineRule="auto"/>
        <w:tabs>
          <w:tab w:leader="none" w:pos="1256" w:val="left"/>
        </w:tabs>
        <w:numPr>
          <w:ilvl w:val="0"/>
          <w:numId w:val="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notice of a special meeting shall include the purpose for which the meeting is called. Only such business shall be conducted at a special meeting of stockholders as shall have been brought before the meeting by or at the direction of the board of directors, chairperson of the board of directors, chief executive officer or president (in the absence of a chief executive officer). Nothing contained in this Section 2.3(ii) shall be construed as limiting, fixing or affecting the time when a meeting of stockholders called by action of the board of directors may be held.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2.4 ADVANCE NOTICE PROCEDURES</w:t>
      </w:r>
    </w:p>
    <w:p>
      <w:pPr>
        <w:spacing w:after="0" w:line="117" w:lineRule="exact"/>
        <w:rPr>
          <w:sz w:val="20"/>
          <w:szCs w:val="20"/>
          <w:color w:val="auto"/>
        </w:rPr>
      </w:pPr>
    </w:p>
    <w:p>
      <w:pPr>
        <w:ind w:firstLine="987"/>
        <w:spacing w:after="0" w:line="269" w:lineRule="auto"/>
        <w:tabs>
          <w:tab w:leader="none" w:pos="1206"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Advance Notice of Stockholder Business. </w:t>
      </w:r>
      <w:r>
        <w:rPr>
          <w:rFonts w:ascii="Arial" w:cs="Arial" w:eastAsia="Arial" w:hAnsi="Arial"/>
          <w:sz w:val="17"/>
          <w:szCs w:val="17"/>
          <w:color w:val="auto"/>
        </w:rPr>
        <w:t>At an annual meeting of the stockholders, only such business shall be conducted as shall have</w:t>
      </w:r>
      <w:r>
        <w:rPr>
          <w:rFonts w:ascii="Arial" w:cs="Arial" w:eastAsia="Arial" w:hAnsi="Arial"/>
          <w:sz w:val="17"/>
          <w:szCs w:val="17"/>
          <w:i w:val="1"/>
          <w:iCs w:val="1"/>
          <w:color w:val="auto"/>
        </w:rPr>
        <w:t xml:space="preserve"> </w:t>
      </w:r>
      <w:r>
        <w:rPr>
          <w:rFonts w:ascii="Arial" w:cs="Arial" w:eastAsia="Arial" w:hAnsi="Arial"/>
          <w:sz w:val="17"/>
          <w:szCs w:val="17"/>
          <w:color w:val="auto"/>
        </w:rPr>
        <w:t>been properly brought before the meeting. To be properly brought before an annual meeting, business must be brought (A) pursuant to the corporation’s proxy materials with respect to such meeting, (B) by or at the direction of the board of directors, or (C) by a stockholder of the corporation who (1) is a stockholder of record at the time of the giving of the notice required by this Section 2.4(i) and on the record date for the determination of stockholders entitled to vote at the annual meeting and (2) has timely complied in proper written form with the notice procedures set forth in this Section 2.4(i). In addition, for business to be properly brought before an annual meeting by a stockholder, such business must be a proper matter for stockholder action pursuant to these bylaws and applicable law. Except for proposals properly made in accordance with Rule 14a-8 under the Securities Exchange Act of 1934, as amended (the “</w:t>
      </w:r>
      <w:r>
        <w:rPr>
          <w:rFonts w:ascii="Arial" w:cs="Arial" w:eastAsia="Arial" w:hAnsi="Arial"/>
          <w:sz w:val="17"/>
          <w:szCs w:val="17"/>
          <w:b w:val="1"/>
          <w:bCs w:val="1"/>
          <w:color w:val="auto"/>
        </w:rPr>
        <w:t>1934 Act</w:t>
      </w:r>
      <w:r>
        <w:rPr>
          <w:rFonts w:ascii="Arial" w:cs="Arial" w:eastAsia="Arial" w:hAnsi="Arial"/>
          <w:sz w:val="17"/>
          <w:szCs w:val="17"/>
          <w:color w:val="auto"/>
        </w:rPr>
        <w:t>”) and the rules and regulations thereunder (as so amended and inclusive of such rules and regulations), and included in the notice of meeting given by or at the direction of the board of directors, for the avoidance of doubt, clause (C) above shall be the exclusive means for a stockholder to bring business before an annual meeting of stockholders.</w:t>
      </w:r>
    </w:p>
    <w:p>
      <w:pPr>
        <w:spacing w:after="0" w:line="77" w:lineRule="exact"/>
        <w:rPr>
          <w:rFonts w:ascii="Arial" w:cs="Arial" w:eastAsia="Arial" w:hAnsi="Arial"/>
          <w:sz w:val="17"/>
          <w:szCs w:val="17"/>
          <w:color w:val="auto"/>
        </w:rPr>
      </w:pPr>
    </w:p>
    <w:p>
      <w:pPr>
        <w:ind w:right="60" w:firstLine="1428"/>
        <w:spacing w:after="0" w:line="283" w:lineRule="auto"/>
        <w:tabs>
          <w:tab w:leader="none" w:pos="1677" w:val="left"/>
        </w:tabs>
        <w:numPr>
          <w:ilvl w:val="1"/>
          <w:numId w:val="6"/>
        </w:numPr>
        <w:rPr>
          <w:rFonts w:ascii="Arial" w:cs="Arial" w:eastAsia="Arial" w:hAnsi="Arial"/>
          <w:sz w:val="16"/>
          <w:szCs w:val="16"/>
          <w:color w:val="auto"/>
        </w:rPr>
      </w:pPr>
      <w:r>
        <w:rPr>
          <w:rFonts w:ascii="Arial" w:cs="Arial" w:eastAsia="Arial" w:hAnsi="Arial"/>
          <w:sz w:val="16"/>
          <w:szCs w:val="16"/>
          <w:color w:val="auto"/>
        </w:rPr>
        <w:t xml:space="preserve">To comply with clause (C) of Section 2.4(i) above, a stockholder’s notice must set forth all information required under this Section 2.4(i) and must be timely received by the secretary of the corporation. To be timely, a stockholder’s notice must be received by the secretary at the principal executive offices of the corporation not later than the 45th day nor earlier than the 75th day before the one-year anniversary of the date on which the corporation first mailed its proxy materials or a notice of availability of proxy materials (whichever is earlier) for the preceding year’s annual meeting;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event that no annual meeting was held in the previous year or if the date of the annual meeting is advanced by more than 30 days prior to or delayed by more than 60 days after the one-year anniversary of the date of the previous year’s annual meeting, then, for notice by the stockholder to be timely, it must be so received by the secretary not earlier than the close of business on the 120th day prior to such annual meeting and not later than the close of business on the later of (i) the 90th day prior to such annual meeting, or (ii) the tenth day following the day on which Public Announcement (as defined below) of the date of such annual meeting is first made. In no event shall any adjournment or postponement of an annual meeting or the announcement thereof commence a new time period for the giving of a stockholder’s notice as described in this Section 2.4(i)</w:t>
      </w:r>
    </w:p>
    <w:p>
      <w:pPr>
        <w:spacing w:after="0" w:line="4" w:lineRule="exact"/>
        <w:rPr>
          <w:rFonts w:ascii="Arial" w:cs="Arial" w:eastAsia="Arial" w:hAnsi="Arial"/>
          <w:sz w:val="16"/>
          <w:szCs w:val="16"/>
          <w:color w:val="auto"/>
        </w:rPr>
      </w:pPr>
    </w:p>
    <w:p>
      <w:pPr>
        <w:ind w:right="640"/>
        <w:spacing w:after="0" w:line="290" w:lineRule="auto"/>
        <w:rPr>
          <w:rFonts w:ascii="Arial" w:cs="Arial" w:eastAsia="Arial" w:hAnsi="Arial"/>
          <w:sz w:val="16"/>
          <w:szCs w:val="16"/>
          <w:color w:val="auto"/>
        </w:rPr>
      </w:pPr>
      <w:r>
        <w:rPr>
          <w:rFonts w:ascii="Arial" w:cs="Arial" w:eastAsia="Arial" w:hAnsi="Arial"/>
          <w:sz w:val="17"/>
          <w:szCs w:val="17"/>
          <w:color w:val="auto"/>
        </w:rPr>
        <w:t>(a). “</w:t>
      </w:r>
      <w:r>
        <w:rPr>
          <w:rFonts w:ascii="Arial" w:cs="Arial" w:eastAsia="Arial" w:hAnsi="Arial"/>
          <w:sz w:val="17"/>
          <w:szCs w:val="17"/>
          <w:b w:val="1"/>
          <w:bCs w:val="1"/>
          <w:color w:val="auto"/>
        </w:rPr>
        <w:t>Public Announcement</w:t>
      </w:r>
      <w:r>
        <w:rPr>
          <w:rFonts w:ascii="Arial" w:cs="Arial" w:eastAsia="Arial" w:hAnsi="Arial"/>
          <w:sz w:val="17"/>
          <w:szCs w:val="17"/>
          <w:color w:val="auto"/>
        </w:rPr>
        <w:t>” shall mean disclosure in a press release reported by a national news service or in a document publicly filed by the corporation with the Securities and Exchange Commission pursuant to Section 13, 14 or 15(d) of the 1934 Act.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5" w:name="page16"/>
    <w:bookmarkEnd w:id="15"/>
    <w:p>
      <w:pPr>
        <w:ind w:left="-40" w:right="20" w:firstLine="1428"/>
        <w:spacing w:after="0" w:line="285" w:lineRule="auto"/>
        <w:tabs>
          <w:tab w:leader="none" w:pos="1647" w:val="left"/>
        </w:tabs>
        <w:numPr>
          <w:ilvl w:val="1"/>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be in proper written form, a stockholder’s notice to the secretary must set forth as to each matter of business the stockholder intends to bring before the annual meeting: (1) a brief description of the business intended to be brought before the annual meeting and the reasons for conducting such business at the annual meeting, (2) the name and address, as they appear on the corporation’s books, of the stockholder proposing such business and any Stockholder Associated Person (as defined below), (3) the class and number of shares of the corporation that are held of record or are beneficially owned by the stockholder or any Stockholder Associated Person and any derivative positions held or beneficially held by the stockholder or any Stockholder Associated Person, (4) whether and the extent to which any hedging or other transaction or series of transactions has been entered into by or on behalf of such stockholder or any Stockholder Associated Person with respect to any securities of the corporation, and a description of any other agreement, arrangement or understanding (including any short position or any borrowing or lending of shares), the effect or intent of which is to mitigate loss to, or to manage the risk or benefit from share price changes for, or to increase or decrease the voting power of, such stockholder or any Stockholder Associated Person with respect to any securities of the corporation, (5) any material interest of the stockholder or a Stockholder Associated Person in such business, and (6) a statement whether either such stockholder or any Stockholder Associated Person will deliver a proxy statement and form of proxy to holders of at least the percentage of the corporation’s voting shares required under applicable law to carry the proposal (such information provided and statements made as required by clauses (1) through (6), a “</w:t>
      </w:r>
      <w:r>
        <w:rPr>
          <w:rFonts w:ascii="Arial" w:cs="Arial" w:eastAsia="Arial" w:hAnsi="Arial"/>
          <w:sz w:val="16"/>
          <w:szCs w:val="16"/>
          <w:b w:val="1"/>
          <w:bCs w:val="1"/>
          <w:color w:val="auto"/>
        </w:rPr>
        <w:t>Business Solicitation Statement</w:t>
      </w:r>
      <w:r>
        <w:rPr>
          <w:rFonts w:ascii="Arial" w:cs="Arial" w:eastAsia="Arial" w:hAnsi="Arial"/>
          <w:sz w:val="16"/>
          <w:szCs w:val="16"/>
          <w:color w:val="auto"/>
        </w:rPr>
        <w:t>”). In addition, to be in proper written form, a stockholder’s notice to the secretary must be supplemented not later than ten days following the record date for notice of the meeting to disclose the information contained in clauses (3) and (4) above as of the record date for notice of the meeting. For purposes of this Section 2.4, a “</w:t>
      </w:r>
      <w:r>
        <w:rPr>
          <w:rFonts w:ascii="Arial" w:cs="Arial" w:eastAsia="Arial" w:hAnsi="Arial"/>
          <w:sz w:val="16"/>
          <w:szCs w:val="16"/>
          <w:b w:val="1"/>
          <w:bCs w:val="1"/>
          <w:color w:val="auto"/>
        </w:rPr>
        <w:t>Stockholder Associated Person</w:t>
      </w:r>
      <w:r>
        <w:rPr>
          <w:rFonts w:ascii="Arial" w:cs="Arial" w:eastAsia="Arial" w:hAnsi="Arial"/>
          <w:sz w:val="16"/>
          <w:szCs w:val="16"/>
          <w:color w:val="auto"/>
        </w:rPr>
        <w:t>” of any stockholder shall mean (i) any person controlling, directly or indirectly, or acting in concert with, such stockholder, (ii) any beneficial owner of shares of stock of the corporation owned of record or beneficially by such stockholder and on whose behalf the proposal or nomination, as the case may be, is being made, or (iii) any person controlling, controlled by or under common control with such person referred to in the preceding clauses (i) and (ii).</w:t>
      </w:r>
    </w:p>
    <w:p>
      <w:pPr>
        <w:spacing w:after="0" w:line="279" w:lineRule="exact"/>
        <w:rPr>
          <w:rFonts w:ascii="Arial" w:cs="Arial" w:eastAsia="Arial" w:hAnsi="Arial"/>
          <w:sz w:val="16"/>
          <w:szCs w:val="16"/>
          <w:color w:val="auto"/>
        </w:rPr>
      </w:pPr>
    </w:p>
    <w:p>
      <w:pPr>
        <w:ind w:left="-40" w:firstLine="1428"/>
        <w:spacing w:after="0" w:line="271" w:lineRule="auto"/>
        <w:tabs>
          <w:tab w:leader="none" w:pos="1637" w:val="left"/>
        </w:tabs>
        <w:numPr>
          <w:ilvl w:val="1"/>
          <w:numId w:val="7"/>
        </w:numPr>
        <w:rPr>
          <w:rFonts w:ascii="Arial" w:cs="Arial" w:eastAsia="Arial" w:hAnsi="Arial"/>
          <w:sz w:val="17"/>
          <w:szCs w:val="17"/>
          <w:color w:val="auto"/>
        </w:rPr>
      </w:pPr>
      <w:r>
        <w:rPr>
          <w:rFonts w:ascii="Arial" w:cs="Arial" w:eastAsia="Arial" w:hAnsi="Arial"/>
          <w:sz w:val="17"/>
          <w:szCs w:val="17"/>
          <w:color w:val="auto"/>
        </w:rPr>
        <w:t>Without exception, no business shall be conducted at any annual meeting except in accordance with the provisions set forth in this Section 2.4(i) and, if applicable, Section 2.4(ii). In addition, business proposed to be brought by a stockholder may not be brought before the annual meeting if such stockholder or a Stockholder Associated Person, as applicable, takes action contrary to the representations made in the Business Solicitation Statement applicable to such business or if the Business Solicitation Statement applicable to such business contains an untrue statement of a material fact or omits to state a material fact necessary to make the statements therein not misleading. The chairperson of the annual meeting shall, if the facts warrant, determine and declare at the annual meeting that business was not properly brought before the annual meeting and in accordance with the provisions of this Section 2.4(i), and, if the chairperson should so determine, he or she shall so declare at the annual meeting that any such business not properly brought before the annual meeting shall not be conducted.</w:t>
      </w:r>
    </w:p>
    <w:p>
      <w:pPr>
        <w:spacing w:after="0" w:line="70" w:lineRule="exact"/>
        <w:rPr>
          <w:rFonts w:ascii="Arial" w:cs="Arial" w:eastAsia="Arial" w:hAnsi="Arial"/>
          <w:sz w:val="17"/>
          <w:szCs w:val="17"/>
          <w:color w:val="auto"/>
        </w:rPr>
      </w:pPr>
    </w:p>
    <w:p>
      <w:pPr>
        <w:ind w:left="-40" w:right="60" w:firstLine="987"/>
        <w:spacing w:after="0" w:line="263" w:lineRule="auto"/>
        <w:tabs>
          <w:tab w:leader="none" w:pos="1216"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Advance Notice of Director Nominations at Annual Meetings. </w:t>
      </w:r>
      <w:r>
        <w:rPr>
          <w:rFonts w:ascii="Arial" w:cs="Arial" w:eastAsia="Arial" w:hAnsi="Arial"/>
          <w:sz w:val="18"/>
          <w:szCs w:val="18"/>
          <w:color w:val="auto"/>
        </w:rPr>
        <w:t>Notwithstanding anything in these bylaws to the contrary, only persons</w:t>
      </w:r>
      <w:r>
        <w:rPr>
          <w:rFonts w:ascii="Arial" w:cs="Arial" w:eastAsia="Arial" w:hAnsi="Arial"/>
          <w:sz w:val="18"/>
          <w:szCs w:val="18"/>
          <w:i w:val="1"/>
          <w:iCs w:val="1"/>
          <w:color w:val="auto"/>
        </w:rPr>
        <w:t xml:space="preserve"> </w:t>
      </w:r>
      <w:r>
        <w:rPr>
          <w:rFonts w:ascii="Arial" w:cs="Arial" w:eastAsia="Arial" w:hAnsi="Arial"/>
          <w:sz w:val="18"/>
          <w:szCs w:val="18"/>
          <w:color w:val="auto"/>
        </w:rPr>
        <w:t>who are nominated in accordance with the procedures set forth in this Section 2.4(ii) shall be eligible for election or re-election as directors at an annual meeting of stockholders. Nominations of persons for election to the board of directors of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80" w:top="274" w:right="479" w:bottom="1440" w:gutter="0" w:footer="0" w:header="0"/>
        </w:sectPr>
      </w:pPr>
    </w:p>
    <w:bookmarkStart w:id="16" w:name="page17"/>
    <w:bookmarkEnd w:id="16"/>
    <w:p>
      <w:pPr>
        <w:ind w:left="4"/>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corporation shall be made at an annual meeting of stockholders only (A) by or at the direction of the board of directors or (B) by a stockholder of the corporation who (1) was a stockholder of record at the time of the giving of the notice required by this Section 2.4(ii), on the record date for the determination of stockholders entitled to notice of the annual meeting and on the record date for the determination of stockholders entitled to vote at the annual meeting and (2) has complied with the notice procedures set forth in this Section 2.4(ii). In addition to any other applicable requirements, for a nomination to be made by a stockholder, the stockholder must have given timely notice thereof in proper written form to the secretary of the corporation.</w:t>
      </w:r>
    </w:p>
    <w:p>
      <w:pPr>
        <w:spacing w:after="0" w:line="53" w:lineRule="exact"/>
        <w:rPr>
          <w:sz w:val="20"/>
          <w:szCs w:val="20"/>
          <w:color w:val="auto"/>
        </w:rPr>
      </w:pPr>
    </w:p>
    <w:p>
      <w:pPr>
        <w:ind w:left="4" w:right="340" w:firstLine="1428"/>
        <w:spacing w:after="0" w:line="263" w:lineRule="auto"/>
        <w:tabs>
          <w:tab w:leader="none" w:pos="1681"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comply with clause (B) of Section 2.4(ii) above, a nomination to be made by a stockholder must set forth all information required under this Section 2.4(ii) and must be received by the secretary of the corporation at the principal executive offices of the corporation at the time set forth in, and in accordance with, the final three sentences of Section 2.4(i)(a) above.</w:t>
      </w:r>
    </w:p>
    <w:p>
      <w:pPr>
        <w:spacing w:after="0" w:line="75" w:lineRule="exact"/>
        <w:rPr>
          <w:rFonts w:ascii="Arial" w:cs="Arial" w:eastAsia="Arial" w:hAnsi="Arial"/>
          <w:sz w:val="18"/>
          <w:szCs w:val="18"/>
          <w:color w:val="auto"/>
        </w:rPr>
      </w:pPr>
    </w:p>
    <w:p>
      <w:pPr>
        <w:ind w:left="1684" w:hanging="252"/>
        <w:spacing w:after="0"/>
        <w:tabs>
          <w:tab w:leader="none" w:pos="1684"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be in proper written form, such stockholder’s notice to the secretary must set forth:</w:t>
      </w:r>
    </w:p>
    <w:p>
      <w:pPr>
        <w:spacing w:after="0" w:line="113" w:lineRule="exact"/>
        <w:rPr>
          <w:rFonts w:ascii="Arial" w:cs="Arial" w:eastAsia="Arial" w:hAnsi="Arial"/>
          <w:sz w:val="18"/>
          <w:szCs w:val="18"/>
          <w:color w:val="auto"/>
        </w:rPr>
      </w:pPr>
    </w:p>
    <w:p>
      <w:pPr>
        <w:ind w:left="2244" w:hanging="261"/>
        <w:spacing w:after="0"/>
        <w:tabs>
          <w:tab w:leader="none" w:pos="2244" w:val="left"/>
        </w:tabs>
        <w:numPr>
          <w:ilvl w:val="2"/>
          <w:numId w:val="9"/>
        </w:numPr>
        <w:rPr>
          <w:rFonts w:ascii="Arial" w:cs="Arial" w:eastAsia="Arial" w:hAnsi="Arial"/>
          <w:sz w:val="16"/>
          <w:szCs w:val="16"/>
          <w:color w:val="auto"/>
        </w:rPr>
      </w:pPr>
      <w:r>
        <w:rPr>
          <w:rFonts w:ascii="Arial" w:cs="Arial" w:eastAsia="Arial" w:hAnsi="Arial"/>
          <w:sz w:val="16"/>
          <w:szCs w:val="16"/>
          <w:color w:val="auto"/>
        </w:rPr>
        <w:t>as to each person (a “</w:t>
      </w:r>
      <w:r>
        <w:rPr>
          <w:rFonts w:ascii="Arial" w:cs="Arial" w:eastAsia="Arial" w:hAnsi="Arial"/>
          <w:sz w:val="16"/>
          <w:szCs w:val="16"/>
          <w:b w:val="1"/>
          <w:bCs w:val="1"/>
          <w:color w:val="auto"/>
        </w:rPr>
        <w:t>nominee</w:t>
      </w:r>
      <w:r>
        <w:rPr>
          <w:rFonts w:ascii="Arial" w:cs="Arial" w:eastAsia="Arial" w:hAnsi="Arial"/>
          <w:sz w:val="16"/>
          <w:szCs w:val="16"/>
          <w:color w:val="auto"/>
        </w:rPr>
        <w:t>”) whom the stockholder proposes to nominate for election or re-election as a director:</w:t>
      </w:r>
    </w:p>
    <w:p>
      <w:pPr>
        <w:spacing w:after="0" w:line="50" w:lineRule="exact"/>
        <w:rPr>
          <w:rFonts w:ascii="Arial" w:cs="Arial" w:eastAsia="Arial" w:hAnsi="Arial"/>
          <w:sz w:val="16"/>
          <w:szCs w:val="16"/>
          <w:color w:val="auto"/>
        </w:rPr>
      </w:pPr>
    </w:p>
    <w:p>
      <w:pPr>
        <w:ind w:left="4" w:right="40" w:hanging="4"/>
        <w:spacing w:after="0" w:line="267" w:lineRule="auto"/>
        <w:tabs>
          <w:tab w:leader="none" w:pos="299"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name, age, business address and residence address of the nominee, (B) the principal occupation or employment of the nominee, (C) the class and number of shares of the corporation that are held of record or are beneficially owned by the nominee and any derivative positions held or beneficially held by the nominee, (D) whether and the extent to which any hedging or other transaction or series of transactions has been entered into by or on behalf of the nominee with respect to any securities of the corporation,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 (E) a description of all arrangements or understandings between the stockholder and each nominee and any other person or persons (naming such person or persons) pursuant to which the nominations are to be made by the stockholder, (F) a written statement executed by the nominee acknowledging that as a director of the corporation, the nominee will owe a fiduciary duty under Delaware law with respect to the corporation and its stockholders, and (G) any other information relating to the nominee that would be required to be disclosed about such nominee if proxies were being solicited for the election of the nominee as a director, or that is otherwise required, in each case pursuant to Regulation 14A under the 1934 Act (including without limitation the nominee’s written consent to being named in the proxy statement, if any, as a nominee and to serving as a director if elected); and</w:t>
      </w:r>
    </w:p>
    <w:p>
      <w:pPr>
        <w:spacing w:after="0" w:line="76" w:lineRule="exact"/>
        <w:rPr>
          <w:rFonts w:ascii="Arial" w:cs="Arial" w:eastAsia="Arial" w:hAnsi="Arial"/>
          <w:sz w:val="17"/>
          <w:szCs w:val="17"/>
          <w:color w:val="auto"/>
        </w:rPr>
      </w:pPr>
    </w:p>
    <w:p>
      <w:pPr>
        <w:ind w:left="4" w:right="260" w:firstLine="1979"/>
        <w:spacing w:after="0" w:line="273" w:lineRule="auto"/>
        <w:tabs>
          <w:tab w:leader="none" w:pos="2242" w:val="left"/>
        </w:tabs>
        <w:numPr>
          <w:ilvl w:val="2"/>
          <w:numId w:val="10"/>
        </w:numPr>
        <w:rPr>
          <w:rFonts w:ascii="Arial" w:cs="Arial" w:eastAsia="Arial" w:hAnsi="Arial"/>
          <w:sz w:val="17"/>
          <w:szCs w:val="17"/>
          <w:color w:val="auto"/>
        </w:rPr>
      </w:pPr>
      <w:r>
        <w:rPr>
          <w:rFonts w:ascii="Arial" w:cs="Arial" w:eastAsia="Arial" w:hAnsi="Arial"/>
          <w:sz w:val="17"/>
          <w:szCs w:val="17"/>
          <w:color w:val="auto"/>
        </w:rPr>
        <w:t>as to such stockholder giving notice, (A) the information required to be provided pursuant to clauses (2) through (5) of Section 2.4(i)(b) above, and the supplement referenced in the second sentence of Section 2.4(i)(b) above (except that the references to “business” in such clauses shall instead refer to nominations of directors for purposes of this paragraph), and (B) a statement whether either such stockholder or Stockholder Associated Person will deliver a proxy statement and form of proxy to holders of a number of the corporation’s voting shares reasonably believed by such stockholder or Stockholder Associated Person to be necessary to elect such nominee(s) (such information provided and statements made as required by clauses (A) and (B) above, a “</w:t>
      </w:r>
      <w:r>
        <w:rPr>
          <w:rFonts w:ascii="Arial" w:cs="Arial" w:eastAsia="Arial" w:hAnsi="Arial"/>
          <w:sz w:val="17"/>
          <w:szCs w:val="17"/>
          <w:b w:val="1"/>
          <w:bCs w:val="1"/>
          <w:color w:val="auto"/>
        </w:rPr>
        <w:t>Nominee Solicitation Statement</w:t>
      </w:r>
      <w:r>
        <w:rPr>
          <w:rFonts w:ascii="Arial" w:cs="Arial" w:eastAsia="Arial" w:hAnsi="Arial"/>
          <w:sz w:val="17"/>
          <w:szCs w:val="17"/>
          <w:color w:val="auto"/>
        </w:rPr>
        <w:t>”).</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4"/>
          </w:cols>
          <w:pgMar w:left="436" w:top="274" w:right="439" w:bottom="1440" w:gutter="0" w:footer="0" w:header="0"/>
        </w:sectPr>
      </w:pPr>
    </w:p>
    <w:bookmarkStart w:id="17" w:name="page18"/>
    <w:bookmarkEnd w:id="17"/>
    <w:p>
      <w:pPr>
        <w:ind w:left="4" w:firstLine="1428"/>
        <w:spacing w:after="0" w:line="273" w:lineRule="auto"/>
        <w:tabs>
          <w:tab w:leader="none" w:pos="1681" w:val="left"/>
        </w:tabs>
        <w:numPr>
          <w:ilvl w:val="2"/>
          <w:numId w:val="1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 the request of the board of directors, any person nominated by a stockholder for election as a director must furnish to the secretary of the corporation (1) that information required to be set forth in the stockholder’s notice of nomination of such person as a director as of a date subsequent to the date on which the notice of such person’s nomination was given and (2) such other information as may reasonably be required by the corporation to determine the eligibility of such proposed nominee to serve as an independent director of the corporation or that could be material to a reasonable stockholder’s understanding of the independence, or lack thereof, of such nominee; in the absence of the furnishing of such information if requested, such stockholder’s nomination shall not be considered in proper form pursuant to this Section 2.4(ii).</w:t>
      </w:r>
    </w:p>
    <w:p>
      <w:pPr>
        <w:spacing w:after="0" w:line="69" w:lineRule="exact"/>
        <w:rPr>
          <w:rFonts w:ascii="Arial" w:cs="Arial" w:eastAsia="Arial" w:hAnsi="Arial"/>
          <w:sz w:val="17"/>
          <w:szCs w:val="17"/>
          <w:color w:val="auto"/>
        </w:rPr>
      </w:pPr>
    </w:p>
    <w:p>
      <w:pPr>
        <w:ind w:left="4" w:right="20" w:firstLine="1428"/>
        <w:spacing w:after="0" w:line="291" w:lineRule="auto"/>
        <w:tabs>
          <w:tab w:leader="none" w:pos="1691" w:val="left"/>
        </w:tabs>
        <w:numPr>
          <w:ilvl w:val="2"/>
          <w:numId w:val="11"/>
        </w:numPr>
        <w:rPr>
          <w:rFonts w:ascii="Arial" w:cs="Arial" w:eastAsia="Arial" w:hAnsi="Arial"/>
          <w:sz w:val="16"/>
          <w:szCs w:val="16"/>
          <w:color w:val="auto"/>
        </w:rPr>
      </w:pPr>
      <w:r>
        <w:rPr>
          <w:rFonts w:ascii="Arial" w:cs="Arial" w:eastAsia="Arial" w:hAnsi="Arial"/>
          <w:sz w:val="16"/>
          <w:szCs w:val="16"/>
          <w:color w:val="auto"/>
        </w:rPr>
        <w:t>Without exception, no person shall be eligible for election or re-election as a director of the corporation at an annual meeting of stockholders unless nominated in accordance with the provisions set forth in this Section 2.4(ii). In addition, a nominee shall not be eligible for election or re-election if a stockholder or Stockholder Associated Person, as applicable, takes action contrary to the representations made in the Nominee Solicitation Statement applicable to such nominee or if the Nominee Solicitation Statement applicable to such nominee contains an untrue statement of a material fact or omits to state a material fact necessary to make the statements therein not misleading. The chairperson of the annual meeting shall, if the facts warrant, determine and declare at the annual meeting that a nomination was not made in accordance with the provisions prescribed by these bylaws, and if the chairperson should so determine, he or she shall so declare at the annual meeting, and the defective nomination shall be disregarded.</w:t>
      </w:r>
    </w:p>
    <w:p>
      <w:pPr>
        <w:spacing w:after="0" w:line="58" w:lineRule="exact"/>
        <w:rPr>
          <w:rFonts w:ascii="Arial" w:cs="Arial" w:eastAsia="Arial" w:hAnsi="Arial"/>
          <w:sz w:val="16"/>
          <w:szCs w:val="16"/>
          <w:color w:val="auto"/>
        </w:rPr>
      </w:pPr>
    </w:p>
    <w:p>
      <w:pPr>
        <w:ind w:left="1304" w:hanging="313"/>
        <w:spacing w:after="0"/>
        <w:tabs>
          <w:tab w:leader="none" w:pos="1304"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Advance Notice of Director Nominations for Special Meetings.</w:t>
      </w:r>
    </w:p>
    <w:p>
      <w:pPr>
        <w:spacing w:after="0" w:line="117" w:lineRule="exact"/>
        <w:rPr>
          <w:rFonts w:ascii="Arial" w:cs="Arial" w:eastAsia="Arial" w:hAnsi="Arial"/>
          <w:sz w:val="18"/>
          <w:szCs w:val="18"/>
          <w:color w:val="auto"/>
        </w:rPr>
      </w:pPr>
    </w:p>
    <w:p>
      <w:pPr>
        <w:ind w:left="4" w:right="120" w:firstLine="1428"/>
        <w:spacing w:after="0" w:line="291" w:lineRule="auto"/>
        <w:tabs>
          <w:tab w:leader="none" w:pos="1681" w:val="left"/>
        </w:tabs>
        <w:numPr>
          <w:ilvl w:val="2"/>
          <w:numId w:val="12"/>
        </w:numPr>
        <w:rPr>
          <w:rFonts w:ascii="Arial" w:cs="Arial" w:eastAsia="Arial" w:hAnsi="Arial"/>
          <w:sz w:val="16"/>
          <w:szCs w:val="16"/>
          <w:color w:val="auto"/>
        </w:rPr>
      </w:pPr>
      <w:r>
        <w:rPr>
          <w:rFonts w:ascii="Arial" w:cs="Arial" w:eastAsia="Arial" w:hAnsi="Arial"/>
          <w:sz w:val="16"/>
          <w:szCs w:val="16"/>
          <w:color w:val="auto"/>
        </w:rPr>
        <w:t>For a special meeting of stockholders at which directors are to be elected pursuant to Section 2.3, nominations of persons for election to the board of directors shall be made only (1) by or at the direction of the board of directors or (2) by any stockholder of the corporation who</w:t>
      </w:r>
    </w:p>
    <w:p>
      <w:pPr>
        <w:ind w:left="4" w:right="20" w:hanging="4"/>
        <w:spacing w:after="0" w:line="285" w:lineRule="auto"/>
        <w:tabs>
          <w:tab w:leader="none" w:pos="299" w:val="left"/>
        </w:tabs>
        <w:numPr>
          <w:ilvl w:val="0"/>
          <w:numId w:val="13"/>
        </w:numPr>
        <w:rPr>
          <w:rFonts w:ascii="Arial" w:cs="Arial" w:eastAsia="Arial" w:hAnsi="Arial"/>
          <w:sz w:val="16"/>
          <w:szCs w:val="16"/>
          <w:color w:val="auto"/>
        </w:rPr>
      </w:pPr>
      <w:r>
        <w:rPr>
          <w:rFonts w:ascii="Arial" w:cs="Arial" w:eastAsia="Arial" w:hAnsi="Arial"/>
          <w:sz w:val="16"/>
          <w:szCs w:val="16"/>
          <w:color w:val="auto"/>
        </w:rPr>
        <w:t>is a stockholder of record at the time of the giving of the notice required by this Section 2.4(iii), on the record date for the determination of stockholders entitled to notice of the special meeting and on the record date for the determination of stockholders entitled to vote at the special meeting and (B) delivers a timely written notice of the nomination to the secretary of the corporation that includes the information set forth in Sections 2.4(ii)(b) and (ii)(c) above. To be timely, such notice must be received by the secretary at the principal executive offices of the corporation not later than the close of business on the later of the 90th day prior to such special meeting or the tenth day following the day on which Public Announcement is first made of the date of the special meeting and of the nominees proposed by the board of directors to be elected at such meeting. A person shall not be eligible for election or re-election as a director at a special meeting unless the person is nominated (i) by or at the direction of the board of directors or (ii) by a stockholder in accordance with the notice procedures set forth in this Section 2.4(iii). In addition, a nominee shall not be eligible for election or re-election if a stockholder or Stockholder Associated Person, as applicable, takes action contrary to the representations made in the Nominee Solicitation Statement applicable to such nominee or if the Nominee Solicitation Statement applicable to such nominee contains an untrue statement of a material fact or omits to state a material fact necessary to make the statements therein not misleading.</w:t>
      </w:r>
    </w:p>
    <w:p>
      <w:pPr>
        <w:spacing w:after="0" w:line="10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18" w:name="page19"/>
    <w:bookmarkEnd w:id="18"/>
    <w:p>
      <w:pPr>
        <w:ind w:right="400" w:firstLine="1428"/>
        <w:spacing w:after="0" w:line="263" w:lineRule="auto"/>
        <w:tabs>
          <w:tab w:leader="none" w:pos="1687" w:val="left"/>
        </w:tabs>
        <w:numPr>
          <w:ilvl w:val="1"/>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chairperson of the special meeting shall, if the facts warrant, determine and declare at the meeting that a nomination or business was not made in accordance with the procedures prescribed by these bylaws, and if the chairperson should so determine, he or she shall so declare at the meeting, and the defective nomination or business shall be disregarded.</w:t>
      </w:r>
    </w:p>
    <w:p>
      <w:pPr>
        <w:spacing w:after="0" w:line="75" w:lineRule="exact"/>
        <w:rPr>
          <w:rFonts w:ascii="Arial" w:cs="Arial" w:eastAsia="Arial" w:hAnsi="Arial"/>
          <w:sz w:val="18"/>
          <w:szCs w:val="18"/>
          <w:color w:val="auto"/>
        </w:rPr>
      </w:pPr>
    </w:p>
    <w:p>
      <w:pPr>
        <w:ind w:right="20" w:firstLine="987"/>
        <w:spacing w:after="0" w:line="255" w:lineRule="auto"/>
        <w:tabs>
          <w:tab w:leader="none" w:pos="1296"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Other Requirements and Rights. </w:t>
      </w:r>
      <w:r>
        <w:rPr>
          <w:rFonts w:ascii="Arial" w:cs="Arial" w:eastAsia="Arial" w:hAnsi="Arial"/>
          <w:sz w:val="18"/>
          <w:szCs w:val="18"/>
          <w:color w:val="auto"/>
        </w:rPr>
        <w:t>In addition to the foregoing provisions of this Section 2.4, a stockholder must also comply with all</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requirements of state law and of the 1934 Act and the rules and regulations thereunder with respect to the matters set forth in this Section 2.4, including, with respect to business such stockholder intends to bring before the annual meeting that involves a proposal that such stockholder requests to be included in the corporation’s proxy statement, the requirements of Rule 14a-8 (or any successor provision) under the 1934 Act. Nothing in this Section 2.4 shall be deemed to affect any right of the corporation to omit a proposal from the corporation’s proxy statement pursuant to Rule 14a-8 (or any successor provision) under the 1934 Act.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2.5 NOTICE OF STOCKHOLDERS’ MEETINGS</w:t>
      </w:r>
    </w:p>
    <w:p>
      <w:pPr>
        <w:spacing w:after="0" w:line="117"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Whenever stockholders are required or permitted to take any action at a meeting, a written notice of the meeting shall be given which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written notice of any meeting of stockholders shall be given not less than 10 nor more than 60 days before the date of the meeting to each stockholder entitled to vote at such meeting as of the record date for determining the stockholders entitled to notice of the meeting.</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2.6 QUORUM</w:t>
      </w:r>
    </w:p>
    <w:p>
      <w:pPr>
        <w:spacing w:after="0" w:line="117"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The holders of a majority of the stock issued and outstanding and entitled to vote, present in person or represented by proxy, shall constitute a quorum for the transaction of business at all meetings of the stockholders. Where a separate vote by a class or series or classes or series is required, a majority of the outstanding shares of such class or series or classes or series, present in person or represented by proxy, shall constitute a quorum entitled to take action with respect to that vote on that matter, except as otherwise provided by law, the certificate of incorporation or these bylaws.</w:t>
      </w:r>
    </w:p>
    <w:p>
      <w:pPr>
        <w:spacing w:after="0" w:line="49"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If, however, such quorum is not present or represented at any meeting of the stockholders, then either (i) the chairperson of the meeting, or (ii) the stockholders entitled to vote at the meeting,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meeting as originally noticed.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9" w:name="page20"/>
    <w:bookmarkEnd w:id="1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2.7 ADJOURNED MEETING; NOTICE</w:t>
      </w:r>
    </w:p>
    <w:p>
      <w:pPr>
        <w:spacing w:after="0" w:line="117"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corporation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213(a) of the DGCL and Section 2.11 of these bylaws, and shall give notice of the adjourned meeting to each stockholder of record entitled to vote at such adjourned meeting as of the record date fixed for notice of such adjourned meeting.</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2.8 CONDUCT OF BUSINESS</w:t>
      </w:r>
    </w:p>
    <w:p>
      <w:pPr>
        <w:spacing w:after="0" w:line="11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The chairperson of any meeting of stockholders shall determine the order of business and the procedure at the meeting, including such regulation of the manner of voting and the conduct of business. The chairperson of any meeting of stockholders shall be designated by the board of directors; in the absence of such designation, the chairperson of the board, if any, the chief executive officer (in the absence of the chairperson) or the president (in the absence of the chairperson of the board and the chief executive officer), or in their absence any other executive officer of the corporation, shall serve as chairperson of the stockholder meeting.</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2.9 VOTING</w:t>
      </w:r>
    </w:p>
    <w:p>
      <w:pPr>
        <w:spacing w:after="0" w:line="117"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The stockholders entitled to vote at any meeting of stockholders shall be determined in accordance with the provisions of Section 2.11 of these bylaws, subject to Section 217 (relating to voting rights of fiduciaries, pledgors and joint owners of stock) and Section 218 (relating to voting trusts and other voting agreements) of the DGCL.</w:t>
      </w:r>
    </w:p>
    <w:p>
      <w:pPr>
        <w:spacing w:after="0" w:line="184"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Except as may be otherwise provided in the certificate of incorporation or these bylaws, each stockholder shall be entitled to one vote for each share of capital stock held by such stockholder.</w:t>
      </w:r>
    </w:p>
    <w:p>
      <w:pPr>
        <w:spacing w:after="0" w:line="170"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Except as otherwise required by law, the certificate of incorporation or these bylaws,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0" w:name="page21"/>
    <w:bookmarkEnd w:id="20"/>
    <w:p>
      <w:pPr>
        <w:jc w:val="both"/>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directors. Where a separate vote by a class or series or classes or series is required, in all matters other than the election of directors, the affirmative vote of the majority of shares of such class or series or classes or series present in person or represented by proxy at the meeting shall be the act of such class or series or classes or series, except as otherwise provided by law, the certificate of incorporation or these bylaws.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2.10 STOCKHOLDER ACTION BY WRITTEN CONSENT WITHOUT A MEETING</w:t>
      </w:r>
    </w:p>
    <w:p>
      <w:pPr>
        <w:spacing w:after="0" w:line="117"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Subject to the rights of the holders of the shares of any series of preferred stock or any other class of stock or series thereof having a preference over the common stock as dividend or upon liquidation,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2.11 RECORD DATES</w:t>
      </w:r>
    </w:p>
    <w:p>
      <w:pPr>
        <w:spacing w:after="0" w:line="117"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spacing w:after="0" w:line="161"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8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A determination of stockholders of record entitled to notice of or to vote at a meeting of stockholders shall apply to any adjournment of the meeting;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Section 213 of the DGCL and this Section 2.11 at the adjourned meeting.</w:t>
      </w:r>
    </w:p>
    <w:p>
      <w:pPr>
        <w:spacing w:after="0" w:line="188"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21" w:name="page22"/>
    <w:bookmarkEnd w:id="2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2.12 PROXIES</w:t>
      </w:r>
    </w:p>
    <w:p>
      <w:pPr>
        <w:spacing w:after="0" w:line="117" w:lineRule="exact"/>
        <w:rPr>
          <w:sz w:val="20"/>
          <w:szCs w:val="20"/>
          <w:color w:val="auto"/>
        </w:rPr>
      </w:pPr>
    </w:p>
    <w:p>
      <w:pPr>
        <w:ind w:right="120" w:firstLine="440"/>
        <w:spacing w:after="0" w:line="273" w:lineRule="auto"/>
        <w:rPr>
          <w:sz w:val="20"/>
          <w:szCs w:val="20"/>
          <w:color w:val="auto"/>
        </w:rPr>
      </w:pPr>
      <w:r>
        <w:rPr>
          <w:rFonts w:ascii="Arial" w:cs="Arial" w:eastAsia="Arial" w:hAnsi="Arial"/>
          <w:sz w:val="17"/>
          <w:szCs w:val="17"/>
          <w:color w:val="auto"/>
        </w:rPr>
        <w:t>Each stockholder entitled to vote at a meeting of stockholders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years from its date, unless the proxy provides for a longer period. The revocability of a proxy that states on its face that it is irrevocable shall be governed by the provisions of Section 212 of the DGCL. A written proxy may be in the form of a telegram, cablegram, or other means of electronic transmission which sets forth or is submitted with information from which it can be determined that the telegram, cablegram, or other means of electronic transmission was authorized by the person.</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2.13 LIST OF STOCKHOLDERS ENTITLED TO VOTE</w:t>
      </w:r>
    </w:p>
    <w:p>
      <w:pPr>
        <w:spacing w:after="0" w:line="117"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The corporation shall prepare, at least 10 days before every meeting of stockholders, a complete list of the stockholders entitled to vote at the meeting;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10 days prior to the meeting: (i) on a reasonably accessible electronic network,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information required to gain access to such list is provided with the notice of the meeting, or (ii) during ordinary business hours, at the corporation’s principal place of business. In the event that the corporation determines to make the list available on an electronic network, the corporation may take reasonable steps to ensure that such information is available only to stockholders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such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2.14 INSPECTORS OF ELECTION</w:t>
      </w:r>
    </w:p>
    <w:p>
      <w:pPr>
        <w:spacing w:after="0" w:line="117" w:lineRule="exact"/>
        <w:rPr>
          <w:sz w:val="20"/>
          <w:szCs w:val="20"/>
          <w:color w:val="auto"/>
        </w:rPr>
      </w:pPr>
    </w:p>
    <w:p>
      <w:pPr>
        <w:ind w:right="140" w:firstLine="440"/>
        <w:spacing w:after="0" w:line="311" w:lineRule="auto"/>
        <w:rPr>
          <w:sz w:val="20"/>
          <w:szCs w:val="20"/>
          <w:color w:val="auto"/>
        </w:rPr>
      </w:pPr>
      <w:r>
        <w:rPr>
          <w:rFonts w:ascii="Arial" w:cs="Arial" w:eastAsia="Arial" w:hAnsi="Arial"/>
          <w:sz w:val="16"/>
          <w:szCs w:val="16"/>
          <w:color w:val="auto"/>
        </w:rPr>
        <w:t>Before any meeting of stockholders, the board of directors shall appoint an inspector or inspectors of election to act at the meeting or its adjournment. The number of inspectors shall be either one (1) or three (3). If any person appointed as inspector fails to appear or fails or refuses to act, then the chairperson of the meeting may, and upon the request of any stockholder or a stockholder’s proxy shall, appoint a person to fill that vacancy.</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22" w:name="page23"/>
    <w:bookmarkEnd w:id="2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inspectors shall:</w:t>
      </w:r>
    </w:p>
    <w:p>
      <w:pPr>
        <w:spacing w:after="0" w:line="117" w:lineRule="exact"/>
        <w:rPr>
          <w:sz w:val="20"/>
          <w:szCs w:val="20"/>
          <w:color w:val="auto"/>
        </w:rPr>
      </w:pPr>
    </w:p>
    <w:p>
      <w:pPr>
        <w:ind w:left="1200" w:hanging="213"/>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ascertain the number of shares outstanding and the voting power of each;</w:t>
      </w:r>
    </w:p>
    <w:p>
      <w:pPr>
        <w:spacing w:after="0" w:line="117" w:lineRule="exact"/>
        <w:rPr>
          <w:rFonts w:ascii="Arial" w:cs="Arial" w:eastAsia="Arial" w:hAnsi="Arial"/>
          <w:sz w:val="18"/>
          <w:szCs w:val="18"/>
          <w:color w:val="auto"/>
        </w:rPr>
      </w:pPr>
    </w:p>
    <w:p>
      <w:pPr>
        <w:ind w:left="1260" w:hanging="273"/>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determine the shares represented at the meeting and the validity of proxies and ballots;</w:t>
      </w:r>
    </w:p>
    <w:p>
      <w:pPr>
        <w:spacing w:after="0" w:line="117" w:lineRule="exact"/>
        <w:rPr>
          <w:rFonts w:ascii="Arial" w:cs="Arial" w:eastAsia="Arial" w:hAnsi="Arial"/>
          <w:sz w:val="18"/>
          <w:szCs w:val="18"/>
          <w:color w:val="auto"/>
        </w:rPr>
      </w:pPr>
    </w:p>
    <w:p>
      <w:pPr>
        <w:ind w:left="1300" w:hanging="313"/>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count all votes and ballots;</w:t>
      </w:r>
    </w:p>
    <w:p>
      <w:pPr>
        <w:spacing w:after="0" w:line="117" w:lineRule="exact"/>
        <w:rPr>
          <w:rFonts w:ascii="Arial" w:cs="Arial" w:eastAsia="Arial" w:hAnsi="Arial"/>
          <w:sz w:val="18"/>
          <w:szCs w:val="18"/>
          <w:color w:val="auto"/>
        </w:rPr>
      </w:pPr>
    </w:p>
    <w:p>
      <w:pPr>
        <w:ind w:left="1300" w:hanging="313"/>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determine and retain for a reasonable period a record of the disposition of any challenges made to any determination by the inspectors;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 certify their determination of the number of shares represented at the meeting, and their count of all votes and ballots.</w:t>
      </w:r>
    </w:p>
    <w:p>
      <w:pPr>
        <w:spacing w:after="0" w:line="225" w:lineRule="exact"/>
        <w:rPr>
          <w:sz w:val="20"/>
          <w:szCs w:val="20"/>
          <w:color w:val="auto"/>
        </w:rPr>
      </w:pPr>
    </w:p>
    <w:p>
      <w:pPr>
        <w:ind w:right="240" w:firstLine="440"/>
        <w:spacing w:after="0" w:line="286" w:lineRule="auto"/>
        <w:rPr>
          <w:sz w:val="20"/>
          <w:szCs w:val="20"/>
          <w:color w:val="auto"/>
        </w:rPr>
      </w:pPr>
      <w:r>
        <w:rPr>
          <w:rFonts w:ascii="Arial" w:cs="Arial" w:eastAsia="Arial" w:hAnsi="Arial"/>
          <w:sz w:val="17"/>
          <w:szCs w:val="17"/>
          <w:color w:val="auto"/>
        </w:rPr>
        <w:t xml:space="preserve">The inspectors of election shall perform their duties impartially, in good faith, to the best of their ability and as expeditiously as is practical. If there are three (3) inspectors of election, the decision, act or certificate of a majority is effective in all respects as the decision, act or certificate of all. Any report or certificate made by the inspectors of election is </w:t>
      </w:r>
      <w:r>
        <w:rPr>
          <w:rFonts w:ascii="Arial" w:cs="Arial" w:eastAsia="Arial" w:hAnsi="Arial"/>
          <w:sz w:val="17"/>
          <w:szCs w:val="17"/>
          <w:i w:val="1"/>
          <w:iCs w:val="1"/>
          <w:color w:val="auto"/>
        </w:rPr>
        <w:t>prima facie</w:t>
      </w:r>
      <w:r>
        <w:rPr>
          <w:rFonts w:ascii="Arial" w:cs="Arial" w:eastAsia="Arial" w:hAnsi="Arial"/>
          <w:sz w:val="17"/>
          <w:szCs w:val="17"/>
          <w:color w:val="auto"/>
        </w:rPr>
        <w:t xml:space="preserve"> evidence of the facts stated therein.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 - DIRECTORS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3.1 POWERS</w:t>
      </w:r>
    </w:p>
    <w:p>
      <w:pPr>
        <w:spacing w:after="0" w:line="117"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The business and affairs of the corporation shall be managed by or under the direction of the board of directors, except as may be otherwise provided in the DGCL or the certificate of incorporation.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3.2 NUMBER OF DIRECTORS</w:t>
      </w:r>
    </w:p>
    <w:p>
      <w:pPr>
        <w:spacing w:after="0" w:line="117"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The board of directors shall consist of one or more members, each of whom shall be a natural person. Unless the certificate of incorporation fixes the number of directors, the number of directors shall be determined from time to time by resolution of the board of directors. No reduction of the authorized number of directors shall have the effect of removing any director before that director’s term of office expires.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3.3 ELECTION, QUALIFICATION AND TERM OF OFFICE OF DIRECTORS</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Except as provided in Section 3.4 of these bylaws, each director, including a director elected to fill a vacancy,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certificate of incorporation or these bylaws may prescribe other qualifications for directors.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23" w:name="page24"/>
    <w:bookmarkEnd w:id="2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so provided in the certificate of incorporation, the directors of the corporation shall be divided into three classes.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3.4 RESIGNATION AND VACANCIES</w:t>
      </w:r>
    </w:p>
    <w:p>
      <w:pPr>
        <w:spacing w:after="0" w:line="11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Any director may resign at any time upon notice given in writing or by electronic transmission to the corporation.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78" w:lineRule="exact"/>
        <w:rPr>
          <w:sz w:val="20"/>
          <w:szCs w:val="20"/>
          <w:color w:val="auto"/>
        </w:rPr>
      </w:pPr>
    </w:p>
    <w:p>
      <w:pPr>
        <w:ind w:right="160" w:firstLine="440"/>
        <w:spacing w:after="0" w:line="296" w:lineRule="auto"/>
        <w:rPr>
          <w:sz w:val="20"/>
          <w:szCs w:val="20"/>
          <w:color w:val="auto"/>
        </w:rPr>
      </w:pPr>
      <w:r>
        <w:rPr>
          <w:rFonts w:ascii="Arial" w:cs="Arial" w:eastAsia="Arial" w:hAnsi="Arial"/>
          <w:sz w:val="16"/>
          <w:szCs w:val="16"/>
          <w:color w:val="auto"/>
        </w:rPr>
        <w:t>Unless otherwise provided in the certificate of incorporation or these bylaws, 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 and not by stockholders. If the directors are divided into classes, a person so elected by the directors then in office to fill a vacancy or newly created directorship shall hold office until the next election of the class for which such director shall have been chosen and until his or her successor shall have been duly elected and qualified.</w:t>
      </w:r>
    </w:p>
    <w:p>
      <w:pPr>
        <w:spacing w:after="0" w:line="161"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If at any time, by reason of death or resignation or other cause, the corporation should have no directors in office, then any officer or any stockholder or an executor, administrator, trustee or guardian of a stockholder, or other fiduciary entrusted with like responsibility for the person or estate of a stockholder, may call a special meeting of stockholders in accordance with the provisions of the certificate of incorporation or these bylaws, or may apply to the Court of Chancery for a decree summarily ordering an election as provided in Section 211 of the DGCL.</w:t>
      </w:r>
    </w:p>
    <w:p>
      <w:pPr>
        <w:spacing w:after="0" w:line="171" w:lineRule="exact"/>
        <w:rPr>
          <w:sz w:val="20"/>
          <w:szCs w:val="20"/>
          <w:color w:val="auto"/>
        </w:rPr>
      </w:pPr>
    </w:p>
    <w:p>
      <w:pPr>
        <w:ind w:right="160" w:firstLine="440"/>
        <w:spacing w:after="0" w:line="275" w:lineRule="auto"/>
        <w:rPr>
          <w:sz w:val="20"/>
          <w:szCs w:val="20"/>
          <w:color w:val="auto"/>
        </w:rPr>
      </w:pPr>
      <w:r>
        <w:rPr>
          <w:rFonts w:ascii="Arial" w:cs="Arial" w:eastAsia="Arial" w:hAnsi="Arial"/>
          <w:sz w:val="17"/>
          <w:szCs w:val="17"/>
          <w:color w:val="auto"/>
        </w:rPr>
        <w:t>If, at the time of filling any vacancy or any newly created directorship, the directors then in office constitute less than a majority of the whole board of directors (as constituted immediately prior to any such increase), the Court of Chancery may, upon application of any stockholder or stockholders holding at least 10% of the voting stock at the time outstanding having the right to vote for such directors, summarily order an election to be held to fill any such vacancies or newly created directorships, or to replace the directors chosen by the directors then in office as aforesaid, which election shall be governed by the provisions of Section 211 of the DGCL as far as applicable.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24" w:name="page25"/>
    <w:bookmarkEnd w:id="2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3.5 PLACE OF MEETINGS; MEETINGS BY TELEPHONE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of directors may hold meetings, both regular and special, either within or outside the State of Delaware.</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Unless otherwise restricted by the certificate of incorporation or these bylaws, members of the board of directors, or any committee designated by the board of directors or any subcommittee, may participate in a meeting of the board of directors, or any such committee or subcommittee, by means of conference telephone or other communications equipment by means of which all persons participating in the meeting can hear each other, and such participation in a meeting shall constitute presence in person at the meeting.</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3.6 REGULAR MEETINGS</w:t>
      </w:r>
    </w:p>
    <w:p>
      <w:pPr>
        <w:spacing w:after="0" w:line="117"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Regular meetings of the board of directors may be held without notice at such time and at such place as shall from time to time be determined by the board of directors.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3.7 SPECIAL MEETINGS; NOTICE</w:t>
      </w:r>
    </w:p>
    <w:p>
      <w:pPr>
        <w:spacing w:after="0" w:line="117"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Special meetings of the board of directors for any purpose or purposes may be called at any time by the chairperson of the board of directors, the chief executive officer, the president, the secretary or a majority of the authorized number of directors.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Notice of the time and place of special meetings shall be:</w:t>
      </w:r>
    </w:p>
    <w:p>
      <w:pPr>
        <w:spacing w:after="0" w:line="117" w:lineRule="exact"/>
        <w:rPr>
          <w:sz w:val="20"/>
          <w:szCs w:val="20"/>
          <w:color w:val="auto"/>
        </w:rPr>
      </w:pPr>
    </w:p>
    <w:p>
      <w:pPr>
        <w:ind w:left="1200" w:hanging="213"/>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delivered personally by hand, by courier or by telephone;</w:t>
      </w:r>
    </w:p>
    <w:p>
      <w:pPr>
        <w:spacing w:after="0" w:line="117" w:lineRule="exact"/>
        <w:rPr>
          <w:rFonts w:ascii="Arial" w:cs="Arial" w:eastAsia="Arial" w:hAnsi="Arial"/>
          <w:sz w:val="18"/>
          <w:szCs w:val="18"/>
          <w:color w:val="auto"/>
        </w:rPr>
      </w:pPr>
    </w:p>
    <w:p>
      <w:pPr>
        <w:ind w:left="1260" w:hanging="273"/>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sent by United States first-class mail, postage prepaid;</w:t>
      </w:r>
    </w:p>
    <w:p>
      <w:pPr>
        <w:spacing w:after="0" w:line="117" w:lineRule="exact"/>
        <w:rPr>
          <w:rFonts w:ascii="Arial" w:cs="Arial" w:eastAsia="Arial" w:hAnsi="Arial"/>
          <w:sz w:val="18"/>
          <w:szCs w:val="18"/>
          <w:color w:val="auto"/>
        </w:rPr>
      </w:pPr>
    </w:p>
    <w:p>
      <w:pPr>
        <w:ind w:left="1300" w:hanging="313"/>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sent by facsimile;</w:t>
      </w:r>
    </w:p>
    <w:p>
      <w:pPr>
        <w:spacing w:after="0" w:line="117" w:lineRule="exact"/>
        <w:rPr>
          <w:rFonts w:ascii="Arial" w:cs="Arial" w:eastAsia="Arial" w:hAnsi="Arial"/>
          <w:sz w:val="18"/>
          <w:szCs w:val="18"/>
          <w:color w:val="auto"/>
        </w:rPr>
      </w:pPr>
    </w:p>
    <w:p>
      <w:pPr>
        <w:ind w:left="1300" w:hanging="313"/>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sent by electronic mail; or</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otherwise given by electronic transmission (as defined in Section 7.2),</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directed to each director at that director’s address, telephone number, facsimile number, electronic mail address or other contact for notice by electronic transmission, as the case may be, as shown on the corporation’s records.</w:t>
      </w:r>
    </w:p>
    <w:p>
      <w:pPr>
        <w:spacing w:after="0" w:line="170"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If the notice is (i) delivered personally by hand, by courier or by telephone, (ii) sent by facsimile, (iii) sent by electronic mail or (iv) otherwise given by electronic transmission, it shall be delivered, sent or otherwise directed to each director, as applicable, at least 24 hours before the time of the holding of the meeting. If the notice is sent by United States mail, it shall be deposited in the United States mail at least four days before the time of the holding of the meeting. Any oral notice may be communicated to the director. The notice need not specify the place of the meeting (if the meeting is to be held at the corporation’s principal executive office) nor the purpose of the meeting.</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40" w:top="274" w:right="499" w:bottom="1440" w:gutter="0" w:footer="0" w:header="0"/>
        </w:sectPr>
      </w:pPr>
    </w:p>
    <w:bookmarkStart w:id="25" w:name="page26"/>
    <w:bookmarkEnd w:id="2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3.8 QUORUM; VOTING</w:t>
      </w:r>
    </w:p>
    <w:p>
      <w:pPr>
        <w:spacing w:after="0" w:line="117"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At all meetings of the board of directors, a majority of the total authorized number of directors shall constitute a quorum for the transaction of business. If a quorum is not present at any meeting of the board of directors, then the directors present thereat may adjourn the meeting from time to time, without notice other than announcement at the meeting, until a quorum is present. A meeting at which a quorum is initially present may continue to transact business notwithstanding the withdrawal of directors, if any action taken is approved by at least a majority of the required quorum for that meeting.</w:t>
      </w:r>
    </w:p>
    <w:p>
      <w:pPr>
        <w:spacing w:after="0" w:line="188"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The vote of a majority of the directors present at any meeting at which a quorum is present shall be the act of the board of directors, except as may be otherwise specifically provided by statute, the certificate of incorporation or these bylaws.</w:t>
      </w:r>
    </w:p>
    <w:p>
      <w:pPr>
        <w:spacing w:after="0" w:line="170" w:lineRule="exact"/>
        <w:rPr>
          <w:sz w:val="20"/>
          <w:szCs w:val="20"/>
          <w:color w:val="auto"/>
        </w:rPr>
      </w:pPr>
    </w:p>
    <w:p>
      <w:pPr>
        <w:ind w:right="460" w:firstLine="440"/>
        <w:spacing w:after="0" w:line="342" w:lineRule="auto"/>
        <w:rPr>
          <w:sz w:val="20"/>
          <w:szCs w:val="20"/>
          <w:color w:val="auto"/>
        </w:rPr>
      </w:pPr>
      <w:r>
        <w:rPr>
          <w:rFonts w:ascii="Arial" w:cs="Arial" w:eastAsia="Arial" w:hAnsi="Arial"/>
          <w:sz w:val="16"/>
          <w:szCs w:val="16"/>
          <w:color w:val="auto"/>
        </w:rPr>
        <w:t>If the certificate of incorporation provides that one or more directors shall have more or less than one vote per director on any matter, every reference in these bylaws to a majority or other proportion of the directors shall refer to a majority or other proportion of the votes of the directors.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3.9 BOARD ACTION BY WRITTEN CONSENT WITHOUT A MEETING</w:t>
      </w:r>
    </w:p>
    <w:p>
      <w:pPr>
        <w:spacing w:after="0" w:line="117"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Unless otherwise restricted by the certificate of incorporation or these bylaws, any action required or permitted to be taken at any meeting of the board of directors, or of any committee or subcommittee thereof, may be taken without a meeting if all members of the board of directors or committee or subcommittee, as the case may be, consent thereto in writing or by electronic transmission and the writing or writings or electronic transmission or transmissions are filed with the minutes of proceedings of the board of directors or committee or subcommittee. Such filing shall be in paper form if the minutes are maintained in paper form and shall be in electronic form if the minutes are maintained in electronic form.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Section 3.9 at such effective time so long as such person is then a director and did not revoke the consent prior to such time. Any such consent shall be revocable prior to its becoming effective.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3.10 FEES AND COMPENSATION OF DIRECTORS</w:t>
      </w:r>
    </w:p>
    <w:p>
      <w:pPr>
        <w:spacing w:after="0" w:line="117" w:lineRule="exact"/>
        <w:rPr>
          <w:sz w:val="20"/>
          <w:szCs w:val="20"/>
          <w:color w:val="auto"/>
        </w:rPr>
      </w:pPr>
    </w:p>
    <w:p>
      <w:pPr>
        <w:ind w:right="940" w:firstLine="440"/>
        <w:spacing w:after="0" w:line="277" w:lineRule="auto"/>
        <w:rPr>
          <w:sz w:val="20"/>
          <w:szCs w:val="20"/>
          <w:color w:val="auto"/>
        </w:rPr>
      </w:pPr>
      <w:r>
        <w:rPr>
          <w:rFonts w:ascii="Arial" w:cs="Arial" w:eastAsia="Arial" w:hAnsi="Arial"/>
          <w:sz w:val="18"/>
          <w:szCs w:val="18"/>
          <w:color w:val="auto"/>
        </w:rPr>
        <w:t>Unless otherwise restricted by the certificate of incorporation or these bylaws, the board of directors shall have the authority to fix the compensation of directors.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6" w:name="page27"/>
    <w:bookmarkEnd w:id="2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3.11 REMOVAL OF DIRECTORS</w:t>
      </w:r>
    </w:p>
    <w:p>
      <w:pPr>
        <w:spacing w:after="0" w:line="11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Consistent with Section 141(k) of the DGCL, so long as the board of directors remains classified as provided in Section 141(d) of the DGCL, any director may be removed from office by the stockholders of the corporation only for cause.</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No reduction of the authorized number of directors shall have the effect of removing any director prior to the expiration of such director’s term of office.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 - COMMITTEES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4.1 COMMITTEES OF DIRECTORS</w:t>
      </w:r>
    </w:p>
    <w:p>
      <w:pPr>
        <w:spacing w:after="0" w:line="117"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to (i) approve or adopt, or recommend to the stockholders, any action or matter (other than the election or removal of directors) expressly required by the DGCL to be submitted to stockholders for approval, or (ii) adopt, amend or repeal any bylaw of the corporation.</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4.2 COMMITTEE MINUTES</w:t>
      </w:r>
    </w:p>
    <w:p>
      <w:pPr>
        <w:spacing w:after="0" w:line="117"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Each committee and subcommittee shall keep regular minutes of its meetings and report the same to the board of directors, or the committee, when required.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4.3 MEETINGS AND ACTION OF COMMITTEES</w:t>
      </w:r>
    </w:p>
    <w:p>
      <w:pPr>
        <w:spacing w:after="0" w:line="11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A majority of the directors then serving on a committee or subcommittee shall constitute a quorum for the transaction of business by the committee or subcommittee, unless the certificate of incorporation, these bylaws, a resolution of the board of directors or a resolution of a committee that created the subcommittee requires a greater or lesser number,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case shall a quorum be less than 1/3 of the directors then serving on the committee or subcommittee. The vote of the majority of the members of a committee or subcommittee present at a meeting at which a quorum is present shall be the act of the committee or subcommittee, unless the certificate of incorporation, these bylaws, a resolution of the board of directors or a resolution of a committee that created the subcommittee requires a greater number. Meetings and actions of committees and subcommittees shall otherwise be governed by, and held and taken in accordance with, the provisions of:</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27" w:name="page28"/>
    <w:bookmarkEnd w:id="27"/>
    <w:p>
      <w:pPr>
        <w:ind w:left="1200" w:hanging="213"/>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3.5 (place of meetings and meetings by telephone);</w:t>
      </w:r>
    </w:p>
    <w:p>
      <w:pPr>
        <w:spacing w:after="0" w:line="117" w:lineRule="exact"/>
        <w:rPr>
          <w:rFonts w:ascii="Arial" w:cs="Arial" w:eastAsia="Arial" w:hAnsi="Arial"/>
          <w:sz w:val="18"/>
          <w:szCs w:val="18"/>
          <w:color w:val="auto"/>
        </w:rPr>
      </w:pPr>
    </w:p>
    <w:p>
      <w:pPr>
        <w:ind w:left="1260" w:hanging="273"/>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Section 3.6 (regular meetings);</w:t>
      </w:r>
    </w:p>
    <w:p>
      <w:pPr>
        <w:spacing w:after="0" w:line="117" w:lineRule="exact"/>
        <w:rPr>
          <w:rFonts w:ascii="Arial" w:cs="Arial" w:eastAsia="Arial" w:hAnsi="Arial"/>
          <w:sz w:val="18"/>
          <w:szCs w:val="18"/>
          <w:color w:val="auto"/>
        </w:rPr>
      </w:pPr>
    </w:p>
    <w:p>
      <w:pPr>
        <w:ind w:left="1300" w:hanging="313"/>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Section 3.7 (special meetings and notice);</w:t>
      </w:r>
    </w:p>
    <w:p>
      <w:pPr>
        <w:spacing w:after="0" w:line="117" w:lineRule="exact"/>
        <w:rPr>
          <w:rFonts w:ascii="Arial" w:cs="Arial" w:eastAsia="Arial" w:hAnsi="Arial"/>
          <w:sz w:val="18"/>
          <w:szCs w:val="18"/>
          <w:color w:val="auto"/>
        </w:rPr>
      </w:pPr>
    </w:p>
    <w:p>
      <w:pPr>
        <w:ind w:left="1300" w:hanging="313"/>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Section 3.8 (quorum; voting);</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Section 7.5 (waiver of notice); and</w:t>
      </w:r>
    </w:p>
    <w:p>
      <w:pPr>
        <w:spacing w:after="0" w:line="117" w:lineRule="exact"/>
        <w:rPr>
          <w:rFonts w:ascii="Arial" w:cs="Arial" w:eastAsia="Arial" w:hAnsi="Arial"/>
          <w:sz w:val="18"/>
          <w:szCs w:val="18"/>
          <w:color w:val="auto"/>
        </w:rPr>
      </w:pPr>
    </w:p>
    <w:p>
      <w:pPr>
        <w:ind w:left="1300" w:hanging="313"/>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Section 3.9 (action without a meeting)</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 xml:space="preserve">with such changes in the context of those bylaws as are necessary to substitute the committee or subcommittee and its members for the board of directors and its members. </w:t>
      </w:r>
      <w:r>
        <w:rPr>
          <w:rFonts w:ascii="Arial" w:cs="Arial" w:eastAsia="Arial" w:hAnsi="Arial"/>
          <w:sz w:val="18"/>
          <w:szCs w:val="18"/>
          <w:i w:val="1"/>
          <w:iCs w:val="1"/>
          <w:color w:val="auto"/>
        </w:rPr>
        <w:t>However</w:t>
      </w:r>
      <w:r>
        <w:rPr>
          <w:rFonts w:ascii="Arial" w:cs="Arial" w:eastAsia="Arial" w:hAnsi="Arial"/>
          <w:sz w:val="18"/>
          <w:szCs w:val="18"/>
          <w:color w:val="auto"/>
        </w:rPr>
        <w:t>:</w:t>
      </w:r>
    </w:p>
    <w:p>
      <w:pPr>
        <w:spacing w:after="0" w:line="62" w:lineRule="exact"/>
        <w:rPr>
          <w:sz w:val="20"/>
          <w:szCs w:val="20"/>
          <w:color w:val="auto"/>
        </w:rPr>
      </w:pPr>
    </w:p>
    <w:p>
      <w:pPr>
        <w:ind w:right="560" w:firstLine="987"/>
        <w:spacing w:after="0" w:line="277" w:lineRule="auto"/>
        <w:tabs>
          <w:tab w:leader="none" w:pos="120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time and place of regular meetings of committees and subcommittees may be determined either by resolution of the board of directors or by resolution of the committee or subcommittee;</w:t>
      </w:r>
    </w:p>
    <w:p>
      <w:pPr>
        <w:spacing w:after="0" w:line="62" w:lineRule="exact"/>
        <w:rPr>
          <w:rFonts w:ascii="Arial" w:cs="Arial" w:eastAsia="Arial" w:hAnsi="Arial"/>
          <w:sz w:val="18"/>
          <w:szCs w:val="18"/>
          <w:color w:val="auto"/>
        </w:rPr>
      </w:pPr>
    </w:p>
    <w:p>
      <w:pPr>
        <w:ind w:right="440" w:firstLine="987"/>
        <w:spacing w:after="0" w:line="277" w:lineRule="auto"/>
        <w:tabs>
          <w:tab w:leader="none" w:pos="1256"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special meetings of committees and subcommittees may also be called by resolution of the board of directors or the committee or subcommittee; and</w:t>
      </w:r>
    </w:p>
    <w:p>
      <w:pPr>
        <w:spacing w:after="0" w:line="62" w:lineRule="exact"/>
        <w:rPr>
          <w:rFonts w:ascii="Arial" w:cs="Arial" w:eastAsia="Arial" w:hAnsi="Arial"/>
          <w:sz w:val="18"/>
          <w:szCs w:val="18"/>
          <w:color w:val="auto"/>
        </w:rPr>
      </w:pPr>
    </w:p>
    <w:p>
      <w:pPr>
        <w:jc w:val="both"/>
        <w:ind w:firstLine="987"/>
        <w:spacing w:after="0" w:line="259" w:lineRule="auto"/>
        <w:tabs>
          <w:tab w:leader="none" w:pos="1306"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notice of special meetings of committees and subcommittees shall also be given to all alternate members, as applicable, who shall have the right to attend all meetings of the committee or subcommittee. The board of directors, or, in the absence of any such action by the board of directors, the committee or subcommittee, may adopt rules for the government of any committee or subcommittee not inconsistent with the provisions of these bylaws.</w:t>
      </w:r>
    </w:p>
    <w:p>
      <w:pPr>
        <w:spacing w:after="0" w:line="187" w:lineRule="exact"/>
        <w:rPr>
          <w:sz w:val="20"/>
          <w:szCs w:val="20"/>
          <w:color w:val="auto"/>
        </w:rPr>
      </w:pPr>
    </w:p>
    <w:p>
      <w:pPr>
        <w:ind w:right="340" w:firstLine="440"/>
        <w:spacing w:after="0" w:line="342" w:lineRule="auto"/>
        <w:rPr>
          <w:sz w:val="20"/>
          <w:szCs w:val="20"/>
          <w:color w:val="auto"/>
        </w:rPr>
      </w:pPr>
      <w:r>
        <w:rPr>
          <w:rFonts w:ascii="Arial" w:cs="Arial" w:eastAsia="Arial" w:hAnsi="Arial"/>
          <w:sz w:val="16"/>
          <w:szCs w:val="16"/>
          <w:color w:val="auto"/>
        </w:rPr>
        <w:t>Any provision in the certificate of incorporation providing that one or more directors shall have more or less than one vote per director on any matter shall apply to voting in any committee or subcommittee, unless otherwise provided in the certificate of incorporation or these bylaws.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4.4 SUBCOMMITTEES</w:t>
      </w:r>
    </w:p>
    <w:p>
      <w:pPr>
        <w:spacing w:after="0" w:line="117"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Unless otherwise provided in the certificate of incorporation, these bylaws or the resolutions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 - OFFICERS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5.1 OFFICERS</w:t>
      </w:r>
    </w:p>
    <w:p>
      <w:pPr>
        <w:spacing w:after="0" w:line="117" w:lineRule="exact"/>
        <w:rPr>
          <w:sz w:val="20"/>
          <w:szCs w:val="20"/>
          <w:color w:val="auto"/>
        </w:rPr>
      </w:pPr>
    </w:p>
    <w:p>
      <w:pPr>
        <w:ind w:right="200" w:firstLine="440"/>
        <w:spacing w:after="0" w:line="301" w:lineRule="auto"/>
        <w:rPr>
          <w:sz w:val="20"/>
          <w:szCs w:val="20"/>
          <w:color w:val="auto"/>
        </w:rPr>
      </w:pPr>
      <w:r>
        <w:rPr>
          <w:rFonts w:ascii="Arial" w:cs="Arial" w:eastAsia="Arial" w:hAnsi="Arial"/>
          <w:sz w:val="16"/>
          <w:szCs w:val="16"/>
          <w:color w:val="auto"/>
        </w:rPr>
        <w:t>The officers of the corporation shall be a president and a secretary. The corporation may also have, at the discretion of the board of directors, a chairperson of the board of directors, a vice chairperson of the board of directors, a chief executive officer, a chief financial officer or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5.2 APPOINTMENT OF OFFICERS</w:t>
      </w:r>
    </w:p>
    <w:p>
      <w:pPr>
        <w:spacing w:after="0" w:line="117"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The board of directors shall appoint the officers of the corporation, except such officers as may be appointed in accordance with the provisions of Sections 5.3 of these bylaws, subject to the rights, if any, of an officer under any contract of employment.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5.3 SUBORDINATE OFFICERS</w:t>
      </w:r>
    </w:p>
    <w:p>
      <w:pPr>
        <w:spacing w:after="0" w:line="117"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The board of directors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or as the board of directors may from time to time determine.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5.4 REMOVAL AND RESIGNATION OF OFFICERS</w:t>
      </w:r>
    </w:p>
    <w:p>
      <w:pPr>
        <w:spacing w:after="0" w:line="117" w:lineRule="exact"/>
        <w:rPr>
          <w:sz w:val="20"/>
          <w:szCs w:val="20"/>
          <w:color w:val="auto"/>
        </w:rPr>
      </w:pPr>
    </w:p>
    <w:p>
      <w:pPr>
        <w:ind w:right="300" w:firstLine="440"/>
        <w:spacing w:after="0" w:line="286" w:lineRule="auto"/>
        <w:rPr>
          <w:sz w:val="20"/>
          <w:szCs w:val="20"/>
          <w:color w:val="auto"/>
        </w:rPr>
      </w:pPr>
      <w:r>
        <w:rPr>
          <w:rFonts w:ascii="Arial" w:cs="Arial" w:eastAsia="Arial" w:hAnsi="Arial"/>
          <w:sz w:val="17"/>
          <w:szCs w:val="17"/>
          <w:color w:val="auto"/>
        </w:rPr>
        <w:t>Subject to the rights, if any, of an officer under any contract of employment, any officer may be removed, either with or without cause, by an affirmative vote of the majority of the board of directors at any regular or special meeting of the board of directors or, except in the case of an officer chosen by the board of directors, by any officer upon whom such power of removal may be conferred by the board of directors.</w:t>
      </w:r>
    </w:p>
    <w:p>
      <w:pPr>
        <w:spacing w:after="0" w:line="165" w:lineRule="exact"/>
        <w:rPr>
          <w:sz w:val="20"/>
          <w:szCs w:val="20"/>
          <w:color w:val="auto"/>
        </w:rPr>
      </w:pPr>
    </w:p>
    <w:p>
      <w:pPr>
        <w:jc w:val="both"/>
        <w:ind w:right="160" w:firstLine="440"/>
        <w:spacing w:after="0" w:line="259" w:lineRule="auto"/>
        <w:rPr>
          <w:sz w:val="20"/>
          <w:szCs w:val="20"/>
          <w:color w:val="auto"/>
        </w:rPr>
      </w:pPr>
      <w:r>
        <w:rPr>
          <w:rFonts w:ascii="Arial" w:cs="Arial" w:eastAsia="Arial" w:hAnsi="Arial"/>
          <w:sz w:val="18"/>
          <w:szCs w:val="18"/>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5.5 VACANCIES IN OFFICES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vacancy occurring in any office of the corporation shall be filled by the board of directors or as provided in Section 5.3.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29" w:name="page30"/>
    <w:bookmarkEnd w:id="2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5.6 REPRESENTATION OF SHARES OF OTHER CORPORATIONS</w:t>
      </w:r>
    </w:p>
    <w:p>
      <w:pPr>
        <w:spacing w:after="0" w:line="117"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The chairperson of the board of directors, the president, any vice president, the treasurer, the secretary or assistant secretary of this corporation, or any other person authorized by the board of directors or the president or a vice president, is authorized to vote, represent, and exercise on behalf of this corporation all rights incident to any and all shares of any other corporation or corporations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5.7 AUTHORITY AND DUTIES OF OFFICERS</w:t>
      </w:r>
    </w:p>
    <w:p>
      <w:pPr>
        <w:spacing w:after="0" w:line="117"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All officers of the corporation shall respectively have such authority and perform such duties in the management of the business of the corporation as may be designated from time to time by the board of directors and, to the extent not so provided, as generally pertain to their respective offices, subject to the control of the board of directors.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 - STOCK</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6.1 STOCK CERTIFICATES; PARTLY PAID SHARES</w:t>
      </w:r>
    </w:p>
    <w:p>
      <w:pPr>
        <w:spacing w:after="0" w:line="117"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The shares of the corporation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corporation. Unless otherwise provided by resolution of the board of directors, every holder of stock represented by certificates shall be entitled to have a certificate signed by, or in the name of, the corporation by any two authorized officers of the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such person were such officer, transfer agent or registrar at the date of issue. The corporation shall not have power to issue a certificate in bearer form.</w:t>
      </w:r>
    </w:p>
    <w:p>
      <w:pPr>
        <w:spacing w:after="0" w:line="165"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30" w:name="page31"/>
    <w:bookmarkEnd w:id="3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6.2 SPECIAL DESIGNATION ON CERTIFICATES</w:t>
      </w:r>
    </w:p>
    <w:p>
      <w:pPr>
        <w:spacing w:after="0" w:line="117" w:lineRule="exact"/>
        <w:rPr>
          <w:sz w:val="20"/>
          <w:szCs w:val="20"/>
          <w:color w:val="auto"/>
        </w:rPr>
      </w:pPr>
    </w:p>
    <w:p>
      <w:pPr>
        <w:ind w:right="40" w:firstLine="440"/>
        <w:spacing w:after="0" w:line="268" w:lineRule="auto"/>
        <w:rPr>
          <w:sz w:val="20"/>
          <w:szCs w:val="20"/>
          <w:color w:val="auto"/>
        </w:rPr>
      </w:pPr>
      <w:r>
        <w:rPr>
          <w:rFonts w:ascii="Arial" w:cs="Arial" w:eastAsia="Arial" w:hAnsi="Arial"/>
          <w:sz w:val="17"/>
          <w:szCs w:val="17"/>
          <w:color w:val="auto"/>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Arial" w:cs="Arial" w:eastAsia="Arial" w:hAnsi="Arial"/>
          <w:sz w:val="17"/>
          <w:szCs w:val="17"/>
          <w:i w:val="1"/>
          <w:iCs w:val="1"/>
          <w:color w:val="auto"/>
        </w:rPr>
        <w:t>provided, however</w:t>
      </w:r>
      <w:r>
        <w:rPr>
          <w:rFonts w:ascii="Arial" w:cs="Arial" w:eastAsia="Arial" w:hAnsi="Arial"/>
          <w:sz w:val="17"/>
          <w:szCs w:val="17"/>
          <w:color w:val="auto"/>
        </w:rPr>
        <w:t>, that, except as otherwise provided in Section 202 of the DGCL,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Section 6.2 or Sections 156, 202(a), 218(a) or 364 of the DGCL or with respect to this Section 6.2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6.3 LOST CERTIFICATES</w:t>
      </w:r>
    </w:p>
    <w:p>
      <w:pPr>
        <w:spacing w:after="0" w:line="117"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Except as provided in this Section 6.3,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6.4 DIVIDENDS</w:t>
      </w:r>
    </w:p>
    <w:p>
      <w:pPr>
        <w:spacing w:after="0" w:line="117"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The board of directors, subject to any restrictions contained in the certificate of incorporation or applicable law, may declare and pay dividends upon the shares of the corporation’s capital stock. Dividends may be paid in cash, in property, or in shares of the corporation’s capital stock, subject to the provisions of the certificate of incorporation.</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board of directors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440" w:top="274" w:right="499" w:bottom="1440" w:gutter="0" w:footer="0" w:header="0"/>
        </w:sectPr>
      </w:pPr>
    </w:p>
    <w:bookmarkStart w:id="31" w:name="page32"/>
    <w:bookmarkEnd w:id="3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6.5 TRANSFER OF STOCK</w:t>
      </w:r>
    </w:p>
    <w:p>
      <w:pPr>
        <w:spacing w:after="0" w:line="117"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Transfers of record of shares of stock of the corporation shall be made only upon its books by the holders thereof, in person or by an attorney duly authorized, and, if such stock is certificated, upon the surrender of a certificate or certificates for a like number of shares, properly endorsed or accompanied by proper evidence of succession, assignation or authority to transfer.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6.6 STOCK TRANSFER AGREEMENTS</w:t>
      </w:r>
    </w:p>
    <w:p>
      <w:pPr>
        <w:spacing w:after="0" w:line="11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6.7 REGISTERED STOCKHOLDERS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corporation:</w:t>
      </w:r>
    </w:p>
    <w:p>
      <w:pPr>
        <w:spacing w:after="0" w:line="117" w:lineRule="exact"/>
        <w:rPr>
          <w:sz w:val="20"/>
          <w:szCs w:val="20"/>
          <w:color w:val="auto"/>
        </w:rPr>
      </w:pPr>
    </w:p>
    <w:p>
      <w:pPr>
        <w:ind w:right="440" w:firstLine="987"/>
        <w:spacing w:after="0" w:line="342" w:lineRule="auto"/>
        <w:tabs>
          <w:tab w:leader="none" w:pos="1206" w:val="left"/>
        </w:tabs>
        <w:numPr>
          <w:ilvl w:val="0"/>
          <w:numId w:val="20"/>
        </w:numPr>
        <w:rPr>
          <w:rFonts w:ascii="Arial" w:cs="Arial" w:eastAsia="Arial" w:hAnsi="Arial"/>
          <w:sz w:val="16"/>
          <w:szCs w:val="16"/>
          <w:color w:val="auto"/>
        </w:rPr>
      </w:pPr>
      <w:r>
        <w:rPr>
          <w:rFonts w:ascii="Arial" w:cs="Arial" w:eastAsia="Arial" w:hAnsi="Arial"/>
          <w:sz w:val="16"/>
          <w:szCs w:val="16"/>
          <w:color w:val="auto"/>
        </w:rPr>
        <w:t>shall be entitled to treat the person registered on its books as the owner of any share or shares as the person exclusively entitled to receive dividends, vote, receive notifications and otherwise exercise all the rights and powers of an owner of such share or shares; and</w:t>
      </w:r>
    </w:p>
    <w:p>
      <w:pPr>
        <w:spacing w:after="0" w:line="15" w:lineRule="exact"/>
        <w:rPr>
          <w:rFonts w:ascii="Arial" w:cs="Arial" w:eastAsia="Arial" w:hAnsi="Arial"/>
          <w:sz w:val="16"/>
          <w:szCs w:val="16"/>
          <w:color w:val="auto"/>
        </w:rPr>
      </w:pPr>
    </w:p>
    <w:p>
      <w:pPr>
        <w:ind w:firstLine="987"/>
        <w:spacing w:after="0" w:line="277" w:lineRule="auto"/>
        <w:tabs>
          <w:tab w:leader="none" w:pos="1256"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382"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ARTICLE VII - MANNER OF GIVING NOTICE AND WAIVER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7.1 NOTICE OF STOCKHOLDERS’ MEETINGS</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Notice of any meeting of stockholders, if mailed, is given when deposited in the United States mail, postage prepaid, directed to the stockholder at such stockholder’s address as it appears on the corporation’s records. An affidavit of the secretary or an assistant secretary of the corporation or of the transfer agent or other agent of the corporation that the notice has been given shall, in the absence of fraud,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facts stated therein.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7.2 NOTICE BY ELECTRONIC TRANSMISSION</w:t>
      </w:r>
    </w:p>
    <w:p>
      <w:pPr>
        <w:spacing w:after="0" w:line="117" w:lineRule="exact"/>
        <w:rPr>
          <w:sz w:val="20"/>
          <w:szCs w:val="20"/>
          <w:color w:val="auto"/>
        </w:rPr>
      </w:pPr>
    </w:p>
    <w:p>
      <w:pPr>
        <w:ind w:right="120" w:firstLine="440"/>
        <w:spacing w:after="0" w:line="301" w:lineRule="auto"/>
        <w:rPr>
          <w:sz w:val="20"/>
          <w:szCs w:val="20"/>
          <w:color w:val="auto"/>
        </w:rPr>
      </w:pPr>
      <w:r>
        <w:rPr>
          <w:rFonts w:ascii="Arial" w:cs="Arial" w:eastAsia="Arial" w:hAnsi="Arial"/>
          <w:sz w:val="16"/>
          <w:szCs w:val="16"/>
          <w:color w:val="auto"/>
        </w:rPr>
        <w:t>Without limiting the manner by which notice otherwise may be given effectively to stockholders pursuant to the DGCL, the certificate of incorporation or these bylaws,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to the corporation. Any such consent shall be deemed revoked if:</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32" w:name="page33"/>
    <w:bookmarkEnd w:id="32"/>
    <w:p>
      <w:pPr>
        <w:ind w:left="98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the corporation is unable to deliver by electronic transmission two consecutive notices given by the corporation in accordance with such</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consent; and</w:t>
      </w:r>
    </w:p>
    <w:p>
      <w:pPr>
        <w:spacing w:after="0" w:line="103" w:lineRule="exact"/>
        <w:rPr>
          <w:sz w:val="20"/>
          <w:szCs w:val="20"/>
          <w:color w:val="auto"/>
        </w:rPr>
      </w:pPr>
    </w:p>
    <w:p>
      <w:pPr>
        <w:ind w:left="4" w:right="480" w:firstLine="987"/>
        <w:spacing w:after="0" w:line="277"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inability becomes known to the secretary or an assistant secretary of the corporation or to the transfer agent, or other person responsible for the giving of notice.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However, the inadvertent failure to treat such inability as a revocation shall not invalidate any meeting or other action.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Any notice given pursuant to the preceding paragraph shall be deemed given:</w:t>
      </w:r>
    </w:p>
    <w:p>
      <w:pPr>
        <w:spacing w:after="0" w:line="117" w:lineRule="exact"/>
        <w:rPr>
          <w:sz w:val="20"/>
          <w:szCs w:val="20"/>
          <w:color w:val="auto"/>
        </w:rPr>
      </w:pPr>
    </w:p>
    <w:p>
      <w:pPr>
        <w:ind w:left="1204" w:hanging="213"/>
        <w:spacing w:after="0"/>
        <w:tabs>
          <w:tab w:leader="none" w:pos="1204" w:val="left"/>
        </w:tabs>
        <w:numPr>
          <w:ilvl w:val="1"/>
          <w:numId w:val="22"/>
        </w:numPr>
        <w:rPr>
          <w:rFonts w:ascii="Arial" w:cs="Arial" w:eastAsia="Arial" w:hAnsi="Arial"/>
          <w:sz w:val="18"/>
          <w:szCs w:val="18"/>
          <w:color w:val="auto"/>
        </w:rPr>
      </w:pPr>
      <w:r>
        <w:rPr>
          <w:rFonts w:ascii="Arial" w:cs="Arial" w:eastAsia="Arial" w:hAnsi="Arial"/>
          <w:sz w:val="18"/>
          <w:szCs w:val="18"/>
          <w:color w:val="auto"/>
        </w:rPr>
        <w:t>if by facsimile telecommunication, when directed to a number at which the stockholder has consented to receive notice;</w:t>
      </w:r>
    </w:p>
    <w:p>
      <w:pPr>
        <w:spacing w:after="0" w:line="117" w:lineRule="exact"/>
        <w:rPr>
          <w:rFonts w:ascii="Arial" w:cs="Arial" w:eastAsia="Arial" w:hAnsi="Arial"/>
          <w:sz w:val="18"/>
          <w:szCs w:val="18"/>
          <w:color w:val="auto"/>
        </w:rPr>
      </w:pPr>
    </w:p>
    <w:p>
      <w:pPr>
        <w:ind w:left="1264" w:hanging="273"/>
        <w:spacing w:after="0"/>
        <w:tabs>
          <w:tab w:leader="none" w:pos="1264" w:val="left"/>
        </w:tabs>
        <w:numPr>
          <w:ilvl w:val="1"/>
          <w:numId w:val="22"/>
        </w:numPr>
        <w:rPr>
          <w:rFonts w:ascii="Arial" w:cs="Arial" w:eastAsia="Arial" w:hAnsi="Arial"/>
          <w:sz w:val="18"/>
          <w:szCs w:val="18"/>
          <w:color w:val="auto"/>
        </w:rPr>
      </w:pPr>
      <w:r>
        <w:rPr>
          <w:rFonts w:ascii="Arial" w:cs="Arial" w:eastAsia="Arial" w:hAnsi="Arial"/>
          <w:sz w:val="18"/>
          <w:szCs w:val="18"/>
          <w:color w:val="auto"/>
        </w:rPr>
        <w:t>if by electronic mail, when directed to an electronic mail address at which the stockholder has consented to receive notice;</w:t>
      </w:r>
    </w:p>
    <w:p>
      <w:pPr>
        <w:spacing w:after="0" w:line="117" w:lineRule="exact"/>
        <w:rPr>
          <w:rFonts w:ascii="Arial" w:cs="Arial" w:eastAsia="Arial" w:hAnsi="Arial"/>
          <w:sz w:val="18"/>
          <w:szCs w:val="18"/>
          <w:color w:val="auto"/>
        </w:rPr>
      </w:pPr>
    </w:p>
    <w:p>
      <w:pPr>
        <w:ind w:left="1304" w:hanging="313"/>
        <w:spacing w:after="0"/>
        <w:tabs>
          <w:tab w:leader="none" w:pos="1304" w:val="left"/>
        </w:tabs>
        <w:numPr>
          <w:ilvl w:val="1"/>
          <w:numId w:val="22"/>
        </w:numPr>
        <w:rPr>
          <w:rFonts w:ascii="Arial" w:cs="Arial" w:eastAsia="Arial" w:hAnsi="Arial"/>
          <w:sz w:val="17"/>
          <w:szCs w:val="17"/>
          <w:color w:val="auto"/>
        </w:rPr>
      </w:pPr>
      <w:r>
        <w:rPr>
          <w:rFonts w:ascii="Arial" w:cs="Arial" w:eastAsia="Arial" w:hAnsi="Arial"/>
          <w:sz w:val="17"/>
          <w:szCs w:val="17"/>
          <w:color w:val="auto"/>
        </w:rPr>
        <w:t>if by a posting on an electronic network together with separate notice to the stockholder of such specific posting, upon the later of</w:t>
      </w:r>
    </w:p>
    <w:p>
      <w:pPr>
        <w:spacing w:after="0" w:line="34" w:lineRule="exact"/>
        <w:rPr>
          <w:rFonts w:ascii="Arial" w:cs="Arial" w:eastAsia="Arial" w:hAnsi="Arial"/>
          <w:sz w:val="17"/>
          <w:szCs w:val="17"/>
          <w:color w:val="auto"/>
        </w:rPr>
      </w:pPr>
    </w:p>
    <w:p>
      <w:pPr>
        <w:ind w:left="304" w:hanging="304"/>
        <w:spacing w:after="0"/>
        <w:tabs>
          <w:tab w:leader="none" w:pos="304"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posting and (B) the giving of such separate notice; and</w:t>
      </w:r>
    </w:p>
    <w:p>
      <w:pPr>
        <w:spacing w:after="0" w:line="102" w:lineRule="exact"/>
        <w:rPr>
          <w:rFonts w:ascii="Arial" w:cs="Arial" w:eastAsia="Arial" w:hAnsi="Arial"/>
          <w:sz w:val="18"/>
          <w:szCs w:val="18"/>
          <w:color w:val="auto"/>
        </w:rPr>
      </w:pPr>
    </w:p>
    <w:p>
      <w:pPr>
        <w:ind w:left="1304" w:hanging="313"/>
        <w:spacing w:after="0"/>
        <w:tabs>
          <w:tab w:leader="none" w:pos="1304" w:val="left"/>
        </w:tabs>
        <w:numPr>
          <w:ilvl w:val="1"/>
          <w:numId w:val="23"/>
        </w:numPr>
        <w:rPr>
          <w:rFonts w:ascii="Arial" w:cs="Arial" w:eastAsia="Arial" w:hAnsi="Arial"/>
          <w:sz w:val="18"/>
          <w:szCs w:val="18"/>
          <w:color w:val="auto"/>
        </w:rPr>
      </w:pPr>
      <w:r>
        <w:rPr>
          <w:rFonts w:ascii="Arial" w:cs="Arial" w:eastAsia="Arial" w:hAnsi="Arial"/>
          <w:sz w:val="18"/>
          <w:szCs w:val="18"/>
          <w:color w:val="auto"/>
        </w:rPr>
        <w:t>if by any other form of electronic transmission, when directed to the stockholder.</w:t>
      </w:r>
    </w:p>
    <w:p>
      <w:pPr>
        <w:spacing w:after="0" w:line="225"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 xml:space="preserve">An affidavit of the secretary or an assistant secretary or of the transfer agent or other agent of the corporation that the notice has been given by a form of electronic transmission shall, in the absence of fraud,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facts stated therein.</w:t>
      </w:r>
    </w:p>
    <w:p>
      <w:pPr>
        <w:spacing w:after="0" w:line="166" w:lineRule="exact"/>
        <w:rPr>
          <w:sz w:val="20"/>
          <w:szCs w:val="20"/>
          <w:color w:val="auto"/>
        </w:rPr>
      </w:pPr>
    </w:p>
    <w:p>
      <w:pPr>
        <w:ind w:left="4" w:right="100" w:firstLine="440"/>
        <w:spacing w:after="0" w:line="261" w:lineRule="auto"/>
        <w:rPr>
          <w:sz w:val="20"/>
          <w:szCs w:val="20"/>
          <w:color w:val="auto"/>
        </w:rPr>
      </w:pPr>
      <w:r>
        <w:rPr>
          <w:rFonts w:ascii="Arial" w:cs="Arial" w:eastAsia="Arial" w:hAnsi="Arial"/>
          <w:sz w:val="18"/>
          <w:szCs w:val="18"/>
          <w:color w:val="auto"/>
        </w:rPr>
        <w:t>An “</w:t>
      </w:r>
      <w:r>
        <w:rPr>
          <w:rFonts w:ascii="Arial" w:cs="Arial" w:eastAsia="Arial" w:hAnsi="Arial"/>
          <w:sz w:val="18"/>
          <w:szCs w:val="18"/>
          <w:b w:val="1"/>
          <w:bCs w:val="1"/>
          <w:color w:val="auto"/>
        </w:rPr>
        <w:t>electronic transmission</w:t>
      </w:r>
      <w:r>
        <w:rPr>
          <w:rFonts w:ascii="Arial" w:cs="Arial" w:eastAsia="Arial" w:hAnsi="Arial"/>
          <w:sz w:val="18"/>
          <w:szCs w:val="18"/>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Notice by a form of electronic transmission shall not apply to Sections 164, 296, 311, 312 or 324 of the DGCL.</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33" w:name="page34"/>
    <w:bookmarkEnd w:id="3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7.3 NOTICE TO STOCKHOLDERS SHARING AN ADDRESS</w:t>
      </w:r>
    </w:p>
    <w:p>
      <w:pPr>
        <w:spacing w:after="0" w:line="117"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Except as otherwise prohibited under the DGCL, without limiting the manner by which notice otherwise may be given effectively to stockholders, any notice to stockholders given by the corporation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60 days of having been given written notice by the corporation of its intention to send the single notice, shall be deemed to have consented to receiving such single written notice.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7.4 NOTICE TO PERSON WITH WHOM COMMUNICATION IS UNLAWFUL</w:t>
      </w:r>
    </w:p>
    <w:p>
      <w:pPr>
        <w:spacing w:after="0" w:line="11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7.5 WAIVER OF NOTICE</w:t>
      </w:r>
    </w:p>
    <w:p>
      <w:pPr>
        <w:spacing w:after="0" w:line="117" w:lineRule="exact"/>
        <w:rPr>
          <w:sz w:val="20"/>
          <w:szCs w:val="20"/>
          <w:color w:val="auto"/>
        </w:rPr>
      </w:pPr>
    </w:p>
    <w:p>
      <w:pPr>
        <w:ind w:right="220" w:firstLine="440"/>
        <w:spacing w:after="0" w:line="272" w:lineRule="auto"/>
        <w:rPr>
          <w:sz w:val="20"/>
          <w:szCs w:val="20"/>
          <w:color w:val="auto"/>
        </w:rPr>
      </w:pPr>
      <w:r>
        <w:rPr>
          <w:rFonts w:ascii="Arial" w:cs="Arial" w:eastAsia="Arial" w:hAnsi="Arial"/>
          <w:sz w:val="17"/>
          <w:szCs w:val="17"/>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 - INDEMNIFICATION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8.1 INDEMNIFICATION OF DIRECTORS AND OFFICERS IN THIRD PARTY PROCEEDINGS</w:t>
      </w:r>
    </w:p>
    <w:p>
      <w:pPr>
        <w:spacing w:after="0" w:line="117" w:lineRule="exact"/>
        <w:rPr>
          <w:sz w:val="20"/>
          <w:szCs w:val="20"/>
          <w:color w:val="auto"/>
        </w:rPr>
      </w:pPr>
    </w:p>
    <w:p>
      <w:pPr>
        <w:ind w:right="360" w:firstLine="440"/>
        <w:spacing w:after="0" w:line="257" w:lineRule="auto"/>
        <w:rPr>
          <w:sz w:val="20"/>
          <w:szCs w:val="20"/>
          <w:color w:val="auto"/>
        </w:rPr>
      </w:pPr>
      <w:r>
        <w:rPr>
          <w:rFonts w:ascii="Arial" w:cs="Arial" w:eastAsia="Arial" w:hAnsi="Arial"/>
          <w:sz w:val="18"/>
          <w:szCs w:val="18"/>
          <w:color w:val="auto"/>
        </w:rPr>
        <w:t>Subject to the other provisions of this Article VIII, the corporation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Arial" w:cs="Arial" w:eastAsia="Arial" w:hAnsi="Arial"/>
          <w:sz w:val="18"/>
          <w:szCs w:val="18"/>
          <w:b w:val="1"/>
          <w:bCs w:val="1"/>
          <w:color w:val="auto"/>
        </w:rPr>
        <w:t>Proceeding</w:t>
      </w:r>
      <w:r>
        <w:rPr>
          <w:rFonts w:ascii="Arial" w:cs="Arial" w:eastAsia="Arial" w:hAnsi="Arial"/>
          <w:sz w:val="18"/>
          <w:szCs w:val="18"/>
          <w:color w:val="auto"/>
        </w:rPr>
        <w:t>”) (other than an action by or in the right of the corporation) by reason of the fact that such person is or was a director or officer of the corporation, or is or was a director or officer of the corporation serving at the request of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4" w:name="page35"/>
    <w:bookmarkEnd w:id="34"/>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Proceeding by judgment, order, settlement, conviction, or upon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8.2 INDEMNIFICATION OF DIRECTORS AND OFFICERS IN ACTIONS BY OR IN THE RIGHT OF THE CORPORATION</w:t>
      </w:r>
    </w:p>
    <w:p>
      <w:pPr>
        <w:spacing w:after="0" w:line="117"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Subject to the other provisions of this Article VIII, the corporation shall indemnify, to the fullest extent permitted by the DGCL, as now or hereinafter in effect,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8.3 SUCCESSFUL DEFENSE</w:t>
      </w:r>
    </w:p>
    <w:p>
      <w:pPr>
        <w:spacing w:after="0" w:line="117"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To the extent that a present or former director or officer of the corporation has been successful on the merits or otherwise in defense of any action, suit or proceeding described in Section 8.1 or Section 8.2, or in defense of any claim, issue or matter therein, such person shall be indemnified against expenses (including attorneys’ fees) actually and reasonably incurred by such person in connection therewith.</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8.4 INDEMNIFICATION OF OTHERS</w:t>
      </w:r>
    </w:p>
    <w:p>
      <w:pPr>
        <w:spacing w:after="0" w:line="117"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Subject to the other provisions of this Article VIII, the corporation shall have power to indemnify its employees and agents to the extent not prohibited by the DGCL or other applicable law.</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4" w:right="479" w:bottom="1440" w:gutter="0" w:footer="0" w:header="0"/>
        </w:sectPr>
      </w:pPr>
    </w:p>
    <w:bookmarkStart w:id="35" w:name="page36"/>
    <w:bookmarkEnd w:id="35"/>
    <w:p>
      <w:pPr>
        <w:ind w:right="8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board of directors shall have the power to delegate to such person or persons the determination of whether employees or agents shall be indemnified.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8.5 ADVANCED PAYMENT OF EXPENSES</w:t>
      </w:r>
    </w:p>
    <w:p>
      <w:pPr>
        <w:spacing w:after="0" w:line="117"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Expenses (including attorneys’ fees) actually and reasonably incurred by an officer or director of the corporation in defending any Proceeding shall be paid by the corporation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Article VIII or the DGCL. Such expenses (including attorneys’ fees) actually and reasonably incurred by former directors and officers or other employees and agents of the corporation or by persons serving at the request of the corporation as directors, officers, employees or agents of another corporation, partnership, joint venture, trust or other enterprise may be so paid upon such terms and conditions, if any, as the corporation deems appropriate. The right to advancement of expenses shall not apply to any Proceeding (or any part of any Proceeding) for which indemnity is excluded pursuant to these bylaws, but shall apply to any Proceeding (or any part of any Proceeding) referenced in Section 8.6(ii) or 8.6(iii) prior to a determination that the person is not entitled to be indemnified by the corporation.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8.6 LIMITATION ON INDEMNIFICATION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Subject to the requirements in Section 8.3 and the DGCL, the corporation shall not be obligated to indemnify any person pursuant to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Article VIII in connection with any Proceeding (or any part of any Proceeding):</w:t>
      </w:r>
    </w:p>
    <w:p>
      <w:pPr>
        <w:spacing w:after="0" w:line="103" w:lineRule="exact"/>
        <w:rPr>
          <w:sz w:val="20"/>
          <w:szCs w:val="20"/>
          <w:color w:val="auto"/>
        </w:rPr>
      </w:pPr>
    </w:p>
    <w:p>
      <w:pPr>
        <w:ind w:firstLine="987"/>
        <w:spacing w:after="0" w:line="277" w:lineRule="auto"/>
        <w:tabs>
          <w:tab w:leader="none" w:pos="1206"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which payment has actually been made to or on behalf of such person under any statute, insurance policy, indemnity provision, vote or otherwise, except with respect to any excess beyond the amount paid;</w:t>
      </w:r>
    </w:p>
    <w:p>
      <w:pPr>
        <w:spacing w:after="0" w:line="62" w:lineRule="exact"/>
        <w:rPr>
          <w:rFonts w:ascii="Arial" w:cs="Arial" w:eastAsia="Arial" w:hAnsi="Arial"/>
          <w:sz w:val="18"/>
          <w:szCs w:val="18"/>
          <w:color w:val="auto"/>
        </w:rPr>
      </w:pPr>
    </w:p>
    <w:p>
      <w:pPr>
        <w:ind w:right="160" w:firstLine="987"/>
        <w:spacing w:after="0" w:line="277" w:lineRule="auto"/>
        <w:tabs>
          <w:tab w:leader="none" w:pos="1256"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an accounting or disgorgement of profits pursuant to Section 16(b) of the 1934 Act, or similar provisions of federal, state or local statutory law or common law, if such person is held liable therefor (including pursuant to any settlement arrangements);</w:t>
      </w:r>
    </w:p>
    <w:p>
      <w:pPr>
        <w:spacing w:after="0" w:line="62" w:lineRule="exact"/>
        <w:rPr>
          <w:rFonts w:ascii="Arial" w:cs="Arial" w:eastAsia="Arial" w:hAnsi="Arial"/>
          <w:sz w:val="18"/>
          <w:szCs w:val="18"/>
          <w:color w:val="auto"/>
        </w:rPr>
      </w:pPr>
    </w:p>
    <w:p>
      <w:pPr>
        <w:ind w:right="200" w:firstLine="987"/>
        <w:spacing w:after="0" w:line="296" w:lineRule="auto"/>
        <w:tabs>
          <w:tab w:leader="none" w:pos="1306"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 any reimbursement of the corporation by such person of any bonus or other incentive-based or equity-based compensation or of any profits realized by such person from the sale of securities of the corporation, as required in each case under the 1934 Act (including any such reimbursements that arise from an accounting restatement of the corporation pursuant to Section 304 of the Sarbanes-Oxley Act of 2002 (the “</w:t>
      </w:r>
      <w:r>
        <w:rPr>
          <w:rFonts w:ascii="Arial" w:cs="Arial" w:eastAsia="Arial" w:hAnsi="Arial"/>
          <w:sz w:val="16"/>
          <w:szCs w:val="16"/>
          <w:b w:val="1"/>
          <w:bCs w:val="1"/>
          <w:color w:val="auto"/>
        </w:rPr>
        <w:t>Sarbanes-Oxley Act</w:t>
      </w:r>
      <w:r>
        <w:rPr>
          <w:rFonts w:ascii="Arial" w:cs="Arial" w:eastAsia="Arial" w:hAnsi="Arial"/>
          <w:sz w:val="16"/>
          <w:szCs w:val="16"/>
          <w:color w:val="auto"/>
        </w:rPr>
        <w:t>”), or the payment to the corporation of profits arising from the purchase and sale by such person of securities in violation of Section 306 of the Sarbanes-Oxley Act), if such person is held liable therefor (including pursuant to any settlement arrangements);</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440" w:top="274" w:right="499" w:bottom="1440" w:gutter="0" w:footer="0" w:header="0"/>
        </w:sectPr>
      </w:pPr>
    </w:p>
    <w:bookmarkStart w:id="36" w:name="page37"/>
    <w:bookmarkEnd w:id="36"/>
    <w:p>
      <w:pPr>
        <w:ind w:firstLine="987"/>
        <w:spacing w:after="0" w:line="279" w:lineRule="auto"/>
        <w:tabs>
          <w:tab w:leader="none" w:pos="1296" w:val="left"/>
        </w:tabs>
        <w:numPr>
          <w:ilvl w:val="0"/>
          <w:numId w:val="2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initiated by such person, including any Proceeding (or any part of any Proceeding) initiated by such person against the corporation or its directors, officers, employees, agents or other indemnitees, unless (a) the board of directors authorized the Proceeding (or the relevant part of the Proceeding) prior to its initiation, (b) the corporation provides the indemnification, in its sole discretion, pursuant to the powers vested in the corporation under applicable law, (c) otherwise required to be made under Section 8.7 or (d) otherwise required by applicable law; or</w:t>
      </w:r>
    </w:p>
    <w:p>
      <w:pPr>
        <w:spacing w:after="0" w:line="63" w:lineRule="exact"/>
        <w:rPr>
          <w:rFonts w:ascii="Arial" w:cs="Arial" w:eastAsia="Arial" w:hAnsi="Arial"/>
          <w:sz w:val="17"/>
          <w:szCs w:val="17"/>
          <w:color w:val="auto"/>
        </w:rPr>
      </w:pPr>
    </w:p>
    <w:p>
      <w:pPr>
        <w:ind w:left="1240" w:hanging="253"/>
        <w:spacing w:after="0"/>
        <w:tabs>
          <w:tab w:leader="none" w:pos="1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prohibited by applicable law.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8.7 DETERMINATION; CLAIM</w:t>
      </w:r>
    </w:p>
    <w:p>
      <w:pPr>
        <w:spacing w:after="0" w:line="11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If a claim for indemnification or advancement of expenses under this Article VIII is not paid in full within 90 days after receipt by the corporation of the written request therefor, the claimant shall be entitled to an adjudication by a court of competent jurisdiction of his or her entitlement to such indemnification or advancement of expenses. The corporation shall indemnify such person against any and all expenses that are actually and reasonably incurred by such person in connection with any action for indemnification or advancement of expenses from the corporation under this Article VIII, to the extent such person is successful in such action, and to the extent not prohibited by law. In any such suit, the corporation shall, to the fullest extent not prohibited by law, have the burden of proving that the claimant is not entitled to the requested indemnification or advancement of expenses.</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8.8 NON-EXCLUSIVITY OF RIGHTS</w:t>
      </w:r>
    </w:p>
    <w:p>
      <w:pPr>
        <w:spacing w:after="0" w:line="117" w:lineRule="exact"/>
        <w:rPr>
          <w:sz w:val="20"/>
          <w:szCs w:val="20"/>
          <w:color w:val="auto"/>
        </w:rPr>
      </w:pPr>
    </w:p>
    <w:p>
      <w:pPr>
        <w:ind w:right="260" w:firstLine="440"/>
        <w:spacing w:after="0" w:line="255" w:lineRule="auto"/>
        <w:rPr>
          <w:sz w:val="20"/>
          <w:szCs w:val="20"/>
          <w:color w:val="auto"/>
        </w:rPr>
      </w:pPr>
      <w:r>
        <w:rPr>
          <w:rFonts w:ascii="Arial" w:cs="Arial" w:eastAsia="Arial" w:hAnsi="Arial"/>
          <w:sz w:val="18"/>
          <w:szCs w:val="18"/>
          <w:color w:val="auto"/>
        </w:rPr>
        <w:t>The indemnification and advancement of expenses provided by, or granted pursuant to, this Article VIII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corporation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8.9 INSURANCE</w:t>
      </w:r>
    </w:p>
    <w:p>
      <w:pPr>
        <w:spacing w:after="0" w:line="117"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the DGCL.</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8.10 SURVIVAL</w:t>
      </w:r>
    </w:p>
    <w:p>
      <w:pPr>
        <w:spacing w:after="0" w:line="117" w:lineRule="exact"/>
        <w:rPr>
          <w:sz w:val="20"/>
          <w:szCs w:val="20"/>
          <w:color w:val="auto"/>
        </w:rPr>
      </w:pPr>
    </w:p>
    <w:p>
      <w:pPr>
        <w:ind w:right="340" w:firstLine="440"/>
        <w:spacing w:after="0" w:line="308" w:lineRule="auto"/>
        <w:rPr>
          <w:sz w:val="20"/>
          <w:szCs w:val="20"/>
          <w:color w:val="auto"/>
        </w:rPr>
      </w:pPr>
      <w:r>
        <w:rPr>
          <w:rFonts w:ascii="Arial" w:cs="Arial" w:eastAsia="Arial" w:hAnsi="Arial"/>
          <w:sz w:val="17"/>
          <w:szCs w:val="17"/>
          <w:color w:val="auto"/>
        </w:rPr>
        <w:t>The rights to indemnification and advancement of expenses conferred by this Article VIII shall continue as to a person who has ceased to be a director, officer, employee or agent and shall inure to the benefit of the heirs, executors and administrators of such a person.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37" w:name="page38"/>
    <w:bookmarkEnd w:id="3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8.11 EFFECT OF REPEAL OR MODIFICATION</w:t>
      </w:r>
    </w:p>
    <w:p>
      <w:pPr>
        <w:spacing w:after="0" w:line="117"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A right to indemnification or to advancement of expenses arising under a provision of the certificate of incorporation or a bylaw shall not be eliminated or impaired by an amendment to the certificate of incorporation or these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8.12 CERTAIN DEFINITIONS</w:t>
      </w:r>
    </w:p>
    <w:p>
      <w:pPr>
        <w:spacing w:after="0" w:line="113"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For purposes of this Article VIII, references to the “</w:t>
      </w:r>
      <w:r>
        <w:rPr>
          <w:rFonts w:ascii="Arial" w:cs="Arial" w:eastAsia="Arial" w:hAnsi="Arial"/>
          <w:sz w:val="16"/>
          <w:szCs w:val="16"/>
          <w:b w:val="1"/>
          <w:bCs w:val="1"/>
          <w:color w:val="auto"/>
        </w:rPr>
        <w:t>corporation</w:t>
      </w:r>
      <w:r>
        <w:rPr>
          <w:rFonts w:ascii="Arial" w:cs="Arial" w:eastAsia="Arial" w:hAnsi="Arial"/>
          <w:sz w:val="16"/>
          <w:szCs w:val="16"/>
          <w:color w:val="auto"/>
        </w:rPr>
        <w:t>”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VIII with respect to the resulting or surviving corporation as such person would have with respect to such constituent corporation if its separate existence had continued. For purposes of this Article VIII, references to “</w:t>
      </w:r>
      <w:r>
        <w:rPr>
          <w:rFonts w:ascii="Arial" w:cs="Arial" w:eastAsia="Arial" w:hAnsi="Arial"/>
          <w:sz w:val="16"/>
          <w:szCs w:val="16"/>
          <w:b w:val="1"/>
          <w:bCs w:val="1"/>
          <w:color w:val="auto"/>
        </w:rPr>
        <w:t>other enterprises</w:t>
      </w:r>
      <w:r>
        <w:rPr>
          <w:rFonts w:ascii="Arial" w:cs="Arial" w:eastAsia="Arial" w:hAnsi="Arial"/>
          <w:sz w:val="16"/>
          <w:szCs w:val="16"/>
          <w:color w:val="auto"/>
        </w:rPr>
        <w:t>” shall include employee benefit plans; references to “</w:t>
      </w:r>
      <w:r>
        <w:rPr>
          <w:rFonts w:ascii="Arial" w:cs="Arial" w:eastAsia="Arial" w:hAnsi="Arial"/>
          <w:sz w:val="16"/>
          <w:szCs w:val="16"/>
          <w:b w:val="1"/>
          <w:bCs w:val="1"/>
          <w:color w:val="auto"/>
        </w:rPr>
        <w:t>fines</w:t>
      </w:r>
      <w:r>
        <w:rPr>
          <w:rFonts w:ascii="Arial" w:cs="Arial" w:eastAsia="Arial" w:hAnsi="Arial"/>
          <w:sz w:val="16"/>
          <w:szCs w:val="16"/>
          <w:color w:val="auto"/>
        </w:rPr>
        <w:t>” shall include any excise taxes assessed on a person with respect to an employee benefit plan; and references to “</w:t>
      </w:r>
      <w:r>
        <w:rPr>
          <w:rFonts w:ascii="Arial" w:cs="Arial" w:eastAsia="Arial" w:hAnsi="Arial"/>
          <w:sz w:val="16"/>
          <w:szCs w:val="16"/>
          <w:b w:val="1"/>
          <w:bCs w:val="1"/>
          <w:color w:val="auto"/>
        </w:rPr>
        <w:t>serving at the request of the corporation</w:t>
      </w:r>
      <w:r>
        <w:rPr>
          <w:rFonts w:ascii="Arial" w:cs="Arial" w:eastAsia="Arial" w:hAnsi="Arial"/>
          <w:sz w:val="16"/>
          <w:szCs w:val="16"/>
          <w:color w:val="auto"/>
        </w:rPr>
        <w:t>”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16"/>
          <w:szCs w:val="16"/>
          <w:b w:val="1"/>
          <w:bCs w:val="1"/>
          <w:color w:val="auto"/>
        </w:rPr>
        <w:t>not opposed</w:t>
      </w:r>
      <w:r>
        <w:rPr>
          <w:rFonts w:ascii="Arial" w:cs="Arial" w:eastAsia="Arial" w:hAnsi="Arial"/>
          <w:sz w:val="16"/>
          <w:szCs w:val="16"/>
          <w:color w:val="auto"/>
        </w:rPr>
        <w:t xml:space="preserve"> </w:t>
      </w:r>
      <w:r>
        <w:rPr>
          <w:rFonts w:ascii="Arial" w:cs="Arial" w:eastAsia="Arial" w:hAnsi="Arial"/>
          <w:sz w:val="16"/>
          <w:szCs w:val="16"/>
          <w:b w:val="1"/>
          <w:bCs w:val="1"/>
          <w:color w:val="auto"/>
        </w:rPr>
        <w:t>to the best interests of the corporation</w:t>
      </w:r>
      <w:r>
        <w:rPr>
          <w:rFonts w:ascii="Arial" w:cs="Arial" w:eastAsia="Arial" w:hAnsi="Arial"/>
          <w:sz w:val="16"/>
          <w:szCs w:val="16"/>
          <w:color w:val="auto"/>
        </w:rPr>
        <w:t>” as referred to in this Article VIII.</w:t>
      </w:r>
    </w:p>
    <w:p>
      <w:pPr>
        <w:spacing w:after="0" w:line="384"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ARTICLE IX - GENERAL MATTERS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9.1 EXECUTION OF CORPORATE CONTRACTS AND INSTRUMENTS</w:t>
      </w:r>
    </w:p>
    <w:p>
      <w:pPr>
        <w:spacing w:after="0" w:line="117"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Except as otherwise provided by law, the certificate of incorporation or these bylaws, the board of directors may authorize any officer or officers, or agent or agents, to enter into any contract or execute any document or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4" w:right="479" w:bottom="1440" w:gutter="0" w:footer="0" w:header="0"/>
        </w:sectPr>
      </w:pPr>
    </w:p>
    <w:bookmarkStart w:id="38" w:name="page39"/>
    <w:bookmarkEnd w:id="3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9.2 FISCAL YEAR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fiscal year of the corporation shall be fixed by resolution of the board of directors and may be changed by the board of directors.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9.3 SEAL</w:t>
      </w:r>
    </w:p>
    <w:p>
      <w:pPr>
        <w:spacing w:after="0" w:line="117"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The corporation may adopt a corporate seal, which shall be adopted and which may be altered by the board of directors. The corporation may use the corporate seal by causing it or a facsimile thereof to be impressed or affixed or in any other manner reproduced.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9.4 CONSTRUCTION; DEFINITIONS</w:t>
      </w:r>
    </w:p>
    <w:p>
      <w:pPr>
        <w:spacing w:after="0" w:line="117"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w:t>
      </w:r>
      <w:r>
        <w:rPr>
          <w:rFonts w:ascii="Arial" w:cs="Arial" w:eastAsia="Arial" w:hAnsi="Arial"/>
          <w:sz w:val="18"/>
          <w:szCs w:val="18"/>
          <w:b w:val="1"/>
          <w:bCs w:val="1"/>
          <w:color w:val="auto"/>
        </w:rPr>
        <w:t>person</w:t>
      </w:r>
      <w:r>
        <w:rPr>
          <w:rFonts w:ascii="Arial" w:cs="Arial" w:eastAsia="Arial" w:hAnsi="Arial"/>
          <w:sz w:val="18"/>
          <w:szCs w:val="18"/>
          <w:color w:val="auto"/>
        </w:rPr>
        <w:t>” includes both a corporation and a natural person.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 - AMENDMENTS</w:t>
      </w:r>
    </w:p>
    <w:p>
      <w:pPr>
        <w:spacing w:after="0" w:line="229"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These bylaws may be adopted, amended or repealed by the stockholders entitled to vote; provided, however, that the affirmative vote of the holders of at least 66 2/3% of the total voting power of outstanding voting securities, voting together as a single class, shall be required for the stockholders of the corporation to alter, amend or repeal, or adopt any bylaw inconsistent with, the following provisions of these bylaws: Article II, Sections 3.1, 3.2, 3.4 and 3.11 of Article III, Article VIII and this Article X (including, without limitation, any such Article or Section as renumbered as a result of any amendment, alteration, change, repeal, or adoption of any other Bylaw). The board of directors shall also have the power to adopt, amend or repeal bylaws; provided, however, that a bylaw amendment adopted by stockholders which specifies the votes that shall be necessary for the election of directors shall not be further amended or repealed by the board of directors.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 - EXCLUSIVE FORUM</w:t>
      </w:r>
    </w:p>
    <w:p>
      <w:pPr>
        <w:spacing w:after="0" w:line="229"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Unless the corporation consents in writing to the selection of an alternative forum, the Court of Chancery of the State of Delaware (or, if the Court of Chancery does not have jurisdiction, another State court in Delaware or the federal district court for the District of Delaware) shall, to the fullest extent permitted by law, be the sole and exclusive forum for (i) any derivative action or proceeding under Delaware statutory or common law brought on behalf of the corporation, (ii) any action asserting a claim of breach of a fiduciary duty owed by any director, officer or other employee of the corporation to the corporation or the corporation’s stockholders, (iii) any action arising pursuant to any provision of the DGCL or the corporation’s certificate of incorporation or these bylaws (as either may be amended from time to time), or (iv) any action asserting a claim governed by the internal affairs doctrine, except for, as to each of (i) through (iv) above, any claim (A) as to which such court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9" w:name="page40"/>
    <w:bookmarkEnd w:id="39"/>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determines that there is an indispensable party not subject to the jurisdiction of such court (and the indispensable party does not consent to the personal jurisdiction of such court within ten (10) days following such determination), (B) which is vested in the exclusive jurisdiction of a court or forum other than such court, or (C) for which such court does not have subject matter jurisdiction. Nothing herein contained shall be construed to preclude stockholders that assert claims under the 1934 Act or any successor thereto, from bringing such claims in state or federal court, subject to applicable law.</w:t>
      </w:r>
    </w:p>
    <w:p>
      <w:pPr>
        <w:spacing w:after="0" w:line="157" w:lineRule="exact"/>
        <w:rPr>
          <w:sz w:val="20"/>
          <w:szCs w:val="20"/>
          <w:color w:val="auto"/>
        </w:rPr>
      </w:pPr>
    </w:p>
    <w:p>
      <w:pPr>
        <w:ind w:right="100" w:firstLine="440"/>
        <w:spacing w:after="0" w:line="308" w:lineRule="auto"/>
        <w:rPr>
          <w:sz w:val="20"/>
          <w:szCs w:val="20"/>
          <w:color w:val="auto"/>
        </w:rPr>
      </w:pPr>
      <w:r>
        <w:rPr>
          <w:rFonts w:ascii="Arial" w:cs="Arial" w:eastAsia="Arial" w:hAnsi="Arial"/>
          <w:sz w:val="17"/>
          <w:szCs w:val="17"/>
          <w:color w:val="auto"/>
        </w:rPr>
        <w:t>Unless the corporation consents in writing to the selection of an alternative forum, the federal district courts of the United States of America shall be the exclusive forum for the resolution of any complaint asserting a cause of action arising under the Securities Act of 1933, as amended.</w:t>
      </w:r>
    </w:p>
    <w:p>
      <w:pPr>
        <w:spacing w:after="0" w:line="146"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Any person or entity purchasing or otherwise acquiring any interest in any security of the corporation shall be deemed to have notice of and consented to the provisions of this Article XI.</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40" w:name="page41"/>
    <w:bookmarkEnd w:id="40"/>
    <w:p>
      <w:pPr>
        <w:jc w:val="center"/>
        <w:ind w:right="-5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ALX ONCOLOGY HOLDINGS INC.</w:t>
      </w:r>
    </w:p>
    <w:p>
      <w:pPr>
        <w:spacing w:after="0" w:line="225"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CERTIFICATE OF AMENDMENT OF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The undersigned hereby certifies that he or she is the duly elected, qualified, and acting Secretary or Assistant Secretary of ALX Oncology Holdings Inc., a Delaware corporation and that the foregoing bylaws were amended and restated on June 25, 2020 by the corporation’s board of directors.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undersigned has hereunto set his or her hand this 21st day of July,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0440"/>
          </w:cols>
          <w:pgMar w:left="440" w:top="270" w:right="101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594485" cy="5746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9448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line="282" w:lineRule="auto"/>
        <w:rPr>
          <w:sz w:val="20"/>
          <w:szCs w:val="20"/>
          <w:color w:val="auto"/>
        </w:rPr>
      </w:pPr>
      <w:r>
        <w:rPr>
          <w:rFonts w:ascii="Arial" w:cs="Arial" w:eastAsia="Arial" w:hAnsi="Arial"/>
          <w:sz w:val="25"/>
          <w:szCs w:val="25"/>
          <w:b w:val="1"/>
          <w:bCs w:val="1"/>
          <w:color w:val="auto"/>
        </w:rPr>
        <w:t>ALX Oncology Announces Closing of Initial Public Offering and Full Exercise of the Underwriters’ Option to Purchase Additional Shares</w:t>
      </w:r>
    </w:p>
    <w:p>
      <w:pPr>
        <w:spacing w:after="0" w:line="139"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b w:val="1"/>
          <w:bCs w:val="1"/>
          <w:color w:val="auto"/>
        </w:rPr>
        <w:t xml:space="preserve">BURLINGAME, Calif. – July 21, 2020 – </w:t>
      </w:r>
      <w:r>
        <w:rPr>
          <w:rFonts w:ascii="Arial" w:cs="Arial" w:eastAsia="Arial" w:hAnsi="Arial"/>
          <w:sz w:val="17"/>
          <w:szCs w:val="17"/>
          <w:color w:val="auto"/>
        </w:rPr>
        <w:t>ALX Oncology Holdings Inc., (Nasdaq:ALXO) a clinical-stage immuno-oncology company developing</w:t>
      </w:r>
      <w:r>
        <w:rPr>
          <w:rFonts w:ascii="Arial" w:cs="Arial" w:eastAsia="Arial" w:hAnsi="Arial"/>
          <w:sz w:val="17"/>
          <w:szCs w:val="17"/>
          <w:b w:val="1"/>
          <w:bCs w:val="1"/>
          <w:color w:val="auto"/>
        </w:rPr>
        <w:t xml:space="preserve"> </w:t>
      </w:r>
      <w:r>
        <w:rPr>
          <w:rFonts w:ascii="Arial" w:cs="Arial" w:eastAsia="Arial" w:hAnsi="Arial"/>
          <w:sz w:val="17"/>
          <w:szCs w:val="17"/>
          <w:color w:val="auto"/>
        </w:rPr>
        <w:t>therapies that block the CD47 checkpoint pathway, today announced the closing of its initial public offering of 9,775,000 shares of common stock, including the full exercise of the underwriters’ option to purchase up to 1,275,000 additional shares of common stock, at a public offering price of $19.00 per share. The aggregate gross proceeds to ALX Oncology from the offering were approximately $185.7 million, before deducting underwriting discounts and commissions and other offering expenses. All of the shares in the offering were offered by ALX Oncology.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ALX Oncology’s common stock began trading on The Nasdaq Global Select Market on July 17, 2020 under the ticker symbol “ALXO.”</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Jefferies, Credit Suisse, Piper Sandler and Cantor acted as joint book-running managers for the offering. LifeSci Capital acted as lead manager for the offering.</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Registration statements relating to these securities have been filed with the Securities and Exchange Commission and became effective on July 16, 2020. The offering was made only by means of a prospectus. Copies of the final prospectus relating to this offering may be obtained from Jefferies LLC, Attention: Equity Syndicate Prospectus Department, 520 Madison Avenue, 2nd Floor, New York, NY 10022, by telephone at (877) 821-7388, or by email at prospectus_department@Jefferies.com; Credit Suisse Securities (USA) LLC, Attention: Prospectus Department, 6933 Louis Stephens Drive, Morrisville, NC 27560, by telephone at (800) 221-1037, or by email at usa.prospectus@credit-suisse.com; Piper Sandler &amp; Co., Attn: Prospectus Department, 800 Nicollet Mall, J12S03, Minneapolis, Minnesota 55402, by telephone at (800) 747-3924, or by email at prospectus@psc.com; or Cantor Fitzgerald &amp; Co., Attention: Capital Markets, 499 Park Avenue, 6th Floor New York, New York 10022, or by email at prospectus@cantor.com.</w:t>
      </w:r>
    </w:p>
    <w:p>
      <w:pPr>
        <w:spacing w:after="0" w:line="16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This press release shall not constitute an offer to sell or the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ectPr>
          <w:pgSz w:w="11900" w:h="16838" w:orient="portrait"/>
          <w:cols w:equalWidth="0" w:num="1">
            <w:col w:w="11020"/>
          </w:cols>
          <w:pgMar w:left="440" w:top="121" w:right="439" w:bottom="1440" w:gutter="0" w:footer="0" w:header="0"/>
        </w:sectPr>
      </w:pPr>
    </w:p>
    <w:bookmarkStart w:id="42" w:name="page43"/>
    <w:bookmarkEnd w:id="4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About ALX Oncology</w:t>
      </w:r>
    </w:p>
    <w:p>
      <w:pPr>
        <w:spacing w:after="0" w:line="121"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ALX Oncology is a clinical-stage immuno-oncology company focused on helping patients fight cancer by developing therapies that block the CD47 checkpoint pathway and bridge the innate and adaptive immune system. ALX Oncology’s lead product candidate, ALX148, is a next generation CD47 blocking therapeutic that combines a high-affinity CD47 binding domain with an inactivated, proprietary Fc domain. ALX148 has demonstrated promising clinical responses across a range of hematologic and solid malignancies in combination with a number of leading anti-cancer agents. ALX Oncology intends to advance ALX148 into clinical development for the treatment of myelodysplastic syndromes and to continue clinical development for the treatment of a range of solid tumor indications.</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Media Contact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Karen Sharma</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MacDougall</w:t>
      </w:r>
    </w:p>
    <w:p>
      <w:pPr>
        <w:spacing w:after="0" w:line="9" w:lineRule="exact"/>
        <w:rPr>
          <w:sz w:val="20"/>
          <w:szCs w:val="20"/>
          <w:color w:val="auto"/>
        </w:rPr>
      </w:pPr>
    </w:p>
    <w:p>
      <w:pPr>
        <w:ind w:left="444" w:hanging="444"/>
        <w:spacing w:after="0"/>
        <w:tabs>
          <w:tab w:leader="none" w:pos="4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235-3060</w:t>
      </w:r>
    </w:p>
    <w:p>
      <w:pPr>
        <w:spacing w:after="0" w:line="9"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alx@macbiocom.com</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Investor Contact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Peter Garcia</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CFO, ALX Oncology</w:t>
      </w:r>
    </w:p>
    <w:p>
      <w:pPr>
        <w:spacing w:after="0" w:line="9" w:lineRule="exact"/>
        <w:rPr>
          <w:sz w:val="20"/>
          <w:szCs w:val="20"/>
          <w:color w:val="auto"/>
        </w:rPr>
      </w:pPr>
    </w:p>
    <w:p>
      <w:pPr>
        <w:jc w:val="both"/>
        <w:ind w:left="4" w:right="9080" w:hanging="4"/>
        <w:spacing w:after="0" w:line="323" w:lineRule="auto"/>
        <w:tabs>
          <w:tab w:leader="none" w:pos="439" w:val="left"/>
        </w:tabs>
        <w:numPr>
          <w:ilvl w:val="0"/>
          <w:numId w:val="27"/>
        </w:numPr>
        <w:rPr>
          <w:rFonts w:ascii="Arial" w:cs="Arial" w:eastAsia="Arial" w:hAnsi="Arial"/>
          <w:sz w:val="16"/>
          <w:szCs w:val="16"/>
          <w:color w:val="auto"/>
        </w:rPr>
      </w:pPr>
      <w:r>
        <w:rPr>
          <w:rFonts w:ascii="Arial" w:cs="Arial" w:eastAsia="Arial" w:hAnsi="Arial"/>
          <w:sz w:val="16"/>
          <w:szCs w:val="16"/>
          <w:color w:val="auto"/>
        </w:rPr>
        <w:t>466-7125 Ext. 113 peter@alxoncology.com</w:t>
      </w:r>
    </w:p>
    <w:sectPr>
      <w:pgSz w:w="11900" w:h="16838" w:orient="portrait"/>
      <w:cols w:equalWidth="0" w:num="1">
        <w:col w:w="10844"/>
      </w:cols>
      <w:pgMar w:left="436" w:top="27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lowerLetter"/>
      <w:start w:val="4"/>
    </w:lvl>
  </w:abstractNum>
  <w:abstractNum w:abstractNumId="2">
    <w:nsid w:val="1BEFD79F"/>
    <w:multiLevelType w:val="hybridMultilevel"/>
    <w:lvl w:ilvl="0">
      <w:lvlJc w:val="left"/>
      <w:lvlText w:val="%1"/>
      <w:numFmt w:val="upperLetter"/>
      <w:start w:val="1"/>
    </w:lvl>
    <w:lvl w:ilvl="1">
      <w:lvlJc w:val="left"/>
      <w:lvlText w:val="(%2)"/>
      <w:numFmt w:val="lowerRoman"/>
      <w:start w:val="1"/>
    </w:lvl>
  </w:abstractNum>
  <w:abstractNum w:abstractNumId="3">
    <w:nsid w:val="41A7C4C9"/>
    <w:multiLevelType w:val="hybridMultilevel"/>
    <w:lvl w:ilvl="0">
      <w:lvlJc w:val="left"/>
      <w:lvlText w:val="(%1)"/>
      <w:numFmt w:val="upperLetter"/>
      <w:start w:val="2"/>
    </w:lvl>
    <w:lvl w:ilvl="1">
      <w:lvlJc w:val="left"/>
      <w:lvlText w:val="%2"/>
      <w:numFmt w:val="lowerRoman"/>
      <w:start w:val="1"/>
    </w:lvl>
  </w:abstractNum>
  <w:abstractNum w:abstractNumId="4">
    <w:nsid w:val="6B68079A"/>
    <w:multiLevelType w:val="hybridMultilevel"/>
    <w:lvl w:ilvl="0">
      <w:lvlJc w:val="left"/>
      <w:lvlText w:val="(%1)"/>
      <w:numFmt w:val="lowerRoman"/>
      <w:start w:val="2"/>
    </w:lvl>
  </w:abstractNum>
  <w:abstractNum w:abstractNumId="5">
    <w:nsid w:val="4E6AFB66"/>
    <w:multiLevelType w:val="hybridMultilevel"/>
    <w:lvl w:ilvl="0">
      <w:lvlJc w:val="left"/>
      <w:lvlText w:val="(%1)"/>
      <w:numFmt w:val="lowerLetter"/>
      <w:start w:val="9"/>
    </w:lvl>
    <w:lvl w:ilvl="1">
      <w:lvlJc w:val="left"/>
      <w:lvlText w:val="(%2)"/>
      <w:numFmt w:val="lowerLetter"/>
      <w:start w:val="1"/>
    </w:lvl>
  </w:abstractNum>
  <w:abstractNum w:abstractNumId="6">
    <w:nsid w:val="25E45D32"/>
    <w:multiLevelType w:val="hybridMultilevel"/>
    <w:lvl w:ilvl="0">
      <w:lvlJc w:val="left"/>
      <w:lvlText w:val="%1"/>
      <w:numFmt w:val="lowerLetter"/>
      <w:start w:val="1"/>
    </w:lvl>
    <w:lvl w:ilvl="1">
      <w:lvlJc w:val="left"/>
      <w:lvlText w:val="(%2)"/>
      <w:numFmt w:val="lowerLetter"/>
      <w:start w:val="2"/>
    </w:lvl>
  </w:abstractNum>
  <w:abstractNum w:abstractNumId="7">
    <w:nsid w:val="519B500D"/>
    <w:multiLevelType w:val="hybridMultilevel"/>
    <w:lvl w:ilvl="0">
      <w:lvlJc w:val="left"/>
      <w:lvlText w:val="(%1)"/>
      <w:numFmt w:val="lowerLetter"/>
      <w:start w:val="35"/>
    </w:lvl>
    <w:lvl w:ilvl="1">
      <w:lvlJc w:val="left"/>
      <w:lvlText w:val="%2"/>
      <w:numFmt w:val="lowerLetter"/>
      <w:start w:val="1"/>
    </w:lvl>
  </w:abstractNum>
  <w:abstractNum w:abstractNumId="8">
    <w:nsid w:val="431BD7B7"/>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abstractNum>
  <w:abstractNum w:abstractNumId="9">
    <w:nsid w:val="3F2DBA31"/>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10">
    <w:nsid w:val="7C83E458"/>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
    </w:lvl>
  </w:abstractNum>
  <w:abstractNum w:abstractNumId="11">
    <w:nsid w:val="257130A3"/>
    <w:multiLevelType w:val="hybridMultilevel"/>
    <w:lvl w:ilvl="0">
      <w:lvlJc w:val="left"/>
      <w:lvlText w:val="%1"/>
      <w:numFmt w:val="upperLetter"/>
      <w:start w:val="1"/>
    </w:lvl>
    <w:lvl w:ilvl="1">
      <w:lvlJc w:val="left"/>
      <w:lvlText w:val="(%2)"/>
      <w:numFmt w:val="lowerLetter"/>
      <w:start w:val="61"/>
    </w:lvl>
    <w:lvl w:ilvl="2">
      <w:lvlJc w:val="left"/>
      <w:lvlText w:val="(%3)"/>
      <w:numFmt w:val="lowerLetter"/>
      <w:start w:val="1"/>
    </w:lvl>
  </w:abstractNum>
  <w:abstractNum w:abstractNumId="12">
    <w:nsid w:val="62BBD95A"/>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13">
    <w:nsid w:val="436C6125"/>
    <w:multiLevelType w:val="hybridMultilevel"/>
    <w:lvl w:ilvl="0">
      <w:lvlJc w:val="left"/>
      <w:lvlText w:val="%1"/>
      <w:numFmt w:val="lowerRoman"/>
      <w:start w:val="1"/>
    </w:lvl>
    <w:lvl w:ilvl="1">
      <w:lvlJc w:val="left"/>
      <w:lvlText w:val="(%2)"/>
      <w:numFmt w:val="lowerLetter"/>
      <w:start w:val="2"/>
    </w:lvl>
  </w:abstractNum>
  <w:abstractNum w:abstractNumId="14">
    <w:nsid w:val="628C895D"/>
    <w:multiLevelType w:val="hybridMultilevel"/>
    <w:lvl w:ilvl="0">
      <w:lvlJc w:val="left"/>
      <w:lvlText w:val="(%1)"/>
      <w:numFmt w:val="lowerRoman"/>
      <w:start w:val="4"/>
    </w:lvl>
    <w:lvl w:ilvl="1">
      <w:lvlJc w:val="left"/>
      <w:lvlText w:val="%2"/>
      <w:numFmt w:val="lowerLetter"/>
      <w:start w:val="1"/>
    </w:lvl>
  </w:abstractNum>
  <w:abstractNum w:abstractNumId="15">
    <w:nsid w:val="333AB105"/>
    <w:multiLevelType w:val="hybridMultilevel"/>
    <w:lvl w:ilvl="0">
      <w:lvlJc w:val="left"/>
      <w:lvlText w:val="(%1)"/>
      <w:numFmt w:val="lowerRoman"/>
      <w:start w:val="1"/>
    </w:lvl>
  </w:abstractNum>
  <w:abstractNum w:abstractNumId="16">
    <w:nsid w:val="721DA317"/>
    <w:multiLevelType w:val="hybridMultilevel"/>
    <w:lvl w:ilvl="0">
      <w:lvlJc w:val="left"/>
      <w:lvlText w:val="(%1)"/>
      <w:numFmt w:val="lowerRoman"/>
      <w:start w:val="1"/>
    </w:lvl>
  </w:abstractNum>
  <w:abstractNum w:abstractNumId="17">
    <w:nsid w:val="2443A858"/>
    <w:multiLevelType w:val="hybridMultilevel"/>
    <w:lvl w:ilvl="0">
      <w:lvlJc w:val="left"/>
      <w:lvlText w:val="(%1)"/>
      <w:numFmt w:val="lowerRoman"/>
      <w:start w:val="1"/>
    </w:lvl>
  </w:abstractNum>
  <w:abstractNum w:abstractNumId="18">
    <w:nsid w:val="2D1D5AE9"/>
    <w:multiLevelType w:val="hybridMultilevel"/>
    <w:lvl w:ilvl="0">
      <w:lvlJc w:val="left"/>
      <w:lvlText w:val="(%1)"/>
      <w:numFmt w:val="lowerRoman"/>
      <w:start w:val="1"/>
    </w:lvl>
  </w:abstractNum>
  <w:abstractNum w:abstractNumId="19">
    <w:nsid w:val="6763845E"/>
    <w:multiLevelType w:val="hybridMultilevel"/>
    <w:lvl w:ilvl="0">
      <w:lvlJc w:val="left"/>
      <w:lvlText w:val="(%1)"/>
      <w:numFmt w:val="lowerRoman"/>
      <w:start w:val="1"/>
    </w:lvl>
  </w:abstractNum>
  <w:abstractNum w:abstractNumId="20">
    <w:nsid w:val="75A2A8D4"/>
    <w:multiLevelType w:val="hybridMultilevel"/>
    <w:lvl w:ilvl="0">
      <w:lvlJc w:val="left"/>
      <w:lvlText w:val="(%1)"/>
      <w:numFmt w:val="lowerRoman"/>
      <w:start w:val="2"/>
    </w:lvl>
  </w:abstractNum>
  <w:abstractNum w:abstractNumId="21">
    <w:nsid w:val="8EDBDAB"/>
    <w:multiLevelType w:val="hybridMultilevel"/>
    <w:lvl w:ilvl="0">
      <w:lvlJc w:val="left"/>
      <w:lvlText w:val="%1"/>
      <w:numFmt w:val="upperLetter"/>
      <w:start w:val="1"/>
    </w:lvl>
    <w:lvl w:ilvl="1">
      <w:lvlJc w:val="left"/>
      <w:lvlText w:val="(%2)"/>
      <w:numFmt w:val="lowerRoman"/>
      <w:start w:val="1"/>
    </w:lvl>
  </w:abstractNum>
  <w:abstractNum w:abstractNumId="22">
    <w:nsid w:val="79838CB2"/>
    <w:multiLevelType w:val="hybridMultilevel"/>
    <w:lvl w:ilvl="0">
      <w:lvlJc w:val="left"/>
      <w:lvlText w:val="(%1)"/>
      <w:numFmt w:val="upperLetter"/>
      <w:start w:val="1"/>
    </w:lvl>
    <w:lvl w:ilvl="1">
      <w:lvlJc w:val="left"/>
      <w:lvlText w:val="(%2)"/>
      <w:numFmt w:val="lowerRoman"/>
      <w:start w:val="4"/>
    </w:lvl>
  </w:abstractNum>
  <w:abstractNum w:abstractNumId="23">
    <w:nsid w:val="4353D0CD"/>
    <w:multiLevelType w:val="hybridMultilevel"/>
    <w:lvl w:ilvl="0">
      <w:lvlJc w:val="left"/>
      <w:lvlText w:val="(%1)"/>
      <w:numFmt w:val="lowerRoman"/>
      <w:start w:val="1"/>
    </w:lvl>
  </w:abstractNum>
  <w:abstractNum w:abstractNumId="24">
    <w:nsid w:val="B03E0C6"/>
    <w:multiLevelType w:val="hybridMultilevel"/>
    <w:lvl w:ilvl="0">
      <w:lvlJc w:val="left"/>
      <w:lvlText w:val="(%1)"/>
      <w:numFmt w:val="lowerRoman"/>
      <w:start w:val="4"/>
    </w:lvl>
  </w:abstractNum>
  <w:abstractNum w:abstractNumId="25">
    <w:nsid w:val="189A769B"/>
    <w:multiLevelType w:val="hybridMultilevel"/>
    <w:lvl w:ilvl="0">
      <w:lvlJc w:val="left"/>
      <w:lvlText w:val="(%1)"/>
      <w:numFmt w:val="decimal"/>
      <w:start w:val="781"/>
    </w:lvl>
  </w:abstractNum>
  <w:abstractNum w:abstractNumId="26">
    <w:nsid w:val="54E49EB4"/>
    <w:multiLevelType w:val="hybridMultilevel"/>
    <w:lvl w:ilvl="0">
      <w:lvlJc w:val="left"/>
      <w:lvlText w:val="(%1)"/>
      <w:numFmt w:val="decimal"/>
      <w:start w:val="65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2020-07-21T15:02:58Z</dcterms:created>
  <dcterms:modified xsi:type="dcterms:W3CDTF">2020-07-21T15:02:58Z</dcterms:modified>
</cp:coreProperties>
</file>