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Pietzke Steffen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77"/>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866 MALCOLM ROAD, SUITE 100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23"/>
        <w:spacing w:after="0"/>
        <w:rPr>
          <w:sz w:val="20"/>
          <w:szCs w:val="20"/>
          <w:color w:val="auto"/>
        </w:rPr>
      </w:pPr>
      <w:r>
        <w:rPr>
          <w:rFonts w:ascii="Arial" w:cs="Arial" w:eastAsia="Arial" w:hAnsi="Arial"/>
          <w:sz w:val="20"/>
          <w:szCs w:val="20"/>
          <w:color w:val="0000FF"/>
        </w:rPr>
        <w:t>VP Fin &amp; Chief Acct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03/09/2030</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ind w:left="200"/>
              <w:spacing w:after="0"/>
              <w:rPr>
                <w:sz w:val="20"/>
                <w:szCs w:val="20"/>
                <w:color w:val="auto"/>
              </w:rPr>
            </w:pPr>
            <w:r>
              <w:rPr>
                <w:rFonts w:ascii="Arial" w:cs="Arial" w:eastAsia="Arial" w:hAnsi="Arial"/>
                <w:sz w:val="20"/>
                <w:szCs w:val="20"/>
                <w:color w:val="0000FF"/>
                <w:w w:val="94"/>
              </w:rPr>
              <w:t>151,961</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One-fourth of the shares subject to the option vest on March 16, 2021 and 1/36th of the remaining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and Peter Garcia,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Steffen Pietzke</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Steffen Pietzke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47008"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2020-07-16T17:35:28Z</dcterms:created>
  <dcterms:modified xsi:type="dcterms:W3CDTF">2020-07-16T17:35:28Z</dcterms:modified>
</cp:coreProperties>
</file>