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620" w:hanging="3652"/>
        <w:spacing w:after="0" w:line="320" w:lineRule="auto"/>
        <w:tabs>
          <w:tab w:leader="none" w:pos="4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41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001-39386</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line="212" w:lineRule="auto"/>
        <w:rPr>
          <w:sz w:val="20"/>
          <w:szCs w:val="20"/>
          <w:color w:val="auto"/>
        </w:rPr>
      </w:pPr>
      <w:r>
        <w:rPr>
          <w:rFonts w:ascii="Arial" w:cs="Arial" w:eastAsia="Arial" w:hAnsi="Arial"/>
          <w:sz w:val="13"/>
          <w:szCs w:val="13"/>
          <w:b w:val="1"/>
          <w:bCs w:val="1"/>
          <w:color w:val="auto"/>
        </w:rPr>
        <w:t>incorporation or organization)</w:t>
      </w:r>
    </w:p>
    <w:p>
      <w:pPr>
        <w:ind w:left="2160"/>
        <w:spacing w:after="0" w:line="222" w:lineRule="auto"/>
        <w:rPr>
          <w:sz w:val="20"/>
          <w:szCs w:val="20"/>
          <w:color w:val="auto"/>
        </w:rPr>
      </w:pPr>
      <w:r>
        <w:rPr>
          <w:rFonts w:ascii="Arial" w:cs="Arial" w:eastAsia="Arial" w:hAnsi="Arial"/>
          <w:sz w:val="14"/>
          <w:szCs w:val="14"/>
          <w:color w:val="auto"/>
        </w:rPr>
        <w:t>323 Allerton Avenue</w:t>
      </w:r>
      <w:r>
        <w:rPr>
          <w:rFonts w:ascii="Arial" w:cs="Arial" w:eastAsia="Arial" w:hAnsi="Arial"/>
          <w:sz w:val="14"/>
          <w:szCs w:val="14"/>
          <w:b w:val="1"/>
          <w:bCs w:val="1"/>
          <w:color w:val="auto"/>
        </w:rPr>
        <w:t>,</w:t>
      </w:r>
    </w:p>
    <w:p>
      <w:pPr>
        <w:ind w:left="1840"/>
        <w:spacing w:after="0" w:line="225" w:lineRule="auto"/>
        <w:rPr>
          <w:sz w:val="20"/>
          <w:szCs w:val="20"/>
          <w:color w:val="auto"/>
        </w:rPr>
      </w:pPr>
      <w:r>
        <w:rPr>
          <w:rFonts w:ascii="Arial" w:cs="Arial" w:eastAsia="Arial" w:hAnsi="Arial"/>
          <w:sz w:val="14"/>
          <w:szCs w:val="14"/>
          <w:color w:val="auto"/>
        </w:rPr>
        <w:t>South San Francisco</w:t>
      </w:r>
      <w:r>
        <w:rPr>
          <w:rFonts w:ascii="Arial" w:cs="Arial" w:eastAsia="Arial" w:hAnsi="Arial"/>
          <w:sz w:val="14"/>
          <w:szCs w:val="14"/>
          <w:b w:val="1"/>
          <w:bCs w:val="1"/>
          <w:color w:val="auto"/>
        </w:rPr>
        <w:t>, California</w:t>
      </w:r>
    </w:p>
    <w:p>
      <w:pPr>
        <w:ind w:left="17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220"/>
        <w:spacing w:after="0"/>
        <w:rPr>
          <w:sz w:val="20"/>
          <w:szCs w:val="20"/>
          <w:color w:val="auto"/>
        </w:rPr>
      </w:pPr>
      <w:r>
        <w:rPr>
          <w:rFonts w:ascii="Arial" w:cs="Arial" w:eastAsia="Arial" w:hAnsi="Arial"/>
          <w:sz w:val="14"/>
          <w:szCs w:val="14"/>
          <w:b w:val="1"/>
          <w:bCs w:val="1"/>
          <w:color w:val="auto"/>
        </w:rPr>
        <w:t>85-0642577</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87"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94080</w:t>
      </w:r>
    </w:p>
    <w:p>
      <w:pPr>
        <w:spacing w:after="0" w:line="23" w:lineRule="exact"/>
        <w:rPr>
          <w:sz w:val="24"/>
          <w:szCs w:val="24"/>
          <w:color w:val="auto"/>
        </w:rPr>
      </w:pPr>
    </w:p>
    <w:p>
      <w:pPr>
        <w:ind w:left="200"/>
        <w:spacing w:after="0"/>
        <w:rPr>
          <w:sz w:val="20"/>
          <w:szCs w:val="20"/>
          <w:color w:val="auto"/>
        </w:rPr>
      </w:pPr>
      <w:r>
        <w:rPr>
          <w:rFonts w:ascii="Arial" w:cs="Arial" w:eastAsia="Arial" w:hAnsi="Arial"/>
          <w:sz w:val="13"/>
          <w:szCs w:val="13"/>
          <w:b w:val="1"/>
          <w:bCs w:val="1"/>
          <w:color w:val="auto"/>
        </w:rPr>
        <w:t>(Zip Code)</w:t>
      </w:r>
    </w:p>
    <w:p>
      <w:pPr>
        <w:spacing w:after="0" w:line="52" w:lineRule="exact"/>
        <w:rPr>
          <w:sz w:val="24"/>
          <w:szCs w:val="24"/>
          <w:color w:val="auto"/>
        </w:rPr>
      </w:pPr>
    </w:p>
    <w:p>
      <w:pPr>
        <w:sectPr>
          <w:pgSz w:w="11900" w:h="16838" w:orient="portrait"/>
          <w:cols w:equalWidth="0" w:num="2">
            <w:col w:w="7700" w:space="320"/>
            <w:col w:w="3220"/>
          </w:cols>
          <w:pgMar w:left="320" w:top="50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4"/>
          <w:szCs w:val="14"/>
          <w:b w:val="1"/>
          <w:bCs w:val="1"/>
          <w:color w:val="auto"/>
        </w:rPr>
        <w:t>650</w:t>
      </w:r>
      <w:r>
        <w:rPr>
          <w:rFonts w:ascii="Arial" w:cs="Arial" w:eastAsia="Arial" w:hAnsi="Arial"/>
          <w:sz w:val="18"/>
          <w:szCs w:val="18"/>
          <w:b w:val="1"/>
          <w:bCs w:val="1"/>
          <w:color w:val="auto"/>
        </w:rPr>
        <w:t>-466-7125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ind w:left="4720"/>
        <w:spacing w:after="0" w:line="221" w:lineRule="auto"/>
        <w:rPr>
          <w:sz w:val="20"/>
          <w:szCs w:val="20"/>
          <w:color w:val="auto"/>
        </w:rPr>
      </w:pPr>
      <w:r>
        <w:rPr>
          <w:rFonts w:ascii="Arial" w:cs="Arial" w:eastAsia="Arial" w:hAnsi="Arial"/>
          <w:sz w:val="14"/>
          <w:szCs w:val="14"/>
          <w:b w:val="1"/>
          <w:bCs w:val="1"/>
          <w:color w:val="auto"/>
        </w:rPr>
        <w:t>866 Malcolm Road, Suite 100</w:t>
      </w:r>
    </w:p>
    <w:p>
      <w:pPr>
        <w:ind w:left="4720"/>
        <w:spacing w:after="0"/>
        <w:rPr>
          <w:sz w:val="20"/>
          <w:szCs w:val="20"/>
          <w:color w:val="auto"/>
        </w:rPr>
      </w:pPr>
      <w:r>
        <w:rPr>
          <w:rFonts w:ascii="Arial" w:cs="Arial" w:eastAsia="Arial" w:hAnsi="Arial"/>
          <w:sz w:val="14"/>
          <w:szCs w:val="14"/>
          <w:b w:val="1"/>
          <w:bCs w:val="1"/>
          <w:color w:val="auto"/>
        </w:rPr>
        <w:t>Burlingame, California 94010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227965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120" w:type="dxa"/>
            <w:vAlign w:val="bottom"/>
          </w:tcPr>
          <w:p>
            <w:pPr>
              <w:spacing w:after="0"/>
              <w:rPr>
                <w:sz w:val="17"/>
                <w:szCs w:val="17"/>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ALXO</w:t>
            </w:r>
          </w:p>
        </w:tc>
        <w:tc>
          <w:tcPr>
            <w:tcW w:w="100" w:type="dxa"/>
            <w:vAlign w:val="bottom"/>
          </w:tcPr>
          <w:p>
            <w:pPr>
              <w:spacing w:after="0"/>
              <w:rPr>
                <w:sz w:val="17"/>
                <w:szCs w:val="17"/>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67"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8, 2021, the registrant had 40,499,538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189"/>
        </w:trPr>
        <w:tc>
          <w:tcPr>
            <w:tcW w:w="1140" w:type="dxa"/>
            <w:vAlign w:val="bottom"/>
          </w:tcPr>
          <w:p>
            <w:pPr>
              <w:ind w:left="260"/>
              <w:spacing w:after="0" w:line="189" w:lineRule="exact"/>
              <w:rPr>
                <w:sz w:val="20"/>
                <w:szCs w:val="20"/>
                <w:color w:val="auto"/>
              </w:rPr>
            </w:pPr>
            <w:r>
              <w:rPr>
                <w:rFonts w:ascii="Arial" w:cs="Arial" w:eastAsia="Arial" w:hAnsi="Arial"/>
                <w:sz w:val="18"/>
                <w:szCs w:val="18"/>
                <w:b w:val="1"/>
                <w:bCs w:val="1"/>
                <w:color w:val="auto"/>
              </w:rPr>
              <w:t>PART I.</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720" w:type="dxa"/>
            <w:vAlign w:val="bottom"/>
            <w:gridSpan w:val="12"/>
          </w:tcPr>
          <w:p>
            <w:pPr>
              <w:jc w:val="center"/>
              <w:ind w:right="3480"/>
              <w:spacing w:after="0" w:line="189"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FINANCIAL INFORMATION</w:t>
              </w:r>
            </w:hyperlink>
          </w:p>
        </w:tc>
        <w:tc>
          <w:tcPr>
            <w:tcW w:w="900" w:type="dxa"/>
            <w:vAlign w:val="bottom"/>
          </w:tcPr>
          <w:p>
            <w:pPr>
              <w:spacing w:after="0"/>
              <w:rPr>
                <w:sz w:val="16"/>
                <w:szCs w:val="16"/>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348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2240" w:type="dxa"/>
            <w:vAlign w:val="bottom"/>
            <w:tcBorders>
              <w:top w:val="single" w:sz="8" w:color="0000EE"/>
            </w:tcBorders>
            <w:gridSpan w:val="6"/>
          </w:tcPr>
          <w:p>
            <w:pPr>
              <w:spacing w:after="0"/>
              <w:rPr>
                <w:sz w:val="18"/>
                <w:szCs w:val="18"/>
                <w:color w:val="auto"/>
              </w:rPr>
            </w:pPr>
          </w:p>
        </w:tc>
        <w:tc>
          <w:tcPr>
            <w:tcW w:w="348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65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September 30, 2021 and December 31, 2020</w:t>
              </w:r>
            </w:hyperlink>
          </w:p>
        </w:tc>
        <w:tc>
          <w:tcPr>
            <w:tcW w:w="262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1140" w:type="dxa"/>
            <w:vAlign w:val="bottom"/>
          </w:tcPr>
          <w:p>
            <w:pPr>
              <w:spacing w:after="0"/>
              <w:rPr>
                <w:sz w:val="18"/>
                <w:szCs w:val="18"/>
                <w:color w:val="auto"/>
              </w:rPr>
            </w:pPr>
          </w:p>
        </w:tc>
        <w:tc>
          <w:tcPr>
            <w:tcW w:w="89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and Comprehensive Loss for the three and nine months ended September</w:t>
              </w:r>
            </w:hyperlink>
          </w:p>
        </w:tc>
        <w:tc>
          <w:tcPr>
            <w:tcW w:w="2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30, 2021 and 2020</w:t>
              </w:r>
            </w:hyperlink>
          </w:p>
        </w:tc>
        <w:tc>
          <w:tcPr>
            <w:tcW w:w="784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9"/>
        </w:trPr>
        <w:tc>
          <w:tcPr>
            <w:tcW w:w="1140" w:type="dxa"/>
            <w:vAlign w:val="bottom"/>
          </w:tcPr>
          <w:p>
            <w:pPr>
              <w:spacing w:after="0"/>
              <w:rPr>
                <w:sz w:val="18"/>
                <w:szCs w:val="18"/>
                <w:color w:val="auto"/>
              </w:rPr>
            </w:pPr>
          </w:p>
        </w:tc>
        <w:tc>
          <w:tcPr>
            <w:tcW w:w="902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Convertible Preferred Stock and Stockholders’ Equity (Deficit) for the three and nine</w:t>
              </w:r>
            </w:hyperlink>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200" w:type="dxa"/>
            <w:vAlign w:val="bottom"/>
            <w:gridSpan w:val="2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months ended September 30, 2021 and 2020</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 for the nine months ended September 30, 2021 and 2020</w:t>
              </w:r>
            </w:hyperlink>
          </w:p>
        </w:tc>
        <w:tc>
          <w:tcPr>
            <w:tcW w:w="136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1140" w:type="dxa"/>
            <w:vAlign w:val="bottom"/>
          </w:tcPr>
          <w:p>
            <w:pPr>
              <w:spacing w:after="0"/>
              <w:rPr>
                <w:sz w:val="18"/>
                <w:szCs w:val="18"/>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520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484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9"/>
        </w:trPr>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gridSpan w:val="11"/>
          </w:tcPr>
          <w:p>
            <w:pPr>
              <w:jc w:val="center"/>
              <w:ind w:right="360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900" w:type="dxa"/>
            <w:vAlign w:val="bottom"/>
          </w:tcPr>
          <w:p>
            <w:pPr>
              <w:spacing w:after="0"/>
              <w:rPr>
                <w:sz w:val="24"/>
                <w:szCs w:val="24"/>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2240" w:type="dxa"/>
            <w:vAlign w:val="bottom"/>
            <w:gridSpan w:val="7"/>
          </w:tcPr>
          <w:p>
            <w:pPr>
              <w:spacing w:after="0"/>
              <w:rPr>
                <w:sz w:val="18"/>
                <w:szCs w:val="18"/>
                <w:color w:val="auto"/>
              </w:rPr>
            </w:pPr>
          </w:p>
        </w:tc>
        <w:tc>
          <w:tcPr>
            <w:tcW w:w="2020" w:type="dxa"/>
            <w:vAlign w:val="bottom"/>
            <w:tcBorders>
              <w:top w:val="single" w:sz="8" w:color="0000EE"/>
            </w:tcBorders>
            <w:gridSpan w:val="4"/>
          </w:tcPr>
          <w:p>
            <w:pPr>
              <w:spacing w:after="0"/>
              <w:rPr>
                <w:sz w:val="18"/>
                <w:szCs w:val="18"/>
                <w:color w:val="auto"/>
              </w:rPr>
            </w:pPr>
          </w:p>
        </w:tc>
        <w:tc>
          <w:tcPr>
            <w:tcW w:w="360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Defaults Upon Senior Securities</w:t>
              </w:r>
            </w:hyperlink>
          </w:p>
        </w:tc>
        <w:tc>
          <w:tcPr>
            <w:tcW w:w="4860" w:type="dxa"/>
            <w:vAlign w:val="bottom"/>
            <w:gridSpan w:val="9"/>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8"/>
                <w:szCs w:val="18"/>
                <w:color w:val="auto"/>
              </w:rPr>
            </w:pPr>
          </w:p>
        </w:tc>
        <w:tc>
          <w:tcPr>
            <w:tcW w:w="6880" w:type="dxa"/>
            <w:vAlign w:val="bottom"/>
            <w:gridSpan w:val="1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Other Information</w:t>
              </w:r>
            </w:hyperlink>
          </w:p>
        </w:tc>
        <w:tc>
          <w:tcPr>
            <w:tcW w:w="7880" w:type="dxa"/>
            <w:vAlign w:val="bottom"/>
            <w:gridSpan w:val="19"/>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2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gridSpan w:val="2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0" w:type="dxa"/>
            <w:vAlign w:val="bottom"/>
            <w:gridSpan w:val="23"/>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824"/>
        </w:trPr>
        <w:tc>
          <w:tcPr>
            <w:tcW w:w="1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9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3"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880" w:right="340" w:hanging="37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9" w:lineRule="exact"/>
        <w:rPr>
          <w:rFonts w:ascii="Arial" w:cs="Arial" w:eastAsia="Arial" w:hAnsi="Arial"/>
          <w:sz w:val="18"/>
          <w:szCs w:val="18"/>
          <w:color w:val="auto"/>
        </w:rPr>
      </w:pPr>
    </w:p>
    <w:p>
      <w:pPr>
        <w:ind w:left="880" w:right="480" w:hanging="37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1"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 parties to conduct preclinical research activities, clinical trials, and for the manufacture of our product candidates;</w:t>
      </w:r>
    </w:p>
    <w:p>
      <w:pPr>
        <w:spacing w:after="0" w:line="20"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the further development and manufacturing of our product candidates, including additional indications that we may pursue;</w:t>
      </w:r>
    </w:p>
    <w:p>
      <w:pPr>
        <w:spacing w:after="0" w:line="32"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potential and ability to successfully manufacture and supply our product candidates for clinical trials and for commercial use, if approved;</w:t>
      </w:r>
    </w:p>
    <w:p>
      <w:pPr>
        <w:spacing w:after="0" w:line="32" w:lineRule="exact"/>
        <w:rPr>
          <w:rFonts w:ascii="Arial" w:cs="Arial" w:eastAsia="Arial" w:hAnsi="Arial"/>
          <w:sz w:val="16"/>
          <w:szCs w:val="16"/>
          <w:color w:val="auto"/>
        </w:rPr>
      </w:pPr>
    </w:p>
    <w:p>
      <w:pPr>
        <w:ind w:left="880" w:right="320" w:hanging="37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w:t>
      </w: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9" w:lineRule="exact"/>
        <w:rPr>
          <w:rFonts w:ascii="Arial" w:cs="Arial" w:eastAsia="Arial" w:hAnsi="Arial"/>
          <w:sz w:val="18"/>
          <w:szCs w:val="18"/>
          <w:color w:val="auto"/>
        </w:rPr>
      </w:pPr>
    </w:p>
    <w:p>
      <w:pPr>
        <w:ind w:left="880" w:right="340" w:hanging="37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9" w:lineRule="exact"/>
        <w:rPr>
          <w:rFonts w:ascii="Arial" w:cs="Arial" w:eastAsia="Arial" w:hAnsi="Arial"/>
          <w:sz w:val="18"/>
          <w:szCs w:val="18"/>
          <w:color w:val="auto"/>
        </w:rPr>
      </w:pPr>
    </w:p>
    <w:p>
      <w:pPr>
        <w:ind w:left="880" w:right="360" w:hanging="37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 and</w:t>
      </w: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our existing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ind w:firstLine="510"/>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rPr>
              <w:t>PART I—FINANCIAL INFORMATION</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90"/>
              </w:rPr>
              <w:t>Item 1 – Financial Statements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92"/>
              </w:rPr>
              <w:t>ALX Oncology Holdings Inc.</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720" w:type="dxa"/>
            <w:vAlign w:val="bottom"/>
          </w:tcPr>
          <w:p>
            <w:pPr>
              <w:jc w:val="center"/>
              <w:ind w:left="3430"/>
              <w:spacing w:after="0"/>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tcPr>
          <w:p>
            <w:pPr>
              <w:jc w:val="center"/>
              <w:ind w:left="3430"/>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385,149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434,219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388,963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435,992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399,728</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436,054</w:t>
            </w:r>
          </w:p>
        </w:tc>
        <w:tc>
          <w:tcPr>
            <w:tcW w:w="10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3,683</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Payable and accrued liabilities due to related party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14,556</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Common stock, $0.001 par value; 1,000,000,000 shares authorized as of September 30,</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2021 and December 31, 2020, respectively; 40,486,287 and 39,844,522 shares issued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and outstanding as of September 30, 2021 and December 31, 2020, respectively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558,679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548,327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(173,547)</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(118,522)</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385,172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399,728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436,054</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24,576</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55,083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(24,576)</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(24,566)</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(24,566)</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(24,566)</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(0.61)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(0.36)</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(1.37)</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of common stock used to compute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40"/>
              <w:spacing w:after="0"/>
              <w:rPr>
                <w:sz w:val="20"/>
                <w:szCs w:val="20"/>
                <w:color w:val="auto"/>
              </w:rPr>
            </w:pPr>
            <w:r>
              <w:rPr>
                <w:rFonts w:ascii="Arial" w:cs="Arial" w:eastAsia="Arial" w:hAnsi="Arial"/>
                <w:sz w:val="18"/>
                <w:szCs w:val="18"/>
                <w:color w:val="auto"/>
              </w:rPr>
              <w:t>loss per share attributable to common stockholders, basic and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40,396,188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29,664,122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40,234,159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12,052,876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96"/>
              </w:rPr>
              <w:t>Three Months Ended September 30, 2021</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2300" w:type="dxa"/>
            <w:vAlign w:val="bottom"/>
            <w:gridSpan w:val="6"/>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Convertible Preferred</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Stockholders' Equity</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4"/>
              </w:rPr>
              <w:t>Stock</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vMerge w:val="restart"/>
          </w:tcPr>
          <w:p>
            <w:pPr>
              <w:jc w:val="right"/>
              <w:ind w:right="226"/>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80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3"/>
            <w:vMerge w:val="continue"/>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55"/>
        </w:trPr>
        <w:tc>
          <w:tcPr>
            <w:tcW w:w="38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1"/>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June 30, 2021</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40,325,270</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8"/>
              </w:rPr>
              <w:t>40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553,955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(148,981)</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405,014</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Issuance of common stock under equity</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incentive plan</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161,017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4,191</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(24,566)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(24,566)</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as of September 30, 2021</w:t>
            </w: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vMerge w:val="continue"/>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40,486,287</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8"/>
              </w:rPr>
              <w:t>40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558,679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(173,547)</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385,172</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96"/>
              </w:rPr>
              <w:t>Three Months Ended September 30, 2020</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2300" w:type="dxa"/>
            <w:vAlign w:val="bottom"/>
            <w:gridSpan w:val="6"/>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Convertible Preferred</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60" w:type="dxa"/>
            <w:vAlign w:val="bottom"/>
            <w:gridSpan w:val="9"/>
            <w:vMerge w:val="restart"/>
          </w:tcPr>
          <w:p>
            <w:pPr>
              <w:jc w:val="center"/>
              <w:ind w:right="220"/>
              <w:spacing w:after="0"/>
              <w:rPr>
                <w:sz w:val="20"/>
                <w:szCs w:val="20"/>
                <w:color w:val="auto"/>
              </w:rPr>
            </w:pPr>
            <w:r>
              <w:rPr>
                <w:rFonts w:ascii="Arial" w:cs="Arial" w:eastAsia="Arial" w:hAnsi="Arial"/>
                <w:sz w:val="14"/>
                <w:szCs w:val="14"/>
                <w:b w:val="1"/>
                <w:bCs w:val="1"/>
                <w:color w:val="auto"/>
                <w:w w:val="93"/>
              </w:rPr>
              <w:t>Stockholders' Equity (Deficit)</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4"/>
              </w:rPr>
              <w:t>Stock</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vMerge w:val="restart"/>
          </w:tcPr>
          <w:p>
            <w:pPr>
              <w:jc w:val="right"/>
              <w:ind w:right="226"/>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5"/>
        </w:trPr>
        <w:tc>
          <w:tcPr>
            <w:tcW w:w="38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1"/>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June 30, 2020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21,369,774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175,043</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3,166,946</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(89,567)</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(84,398)</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Vesting of early exercised stock</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options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Reclassification of warrants from liability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equity</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Conversion of convertible preferred stock into</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(21,369,774)</w:t>
            </w:r>
          </w:p>
        </w:tc>
        <w:tc>
          <w:tcPr>
            <w:tcW w:w="24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(175,043)</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21,369,774</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8"/>
              </w:rPr>
              <w:t>21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175,022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175,043</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Cumulative dividends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2,564,759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in connection with</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initial public offering, net of underwriter</w:t>
            </w: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discounts and issuance costs</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9,775,000</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8"/>
              </w:rPr>
              <w:t>10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169,531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169,541</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Issuance of common stock under equity</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incentive plans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182,111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net exercise of</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warrants</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48,932</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(10,181)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(10,181)</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as of September 30, 2020</w:t>
            </w: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37,107,522</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8"/>
              </w:rPr>
              <w:t>37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351,727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(99,748)</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252,016</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w w:val="97"/>
              </w:rPr>
              <w:t>Nine Months Ended September 30, 2021</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2200" w:type="dxa"/>
            <w:vAlign w:val="bottom"/>
            <w:gridSpan w:val="5"/>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Convertible Preferred</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Stockholders' Equity</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4"/>
              </w:rPr>
              <w:t>Stock</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vMerge w:val="restart"/>
          </w:tcPr>
          <w:p>
            <w:pPr>
              <w:jc w:val="right"/>
              <w:ind w:right="226"/>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74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3"/>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14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1"/>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1"/>
              <w:spacing w:after="0" w:line="155"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2020</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39,844,522</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8"/>
              </w:rPr>
              <w:t>40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548,327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(118,522)</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429,845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Issuance of common stock under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equity incentive plan</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639,552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employee stock purchase plan</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2,213</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(55,025)</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(55,025)</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6"/>
                <w:szCs w:val="16"/>
                <w:b w:val="1"/>
                <w:bCs w:val="1"/>
                <w:color w:val="auto"/>
              </w:rPr>
              <w:t>Balance as of September 30, 2021</w:t>
            </w: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0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40,486,287</w:t>
            </w:r>
          </w:p>
        </w:tc>
        <w:tc>
          <w:tcPr>
            <w:tcW w:w="220" w:type="dxa"/>
            <w:vAlign w:val="bottom"/>
          </w:tcPr>
          <w:p>
            <w:pPr>
              <w:spacing w:after="0"/>
              <w:rPr>
                <w:sz w:val="17"/>
                <w:szCs w:val="17"/>
                <w:color w:val="auto"/>
              </w:rPr>
            </w:pP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78"/>
              </w:rPr>
              <w:t>40</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558,679</w:t>
            </w:r>
          </w:p>
        </w:tc>
        <w:tc>
          <w:tcPr>
            <w:tcW w:w="2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(173,547)</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385,172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w w:val="97"/>
              </w:rPr>
              <w:t>Nine Months Ended September 30, 2020</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2200" w:type="dxa"/>
            <w:vAlign w:val="bottom"/>
            <w:gridSpan w:val="5"/>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Convertible Preferred</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60" w:type="dxa"/>
            <w:vAlign w:val="bottom"/>
            <w:gridSpan w:val="9"/>
            <w:vMerge w:val="restart"/>
          </w:tcPr>
          <w:p>
            <w:pPr>
              <w:jc w:val="center"/>
              <w:ind w:right="220"/>
              <w:spacing w:after="0"/>
              <w:rPr>
                <w:sz w:val="20"/>
                <w:szCs w:val="20"/>
                <w:color w:val="auto"/>
              </w:rPr>
            </w:pPr>
            <w:r>
              <w:rPr>
                <w:rFonts w:ascii="Arial" w:cs="Arial" w:eastAsia="Arial" w:hAnsi="Arial"/>
                <w:sz w:val="14"/>
                <w:szCs w:val="14"/>
                <w:b w:val="1"/>
                <w:bCs w:val="1"/>
                <w:color w:val="auto"/>
                <w:w w:val="93"/>
              </w:rPr>
              <w:t>Stockholders' Equity (Deficit)</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4"/>
              </w:rPr>
              <w:t>Stock</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vMerge w:val="restart"/>
          </w:tcPr>
          <w:p>
            <w:pPr>
              <w:jc w:val="right"/>
              <w:ind w:right="226"/>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14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1"/>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1"/>
              <w:spacing w:after="0" w:line="155" w:lineRule="exact"/>
              <w:rPr>
                <w:sz w:val="20"/>
                <w:szCs w:val="20"/>
                <w:color w:val="auto"/>
              </w:rPr>
            </w:pPr>
            <w:r>
              <w:rPr>
                <w:rFonts w:ascii="Arial" w:cs="Arial" w:eastAsia="Arial" w:hAnsi="Arial"/>
                <w:sz w:val="14"/>
                <w:szCs w:val="14"/>
                <w:b w:val="1"/>
                <w:bCs w:val="1"/>
                <w:color w:val="auto"/>
                <w:w w:val="99"/>
              </w:rPr>
              <w:t>(Deficit)</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2019</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10,313,808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70,363</w:t>
            </w:r>
          </w:p>
        </w:tc>
        <w:tc>
          <w:tcPr>
            <w:tcW w:w="220" w:type="dxa"/>
            <w:vAlign w:val="bottom"/>
            <w:tcBorders>
              <w:right w:val="single" w:sz="8" w:color="auto"/>
            </w:tcBorders>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3,166,946</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(72,782)</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(70,639)</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Issuance of convertible preferred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stock, net of issuance costs</w:t>
            </w:r>
          </w:p>
        </w:tc>
        <w:tc>
          <w:tcPr>
            <w:tcW w:w="900" w:type="dxa"/>
            <w:vAlign w:val="bottom"/>
          </w:tcPr>
          <w:p>
            <w:pPr>
              <w:jc w:val="right"/>
              <w:spacing w:after="0"/>
              <w:rPr>
                <w:sz w:val="20"/>
                <w:szCs w:val="20"/>
                <w:color w:val="auto"/>
              </w:rPr>
            </w:pPr>
            <w:r>
              <w:rPr>
                <w:rFonts w:ascii="Arial" w:cs="Arial" w:eastAsia="Arial" w:hAnsi="Arial"/>
                <w:sz w:val="16"/>
                <w:szCs w:val="16"/>
                <w:color w:val="auto"/>
              </w:rPr>
              <w:t>11,055,966</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104,680</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Vesting of early exercised stock</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Reclassification of warrants</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from liability to equity</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Conversion of convertible preferred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stock into common stock</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(21,369,774)</w:t>
            </w: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(175,043)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21,369,774</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78"/>
              </w:rPr>
              <w:t>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175,022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175,043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Cumulative dividends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2,564,759</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Issuance of common stock in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120"/>
              <w:spacing w:after="0"/>
              <w:rPr>
                <w:sz w:val="20"/>
                <w:szCs w:val="20"/>
                <w:color w:val="auto"/>
              </w:rPr>
            </w:pPr>
            <w:r>
              <w:rPr>
                <w:rFonts w:ascii="Arial" w:cs="Arial" w:eastAsia="Arial" w:hAnsi="Arial"/>
                <w:sz w:val="16"/>
                <w:szCs w:val="16"/>
                <w:color w:val="auto"/>
              </w:rPr>
              <w:t>connection with initial public</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120"/>
              <w:spacing w:after="0"/>
              <w:rPr>
                <w:sz w:val="20"/>
                <w:szCs w:val="20"/>
                <w:color w:val="auto"/>
              </w:rPr>
            </w:pPr>
            <w:r>
              <w:rPr>
                <w:rFonts w:ascii="Arial" w:cs="Arial" w:eastAsia="Arial" w:hAnsi="Arial"/>
                <w:sz w:val="16"/>
                <w:szCs w:val="16"/>
                <w:color w:val="auto"/>
              </w:rPr>
              <w:t>offering, net of underwriter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discounts and issuance costs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9,775,000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78"/>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169,531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incentive plans</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182,111</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Issuance of common stock upon net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exercise of warrants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48,932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(26,966)</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(26,966)</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6"/>
                <w:szCs w:val="16"/>
                <w:b w:val="1"/>
                <w:bCs w:val="1"/>
                <w:color w:val="auto"/>
              </w:rPr>
              <w:t>Balance as of September 30, 2020</w:t>
            </w: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0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w w:val="98"/>
              </w:rPr>
              <w:t>$ 37,107,522</w:t>
            </w:r>
          </w:p>
        </w:tc>
        <w:tc>
          <w:tcPr>
            <w:tcW w:w="220" w:type="dxa"/>
            <w:vAlign w:val="bottom"/>
          </w:tcPr>
          <w:p>
            <w:pPr>
              <w:spacing w:after="0"/>
              <w:rPr>
                <w:sz w:val="17"/>
                <w:szCs w:val="17"/>
                <w:color w:val="auto"/>
              </w:rPr>
            </w:pP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78"/>
              </w:rPr>
              <w:t>37</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351,727</w:t>
            </w:r>
          </w:p>
        </w:tc>
        <w:tc>
          <w:tcPr>
            <w:tcW w:w="2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(99,748)</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252,016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30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7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w w:val="95"/>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(55,025)</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(26,966)</w:t>
            </w: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costs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8,228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 loan discount and issuance costs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Changes in fair value of compound derivative liability and warrants</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assignment of lease</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Receivables due from related-party</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(2,042)</w:t>
            </w:r>
          </w:p>
        </w:tc>
        <w:tc>
          <w:tcPr>
            <w:tcW w:w="4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(10,653)</w:t>
            </w: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and accrued liabilities due to related party</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non-current liabilities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10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(50,613)</w:t>
            </w:r>
          </w:p>
        </w:tc>
        <w:tc>
          <w:tcPr>
            <w:tcW w:w="2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4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assets held for sale</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in)/provided by investing activities</w:t>
            </w:r>
          </w:p>
        </w:tc>
        <w:tc>
          <w:tcPr>
            <w:tcW w:w="84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Proceeds from equity offerings, net</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Payments of offering costs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Proceeds from exercise of stock options under equity incentive plan</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pursuant to employee stock purchase plan</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Proceeds from issuance of convertible preferred stock, net</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Principal payments on finance lease obligations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(177)</w:t>
            </w: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Net (decrease)/increase in cash and cash equivalents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(49,070)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8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434,219</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8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385,149</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259,484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w:t>
            </w:r>
          </w:p>
        </w:tc>
        <w:tc>
          <w:tcPr>
            <w:tcW w:w="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780" w:type="dxa"/>
            <w:vAlign w:val="bottom"/>
            <w:gridSpan w:val="2"/>
            <w:shd w:val="clear" w:color="auto" w:fill="CFF0FC"/>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Cash paid for taxes</w:t>
            </w:r>
          </w:p>
        </w:tc>
        <w:tc>
          <w:tcPr>
            <w:tcW w:w="178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19"/>
                <w:szCs w:val="19"/>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Vesting of early exercised stock options</w:t>
            </w:r>
          </w:p>
        </w:tc>
        <w:tc>
          <w:tcPr>
            <w:tcW w:w="178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acquired under operating leases</w:t>
            </w:r>
          </w:p>
        </w:tc>
        <w:tc>
          <w:tcPr>
            <w:tcW w:w="1780" w:type="dxa"/>
            <w:vAlign w:val="bottom"/>
            <w:gridSpan w:val="2"/>
            <w:shd w:val="clear" w:color="auto" w:fill="CFF0FC"/>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Right-of-use asset acquired under finance leases</w:t>
            </w:r>
          </w:p>
        </w:tc>
        <w:tc>
          <w:tcPr>
            <w:tcW w:w="178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Pr>
          <w:p>
            <w:pPr>
              <w:spacing w:after="0"/>
              <w:rPr>
                <w:sz w:val="19"/>
                <w:szCs w:val="19"/>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 in accounts payable and other current liabilities</w:t>
            </w:r>
          </w:p>
        </w:tc>
        <w:tc>
          <w:tcPr>
            <w:tcW w:w="1780" w:type="dxa"/>
            <w:vAlign w:val="bottom"/>
            <w:gridSpan w:val="2"/>
            <w:shd w:val="clear" w:color="auto" w:fill="CFF0FC"/>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closing</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of initial public offering</w:t>
            </w:r>
          </w:p>
        </w:tc>
        <w:tc>
          <w:tcPr>
            <w:tcW w:w="178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Accumulated dividend on convertible preferred stock</w:t>
            </w:r>
          </w:p>
        </w:tc>
        <w:tc>
          <w:tcPr>
            <w:tcW w:w="1780" w:type="dxa"/>
            <w:vAlign w:val="bottom"/>
            <w:gridSpan w:val="2"/>
            <w:shd w:val="clear" w:color="auto" w:fill="CFF0FC"/>
          </w:tcPr>
          <w:p>
            <w:pPr>
              <w:jc w:val="right"/>
              <w:ind w:right="77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20" w:right="9520" w:hanging="512"/>
        <w:spacing w:after="0" w:line="377" w:lineRule="auto"/>
        <w:tabs>
          <w:tab w:leader="none" w:pos="26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ALX Oncology Holdings Inc., or the Company, is a clinical-stage immuno-oncology company focused on helping patients fight cancer by developing therapies that block the CD47 checkpoint pathway and bridge the innate and adaptive immune system. The Company was formed as a Delaware corporation on April 1, 2020, or Inception, for the purpose of completing the Company’s initial public offering of its common stock and related transactions in order to carry on the business of ALX Oncology Limited. After Inception, ALX Oncology Limited became a wholly-owned subsidiary of the Company as a result of the internal reorganization. As part of the internal reorganization, all of the equity, option and warrant holders of ALX Oncology Limited became equity, option and warrant holders of the Company, holding the same number of corresponding shares, options and/or warrants in the Company as they did in ALX Oncology Limited immediately prior to the internal reorganization. The information included herein is presented as that of ALX Oncology Holdings Inc. unless such information refers to a date prior to April 1, 2020, in which case it will reflect that of ALX Oncology Limited, the predecessor company.</w:t>
      </w:r>
    </w:p>
    <w:p>
      <w:pPr>
        <w:spacing w:after="0" w:line="196"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Company owns subsidiaries, consisting of ALX Oncology Limited, incorporated in Ireland; ALX Oncology Inc., incorporated in the United States, and Alexo International Holdings Ltd, incorporated in Malta;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18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of September 30, 2021, the Company has devoted substantially all of its efforts to the product development as well as formation and financing of the Company, and has not realized product revenues from its planned principal operations. The Company has no manufacturing facilities and all manufacturing related activities are contracted out to third-party service providers.</w:t>
      </w:r>
    </w:p>
    <w:p>
      <w:pPr>
        <w:spacing w:after="0" w:line="184"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spacing w:after="0" w:line="324" w:lineRule="exact"/>
        <w:rPr>
          <w:sz w:val="20"/>
          <w:szCs w:val="20"/>
          <w:color w:val="auto"/>
        </w:rPr>
      </w:pPr>
    </w:p>
    <w:p>
      <w:pPr>
        <w:ind w:left="520" w:right="7560" w:hanging="512"/>
        <w:spacing w:after="0" w:line="385" w:lineRule="auto"/>
        <w:tabs>
          <w:tab w:leader="none" w:pos="26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Preparation</w:t>
      </w:r>
    </w:p>
    <w:p>
      <w:pPr>
        <w:spacing w:after="0" w:line="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or GAAP and applicable rules and regulations of the Securities and Exchange Commission, or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year ended December 31, 2020 filed with the SEC on March 18, 2021.</w:t>
      </w:r>
    </w:p>
    <w:p>
      <w:pPr>
        <w:spacing w:after="0" w:line="19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financial statements as of that date, but does not include all disclosures including notes required by GAAP.</w:t>
      </w:r>
    </w:p>
    <w:p>
      <w:pPr>
        <w:spacing w:after="0" w:line="170"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2021.</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auto"/>
        </w:rPr>
        <w:t>Certain reclassifications have also been made within the condensed consolidated balance sheet as of December 31, 2020 to conform to the current year presentation. The Company reclassified approximately $0.1 million out of accrued expenses and other current liabilities into payable and accrued liabilities due to related-party. Total current liabilities as of December 31, 2020 did not change as a result of these reclassifications.</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color w:val="auto"/>
        </w:rPr>
        <w:t>With the exception of the change in the accounting for leases as a result of the adoption of Accounting Standards Update (ASU) No. 2016-02, Leases, Topic 842, or Accounting Standards Codification (ASC) 842, on January 1, 2021, there have been no new or material changes to the significant accounting policies discussed in the Company’s Annual Report on Form 10-K for the year ended December 31, 2020.</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The Company determines if an arrangement contains a lease at inception. For arrangements where the Company is the lessee, leases are included in operating or finance lease right-of-use, or ROU, assets; current operating or finance lease liabilities; and non-current operating or finance lease liabilities.</w:t>
      </w:r>
    </w:p>
    <w:p>
      <w:pPr>
        <w:spacing w:after="0" w:line="17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Lease ROU assets and lease liabilities are recognized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The Company considered information available at the adoption date of ASC 842 to determine the incremental borrowing rate for leases in existence as of this date. Lease terms may include options to extend or terminate the lease when the Company is reasonably certain that the option will be exercised. Lease expense for operating leases is recognized on a straight-line basis over the lease term. For finance leases, ROU assets are amortized on a straight-line basis over the shorter of the expected useful life or the lease term, and the carrying amount of the lease liability is adjusted to reflect interest, which is recorded in interest expense.</w:t>
      </w:r>
    </w:p>
    <w:p>
      <w:pPr>
        <w:spacing w:after="0" w:line="2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 term leases. A short-term lease is a lease that, at the commencement date, has a lease term of 12 months or less and does not include an option to purchase the underlying asset that the lessee is reasonably certain to exercise.</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February 2016, the Financial Accounting Standards Board, or FASB, issued ASU No. 2016-02, Topic 842, Leases (ASU 2016-02). ASU 2016-02 requires an entity to recognize assets and liabilities arising from a lease for both operating and finance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extended the effective date of ASU No. 2016-02 for non-public business entities, including smaller reporting companies, to fiscal years beginning after December 15, 2021, with early adoption permitted. The Company adopted ASC 842 on January 1, 2021 using the alternative modified transition method, which applies the standard as of the adoption date and therefore, the Company has not applied the standard to the comparative periods presented in the Company's financial statements. The Company elected the following practical expedients:</w:t>
      </w:r>
    </w:p>
    <w:p>
      <w:pPr>
        <w:spacing w:after="0" w:line="97" w:lineRule="exact"/>
        <w:rPr>
          <w:sz w:val="20"/>
          <w:szCs w:val="20"/>
          <w:color w:val="auto"/>
        </w:rPr>
      </w:pPr>
    </w:p>
    <w:p>
      <w:pPr>
        <w:ind w:left="1000" w:right="36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to reassess prior conclusions on whether any expired or existing contracts are or contain a lease, lease classification, and initial direct costs;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combine lease and non-lease components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to recognize ROU assets or lease liabilities for short term leases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1" w:name="page12"/>
    <w:bookmarkEnd w:id="11"/>
    <w:p>
      <w:pPr>
        <w:ind w:right="20" w:firstLine="510"/>
        <w:spacing w:after="0" w:line="279" w:lineRule="auto"/>
        <w:rPr>
          <w:sz w:val="20"/>
          <w:szCs w:val="20"/>
          <w:color w:val="auto"/>
        </w:rPr>
      </w:pPr>
      <w:r>
        <w:rPr>
          <w:rFonts w:ascii="Arial" w:cs="Arial" w:eastAsia="Arial" w:hAnsi="Arial"/>
          <w:sz w:val="17"/>
          <w:szCs w:val="17"/>
          <w:color w:val="auto"/>
        </w:rPr>
        <w:t>As a lessee, the primary impact of the adoption of ASC 842 was the recognition of operating and finance lease ROU assets of $0.3 million and $0.2 million, respectively, and operating and finance lease liabilities of $0.3 million and $0.2 million, respectively, as of January 1, 2021. ROU assets are presented within other assets, current lease liabilities are presented within accrued expenses and other current liabilities, and non-current lease liabilities are presented within other non-current liabilities on the condensed consolidated balance sheet. See Note 5 "Leases" for additional details.</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adopted this standard as of January 1, 2021 on a prospective basis and there was no material impact on its condensed consolidated financial statements and disclosures as a result of the adoption.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fair value of the Company’s financial assets and liabilities are determined in accordance with the fair value hierarchy established in ASC 820, Fair Value Measurements and Disclosures.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 such as quoted prices in active markets</w:t>
      </w:r>
    </w:p>
    <w:p>
      <w:pPr>
        <w:spacing w:after="0" w:line="117" w:lineRule="exact"/>
        <w:rPr>
          <w:sz w:val="20"/>
          <w:szCs w:val="20"/>
          <w:color w:val="auto"/>
        </w:rPr>
      </w:pPr>
    </w:p>
    <w:p>
      <w:pPr>
        <w:ind w:left="520" w:right="40"/>
        <w:spacing w:after="0" w:line="263" w:lineRule="auto"/>
        <w:rPr>
          <w:sz w:val="20"/>
          <w:szCs w:val="20"/>
          <w:color w:val="auto"/>
        </w:rPr>
      </w:pPr>
      <w:r>
        <w:rPr>
          <w:rFonts w:ascii="Arial" w:cs="Arial" w:eastAsia="Arial" w:hAnsi="Arial"/>
          <w:sz w:val="18"/>
          <w:szCs w:val="18"/>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23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If quoted market prices are not available for the specific security, then the Company would estimate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9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following table sets forth the Company’s financial assets that are measured at fair value on a recurring basis by level within the fair value hierarchy (in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As of September 30, 2021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155"/>
        </w:trPr>
        <w:tc>
          <w:tcPr>
            <w:tcW w:w="2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FF0FC"/>
            </w:tcBorders>
          </w:tcPr>
          <w:p>
            <w:pPr>
              <w:spacing w:after="0"/>
              <w:rPr>
                <w:sz w:val="13"/>
                <w:szCs w:val="13"/>
                <w:color w:val="auto"/>
              </w:rPr>
            </w:pPr>
          </w:p>
        </w:tc>
      </w:tr>
      <w:tr>
        <w:trPr>
          <w:trHeight w:val="223"/>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189"/>
        </w:trPr>
        <w:tc>
          <w:tcPr>
            <w:tcW w:w="240" w:type="dxa"/>
            <w:vAlign w:val="bottom"/>
          </w:tcPr>
          <w:p>
            <w:pPr>
              <w:spacing w:after="0"/>
              <w:rPr>
                <w:sz w:val="16"/>
                <w:szCs w:val="16"/>
                <w:color w:val="auto"/>
              </w:rPr>
            </w:pPr>
          </w:p>
        </w:tc>
        <w:tc>
          <w:tcPr>
            <w:tcW w:w="5000" w:type="dxa"/>
            <w:vAlign w:val="bottom"/>
            <w:gridSpan w:val="2"/>
          </w:tcPr>
          <w:p>
            <w:pPr>
              <w:spacing w:after="0" w:line="189" w:lineRule="exact"/>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375,667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375,667</w:t>
            </w:r>
          </w:p>
        </w:tc>
        <w:tc>
          <w:tcPr>
            <w:tcW w:w="120" w:type="dxa"/>
            <w:vAlign w:val="bottom"/>
            <w:shd w:val="clear" w:color="auto" w:fill="CFF0FC"/>
          </w:tcPr>
          <w:p>
            <w:pPr>
              <w:spacing w:after="0"/>
              <w:rPr>
                <w:sz w:val="19"/>
                <w:szCs w:val="19"/>
                <w:color w:val="auto"/>
              </w:rPr>
            </w:pPr>
          </w:p>
        </w:tc>
      </w:tr>
      <w:tr>
        <w:trPr>
          <w:trHeight w:val="567"/>
        </w:trPr>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As of December 31, 2020</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2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FF0FC"/>
            </w:tcBorders>
          </w:tcPr>
          <w:p>
            <w:pPr>
              <w:spacing w:after="0"/>
              <w:rPr>
                <w:sz w:val="13"/>
                <w:szCs w:val="13"/>
                <w:color w:val="auto"/>
              </w:rPr>
            </w:pPr>
          </w:p>
        </w:tc>
      </w:tr>
      <w:tr>
        <w:trPr>
          <w:trHeight w:val="223"/>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189"/>
        </w:trPr>
        <w:tc>
          <w:tcPr>
            <w:tcW w:w="240" w:type="dxa"/>
            <w:vAlign w:val="bottom"/>
          </w:tcPr>
          <w:p>
            <w:pPr>
              <w:spacing w:after="0"/>
              <w:rPr>
                <w:sz w:val="16"/>
                <w:szCs w:val="16"/>
                <w:color w:val="auto"/>
              </w:rPr>
            </w:pPr>
          </w:p>
        </w:tc>
        <w:tc>
          <w:tcPr>
            <w:tcW w:w="5000" w:type="dxa"/>
            <w:vAlign w:val="bottom"/>
            <w:gridSpan w:val="2"/>
          </w:tcPr>
          <w:p>
            <w:pPr>
              <w:spacing w:after="0" w:line="189" w:lineRule="exact"/>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424,115</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424,115</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did not have any outstanding financial liabilities to be re-measured on a recurring basis as of September 30, 2021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2" w:name="page13"/>
    <w:bookmarkEnd w:id="12"/>
    <w:p>
      <w:pPr>
        <w:ind w:right="340" w:firstLine="510"/>
        <w:spacing w:after="0" w:line="277"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three and nine months ended September 30, 2021 and 2020.</w:t>
      </w:r>
    </w:p>
    <w:p>
      <w:pPr>
        <w:spacing w:after="0" w:line="211" w:lineRule="exact"/>
        <w:rPr>
          <w:sz w:val="20"/>
          <w:szCs w:val="20"/>
          <w:color w:val="auto"/>
        </w:rPr>
      </w:pPr>
    </w:p>
    <w:p>
      <w:pPr>
        <w:ind w:right="860" w:firstLine="510"/>
        <w:spacing w:after="0" w:line="277" w:lineRule="auto"/>
        <w:rPr>
          <w:sz w:val="20"/>
          <w:szCs w:val="20"/>
          <w:color w:val="auto"/>
        </w:rPr>
      </w:pPr>
      <w:r>
        <w:rPr>
          <w:rFonts w:ascii="Arial" w:cs="Arial" w:eastAsia="Arial" w:hAnsi="Arial"/>
          <w:sz w:val="18"/>
          <w:szCs w:val="18"/>
          <w:color w:val="auto"/>
        </w:rPr>
        <w:t>The carrying values of the Company’s financial instruments, such as accounts payable and accrued expenses and other current liabilities, approximated fair value due to the short-term nature of these items.</w:t>
      </w:r>
    </w:p>
    <w:p>
      <w:pPr>
        <w:spacing w:after="0" w:line="328" w:lineRule="exact"/>
        <w:rPr>
          <w:sz w:val="20"/>
          <w:szCs w:val="20"/>
          <w:color w:val="auto"/>
        </w:rPr>
      </w:pPr>
    </w:p>
    <w:p>
      <w:pPr>
        <w:ind w:left="520" w:right="8100" w:hanging="512"/>
        <w:spacing w:after="0" w:line="400" w:lineRule="auto"/>
        <w:tabs>
          <w:tab w:leader="none" w:pos="26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 Net</w:t>
      </w:r>
    </w:p>
    <w:p>
      <w:pPr>
        <w:ind w:left="520"/>
        <w:spacing w:after="0"/>
        <w:rPr>
          <w:rFonts w:ascii="Arial" w:cs="Arial" w:eastAsia="Arial" w:hAnsi="Arial"/>
          <w:sz w:val="17"/>
          <w:szCs w:val="17"/>
          <w:b w:val="1"/>
          <w:bCs w:val="1"/>
          <w:color w:val="auto"/>
        </w:rPr>
      </w:pPr>
      <w:r>
        <w:rPr>
          <w:rFonts w:ascii="Arial" w:cs="Arial" w:eastAsia="Arial" w:hAnsi="Arial"/>
          <w:sz w:val="16"/>
          <w:szCs w:val="16"/>
          <w:color w:val="auto"/>
        </w:rPr>
        <w:t>The following table presents the components of property and equipment, net as of September 30, 2021 and December 31, 2020 (in thousands):</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98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Laboratory Equipment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4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4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60" w:firstLine="510"/>
        <w:spacing w:after="0" w:line="342" w:lineRule="auto"/>
        <w:rPr>
          <w:sz w:val="20"/>
          <w:szCs w:val="20"/>
          <w:color w:val="auto"/>
        </w:rPr>
      </w:pPr>
      <w:r>
        <w:rPr>
          <w:rFonts w:ascii="Arial" w:cs="Arial" w:eastAsia="Arial" w:hAnsi="Arial"/>
          <w:sz w:val="16"/>
          <w:szCs w:val="16"/>
          <w:color w:val="auto"/>
        </w:rPr>
        <w:t>Depreciation and amortization expense was insignificant during the three and nine months ended September 30, 2021. Depreciation and amortization expense was $0.1 million and $0.2 million during the three and nine months ended September 30, 2020, respectively.</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of September 30, 2021, other assets consist of $6.6 million of prepaid clinical expenses, $1.9 million of operating lease ROU assets, $0.9 million of finance lease ROU assets, $0.6 million of prepaid contract manufacturing costs, and $0.2 million of other deposits. As of December 31, 2020, the amount of other assets was considered insignificant.</w:t>
      </w:r>
    </w:p>
    <w:p>
      <w:pPr>
        <w:spacing w:after="0" w:line="3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presents the components of accrued expenses and other current liabilities as of September 30, 2021 and December 31, 2020 (in thousands):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520" w:type="dxa"/>
            <w:vAlign w:val="bottom"/>
            <w:tcBorders>
              <w:bottom w:val="single" w:sz="8" w:color="CFF0FC"/>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and nonclinical study costs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Accrued compensation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2,173</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1,974</w:t>
            </w:r>
          </w:p>
        </w:tc>
        <w:tc>
          <w:tcPr>
            <w:tcW w:w="8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Accrued contract manufacturing</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Finance lease liabilities, current</w:t>
            </w:r>
          </w:p>
        </w:tc>
        <w:tc>
          <w:tcPr>
            <w:tcW w:w="152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1520" w:type="dxa"/>
            <w:vAlign w:val="bottom"/>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Accrued federal income tax</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r>
      <w:tr>
        <w:trPr>
          <w:trHeight w:val="223"/>
        </w:trPr>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2017, the Company entered into a lease agreement for office space for a period of five years and four months, commencing February 1, 2018 and ending May 31, 2023. In July 2020, the Company (i) assigned to Tallac Therapeutics, Inc., or Tallac Therapeutics, a related party, the Company’s lease with respect to the premises located at 866 Malcolm Road, Burlingame, California, and (ii) entered a sub-lease agreement for the same premise from Tallac Therapeutics. The sub-lease is an operating lease. As of September 30, 2021, the Company had approximately $0.2 million right-of-use asset and lease liability related to this lease.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13" w:name="page14"/>
    <w:bookmarkEnd w:id="13"/>
    <w:p>
      <w:pPr>
        <w:ind w:right="20" w:firstLine="510"/>
        <w:spacing w:after="0" w:line="311" w:lineRule="auto"/>
        <w:rPr>
          <w:sz w:val="20"/>
          <w:szCs w:val="20"/>
          <w:color w:val="auto"/>
        </w:rPr>
      </w:pPr>
      <w:r>
        <w:rPr>
          <w:rFonts w:ascii="Arial" w:cs="Arial" w:eastAsia="Arial" w:hAnsi="Arial"/>
          <w:sz w:val="16"/>
          <w:szCs w:val="16"/>
          <w:color w:val="auto"/>
        </w:rPr>
        <w:t>The Company evaluated its vendor contracts to identify embedded leases, if any, and noted that a pharmaceutical support services agreement entered into in May 2016, included leases under ASC 842 because the Company has the right to direct the use of certain equipment. The embedded leases commenced in September 2020 and expire in August 2023 with no stated option to extend the term. The Company classified the leases as finance leases.</w:t>
      </w:r>
    </w:p>
    <w:p>
      <w:pPr>
        <w:spacing w:after="0" w:line="14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May 2021, the Company entered into a lease agreement for office space totaling approximately 10,000 square feet at 323 Allerton Avenue, South San Francisco, California. The term of the lease is from July 5, 2021 to August 31, 2026, with early entry date of June 6, 2021. The lease does not provide an option to extend after it expires. The total lease payments for the life of the lease is approximately $2.0 million. The Company obtained the right to direct the usage of the office space on the early entry date, and therefore considered June 6, 2021 as the lease commencement date. The lease was evaluated as an operating lease. As of September 30, 2021, the Company had ROU asset and lease liability of approximately $1.7 million and $1.9 million, respectively, related to this lease.</w:t>
      </w:r>
    </w:p>
    <w:p>
      <w:pPr>
        <w:spacing w:after="0" w:line="21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ROU assets recorded under the operating lease and finance lease were $1.9 million and $0.9 million, respectively, at September 30, 2021. The amounts were included in the other assets on the condensed consolidated balance sheet.</w:t>
      </w:r>
    </w:p>
    <w:p>
      <w:pPr>
        <w:spacing w:after="0" w:line="19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 presents the maturities and balance sheet information of the Company's operating and finance lease liabilities as of September 30, 2021 (in thousands, except lease term and discount rate):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80" w:type="dxa"/>
            <w:vAlign w:val="bottom"/>
            <w:gridSpan w:val="5"/>
          </w:tcPr>
          <w:p>
            <w:pPr>
              <w:jc w:val="right"/>
              <w:ind w:right="1540"/>
              <w:spacing w:after="0"/>
              <w:rPr>
                <w:sz w:val="20"/>
                <w:szCs w:val="20"/>
                <w:color w:val="auto"/>
              </w:rPr>
            </w:pPr>
            <w:r>
              <w:rPr>
                <w:rFonts w:ascii="Arial" w:cs="Arial" w:eastAsia="Arial" w:hAnsi="Arial"/>
                <w:sz w:val="18"/>
                <w:szCs w:val="18"/>
                <w:b w:val="1"/>
                <w:bCs w:val="1"/>
                <w:color w:val="auto"/>
              </w:rPr>
              <w:t>September 30, 2021</w:t>
            </w:r>
          </w:p>
        </w:tc>
      </w:tr>
      <w:tr>
        <w:trPr>
          <w:trHeight w:val="234"/>
        </w:trPr>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w w:val="96"/>
              </w:rPr>
              <w:t>Operating Leases</w:t>
            </w:r>
          </w:p>
        </w:tc>
        <w:tc>
          <w:tcPr>
            <w:tcW w:w="180" w:type="dxa"/>
            <w:vAlign w:val="bottom"/>
          </w:tcPr>
          <w:p>
            <w:pPr>
              <w:spacing w:after="0"/>
              <w:rPr>
                <w:sz w:val="20"/>
                <w:szCs w:val="20"/>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Finance Leases</w:t>
            </w: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(remaining three months)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519</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Borders>
              <w:top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lease payments</w:t>
            </w:r>
          </w:p>
        </w:tc>
        <w:tc>
          <w:tcPr>
            <w:tcW w:w="220" w:type="dxa"/>
            <w:vAlign w:val="bottom"/>
            <w:tcBorders>
              <w:top w:val="single" w:sz="8" w:color="auto"/>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840" w:type="dxa"/>
            <w:vAlign w:val="bottom"/>
          </w:tcPr>
          <w:p>
            <w:pPr>
              <w:ind w:left="36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9"/>
                <w:szCs w:val="19"/>
                <w:color w:val="auto"/>
              </w:rPr>
            </w:pP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r>
      <w:tr>
        <w:trPr>
          <w:trHeight w:val="223"/>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Lease liabilities: current </w:t>
            </w:r>
            <w:r>
              <w:rPr>
                <w:rFonts w:ascii="Arial" w:cs="Arial" w:eastAsia="Arial" w:hAnsi="Arial"/>
                <w:sz w:val="15"/>
                <w:szCs w:val="15"/>
                <w:color w:val="auto"/>
              </w:rPr>
              <w:t>(i)</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FF0FC"/>
          </w:tcPr>
          <w:p>
            <w:pPr>
              <w:spacing w:after="0"/>
              <w:rPr>
                <w:sz w:val="19"/>
                <w:szCs w:val="19"/>
                <w:color w:val="auto"/>
              </w:rPr>
            </w:pPr>
          </w:p>
        </w:tc>
      </w:tr>
      <w:tr>
        <w:trPr>
          <w:trHeight w:val="229"/>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Lease liabilities: non-current </w:t>
            </w:r>
            <w:r>
              <w:rPr>
                <w:rFonts w:ascii="Arial" w:cs="Arial" w:eastAsia="Arial" w:hAnsi="Arial"/>
                <w:sz w:val="15"/>
                <w:szCs w:val="15"/>
                <w:color w:val="auto"/>
              </w:rPr>
              <w:t>(ii)</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Borders>
              <w:bottom w:val="single" w:sz="8" w:color="CFF0FC"/>
            </w:tcBorders>
          </w:tcPr>
          <w:p>
            <w:pPr>
              <w:spacing w:after="0"/>
              <w:rPr>
                <w:sz w:val="19"/>
                <w:szCs w:val="19"/>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3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22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0"/>
                <w:szCs w:val="20"/>
                <w:color w:val="auto"/>
              </w:rPr>
            </w:pPr>
          </w:p>
        </w:tc>
        <w:tc>
          <w:tcPr>
            <w:tcW w:w="224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219" w:lineRule="exact"/>
        <w:rPr>
          <w:sz w:val="20"/>
          <w:szCs w:val="20"/>
          <w:color w:val="auto"/>
        </w:rPr>
      </w:pPr>
    </w:p>
    <w:p>
      <w:pPr>
        <w:ind w:left="760" w:right="80" w:hanging="752"/>
        <w:spacing w:after="0" w:line="266"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Current lease liabilities are presented within accrued expenses and other current liabilities and payable and accrued liabilities due to related party of $0.7 million and $0.1 million, respectively, on the condensed consolidated balance sheet.</w:t>
      </w:r>
    </w:p>
    <w:p>
      <w:pPr>
        <w:spacing w:after="0" w:line="1" w:lineRule="exact"/>
        <w:rPr>
          <w:rFonts w:ascii="Arial" w:cs="Arial" w:eastAsia="Arial" w:hAnsi="Arial"/>
          <w:sz w:val="16"/>
          <w:szCs w:val="16"/>
          <w:color w:val="auto"/>
        </w:rPr>
      </w:pPr>
    </w:p>
    <w:p>
      <w:pPr>
        <w:ind w:left="760" w:right="260" w:hanging="752"/>
        <w:spacing w:after="0" w:line="288"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Non-current lease liabilities are presented within other non-current liabilities on the condensed consolidated balance sheet, which includes $0.1 million due to Tallac Therapeutics.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lease costs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280" w:type="dxa"/>
            <w:vAlign w:val="bottom"/>
          </w:tcPr>
          <w:p>
            <w:pPr>
              <w:spacing w:after="0"/>
              <w:rPr>
                <w:sz w:val="20"/>
                <w:szCs w:val="20"/>
                <w:color w:val="auto"/>
              </w:rPr>
            </w:pPr>
          </w:p>
        </w:tc>
        <w:tc>
          <w:tcPr>
            <w:tcW w:w="2000" w:type="dxa"/>
            <w:vAlign w:val="bottom"/>
          </w:tcPr>
          <w:p>
            <w:pPr>
              <w:jc w:val="right"/>
              <w:ind w:right="18"/>
              <w:spacing w:after="0"/>
              <w:rPr>
                <w:sz w:val="20"/>
                <w:szCs w:val="20"/>
                <w:color w:val="auto"/>
              </w:rPr>
            </w:pPr>
            <w:r>
              <w:rPr>
                <w:rFonts w:ascii="Arial" w:cs="Arial" w:eastAsia="Arial" w:hAnsi="Arial"/>
                <w:sz w:val="18"/>
                <w:szCs w:val="18"/>
                <w:b w:val="1"/>
                <w:bCs w:val="1"/>
                <w:color w:val="auto"/>
              </w:rPr>
              <w:t>September 30, 2021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000" w:type="dxa"/>
            <w:vAlign w:val="bottom"/>
            <w:tcBorders>
              <w:top w:val="single" w:sz="8" w:color="auto"/>
            </w:tcBorders>
            <w:shd w:val="clear" w:color="auto" w:fill="CFF0FC"/>
          </w:tcPr>
          <w:p>
            <w:pPr>
              <w:jc w:val="right"/>
              <w:ind w:right="18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132</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Variable lease cost and other, net </w:t>
            </w:r>
            <w:r>
              <w:rPr>
                <w:rFonts w:ascii="Arial" w:cs="Arial" w:eastAsia="Arial" w:hAnsi="Arial"/>
                <w:sz w:val="15"/>
                <w:szCs w:val="15"/>
                <w:color w:val="auto"/>
              </w:rPr>
              <w:t>(i)</w:t>
            </w:r>
          </w:p>
        </w:tc>
        <w:tc>
          <w:tcPr>
            <w:tcW w:w="2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tcPr>
          <w:p>
            <w:pPr>
              <w:ind w:left="320"/>
              <w:spacing w:after="0"/>
              <w:rPr>
                <w:sz w:val="20"/>
                <w:szCs w:val="20"/>
                <w:color w:val="auto"/>
              </w:rPr>
            </w:pPr>
            <w:r>
              <w:rPr>
                <w:rFonts w:ascii="Arial" w:cs="Arial" w:eastAsia="Arial" w:hAnsi="Arial"/>
                <w:sz w:val="18"/>
                <w:szCs w:val="18"/>
                <w:color w:val="auto"/>
              </w:rPr>
              <w:t>Amortization of right-of-use assets</w:t>
            </w:r>
          </w:p>
        </w:tc>
        <w:tc>
          <w:tcPr>
            <w:tcW w:w="2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112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Interest</w:t>
            </w:r>
          </w:p>
        </w:tc>
        <w:tc>
          <w:tcPr>
            <w:tcW w:w="20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lease cost</w:t>
            </w:r>
          </w:p>
        </w:tc>
        <w:tc>
          <w:tcPr>
            <w:tcW w:w="2000" w:type="dxa"/>
            <w:vAlign w:val="bottom"/>
            <w:tcBorders>
              <w:bottom w:val="single" w:sz="8" w:color="auto"/>
            </w:tcBorders>
          </w:tcPr>
          <w:p>
            <w:pPr>
              <w:jc w:val="right"/>
              <w:ind w:right="183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269</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left="760" w:right="180" w:hanging="752"/>
        <w:spacing w:after="0" w:line="278"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Variable lease cost and other, net is comprised primarily of common area maintenance charges for the operating lease, which is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7480" w:type="dxa"/>
            <w:vAlign w:val="bottom"/>
          </w:tcPr>
          <w:p>
            <w:pPr>
              <w:ind w:left="520"/>
              <w:spacing w:after="0"/>
              <w:rPr>
                <w:sz w:val="20"/>
                <w:szCs w:val="20"/>
                <w:color w:val="auto"/>
              </w:rPr>
            </w:pPr>
            <w:r>
              <w:rPr>
                <w:rFonts w:ascii="Arial" w:cs="Arial" w:eastAsia="Arial" w:hAnsi="Arial"/>
                <w:sz w:val="18"/>
                <w:szCs w:val="18"/>
                <w:color w:val="auto"/>
              </w:rPr>
              <w:t>The following table presents supplemental cash flow information related to leases:</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4"/>
        </w:trPr>
        <w:tc>
          <w:tcPr>
            <w:tcW w:w="7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2"/>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480" w:type="dxa"/>
            <w:vAlign w:val="bottom"/>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r>
      <w:tr>
        <w:trPr>
          <w:trHeight w:val="229"/>
        </w:trPr>
        <w:tc>
          <w:tcPr>
            <w:tcW w:w="74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Operating cash flows from finance leases</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Pr>
          <w:p>
            <w:pPr>
              <w:ind w:left="320"/>
              <w:spacing w:after="0"/>
              <w:rPr>
                <w:sz w:val="20"/>
                <w:szCs w:val="20"/>
                <w:color w:val="auto"/>
              </w:rPr>
            </w:pPr>
            <w:r>
              <w:rPr>
                <w:rFonts w:ascii="Arial" w:cs="Arial" w:eastAsia="Arial" w:hAnsi="Arial"/>
                <w:sz w:val="18"/>
                <w:szCs w:val="18"/>
                <w:color w:val="auto"/>
              </w:rPr>
              <w:t>Financing cash flows from finance leases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r>
      <w:tr>
        <w:trPr>
          <w:trHeight w:val="229"/>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acquired under leases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80" w:type="dxa"/>
            <w:vAlign w:val="bottom"/>
          </w:tcPr>
          <w:p>
            <w:pPr>
              <w:ind w:left="320"/>
              <w:spacing w:after="0"/>
              <w:rPr>
                <w:sz w:val="20"/>
                <w:szCs w:val="20"/>
                <w:color w:val="auto"/>
              </w:rPr>
            </w:pPr>
            <w:r>
              <w:rPr>
                <w:rFonts w:ascii="Arial" w:cs="Arial" w:eastAsia="Arial" w:hAnsi="Arial"/>
                <w:sz w:val="18"/>
                <w:szCs w:val="18"/>
                <w:color w:val="auto"/>
              </w:rPr>
              <w:t>Operating leases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Finance leases</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FF0FC"/>
          </w:tcPr>
          <w:p>
            <w:pPr>
              <w:spacing w:after="0"/>
              <w:rPr>
                <w:sz w:val="19"/>
                <w:szCs w:val="19"/>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 840 Disclosures</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Company elected the alternative modified transition method, which applies ASC 842 as of the effective date on January 1, 2021. Prior to the adoption of ASC 842, the Company applied ASC 840 to its lease transactions.</w:t>
      </w:r>
    </w:p>
    <w:p>
      <w:pPr>
        <w:spacing w:after="0" w:line="17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table presents the future minimum lease commitments under the Company’s operating leases as of December 31, 2020, as previously disclosed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8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2022-2023</w:t>
            </w:r>
          </w:p>
        </w:tc>
        <w:tc>
          <w:tcPr>
            <w:tcW w:w="3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FF0FC"/>
            </w:tcBorders>
          </w:tcPr>
          <w:p>
            <w:pPr>
              <w:spacing w:after="0"/>
              <w:rPr>
                <w:sz w:val="19"/>
                <w:szCs w:val="19"/>
                <w:color w:val="auto"/>
              </w:rPr>
            </w:pPr>
          </w:p>
        </w:tc>
      </w:tr>
      <w:tr>
        <w:trPr>
          <w:trHeight w:val="223"/>
        </w:trPr>
        <w:tc>
          <w:tcPr>
            <w:tcW w:w="8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was $0.1 million and $0.5 million, respectively, for the three and nine months ended September 30, 2020.</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 AND RELATED DERIVATIVES</w:t>
      </w:r>
    </w:p>
    <w:p>
      <w:pPr>
        <w:spacing w:after="0" w:line="12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Company’s wholly-owned subsidiaries Alexo Therapeutics International and Sirpant Therapeutics, as borrowers, entered into a Loan and Security Agreement, or the Loan Agreement, dated as of December 20, 2019, with Silicon Valley Bank, or SVB, and WestRiver, collectively as lenders, and SVB, as administrative agent and collateral agent. On the closing date of the Loan Agreement in December 2019, $6.0 million was funded to the Company. In December 2020, the Company fully repaid the loan balance.</w:t>
      </w:r>
    </w:p>
    <w:p>
      <w:pPr>
        <w:spacing w:after="0" w:line="7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conjunction with the Loan Agreement, the Company issued warrants to purchase Series B convertible preferred stock to SVB and WestRiver, and recorded a warrant liability of approximately $0.4 million at the date of issuance. The Company also determined that certain loan features were embedded derivatives requiring bifurcation and separate accounting, and recorded a term loan compound derivative liability of approximately $51,000. The Company measured its Series B convertible preferred stock warrant liability and term loan compound derivative liability at fair value on a recurring basis, which were classified as Level 3 liabilities. During the three and nine months ended September 30, 2020, the increases in fair value in warrant liability were approximately $263,000 and $658,000, respectively. During the three and nine months ended September 30, 2020, the decreases in fair value in compound derivative liability were approximately $21,000 and $8,000, respectively. Those amounts were recognized as a component of other income (expense), net in the condensed consolidated statement of operations and comprehensive loss. The Company reclassified the preferred stock warrant liability balance into additional paid-in capital in July 2020 with no further re-measurement required, as the common stock warrants are considered permanent equity effective with the completion of the initial public offering. The compound derivative liability was extinguished upon the extinguishment of the host instrument in December 2020.</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On July 21, 2020, the Company’s amended and restated certificate of incorporation became effective, authorizing 1,000,000,000 shares of common stock and 100,000,000 shares of undesignated preferred stock. As of September 30, 2021 and December 31, 2020, the Company had 40,486,287 and 39,844,522 shares of common stock outstanding,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as of September 30, 2021 and December 31, 2020, consists of the following:</w:t>
      </w:r>
    </w:p>
    <w:p>
      <w:pPr>
        <w:spacing w:after="0" w:line="248" w:lineRule="exact"/>
        <w:rPr>
          <w:sz w:val="20"/>
          <w:szCs w:val="20"/>
          <w:color w:val="auto"/>
        </w:rPr>
      </w:pPr>
    </w:p>
    <w:tbl>
      <w:tblPr>
        <w:tblLayout w:type="fixed"/>
        <w:tblInd w:w="104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4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issued and outstanding</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4,892,109</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4,857,308</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Restricted stock units issued and outstanding</w:t>
            </w:r>
          </w:p>
        </w:tc>
        <w:tc>
          <w:tcPr>
            <w:tcW w:w="1460" w:type="dxa"/>
            <w:vAlign w:val="bottom"/>
          </w:tcPr>
          <w:p>
            <w:pPr>
              <w:jc w:val="right"/>
              <w:spacing w:after="0"/>
              <w:rPr>
                <w:sz w:val="20"/>
                <w:szCs w:val="20"/>
                <w:color w:val="auto"/>
              </w:rPr>
            </w:pPr>
            <w:r>
              <w:rPr>
                <w:rFonts w:ascii="Arial" w:cs="Arial" w:eastAsia="Arial" w:hAnsi="Arial"/>
                <w:sz w:val="18"/>
                <w:szCs w:val="18"/>
                <w:color w:val="auto"/>
              </w:rPr>
              <w:t>15,075</w:t>
            </w:r>
          </w:p>
        </w:tc>
        <w:tc>
          <w:tcPr>
            <w:tcW w:w="20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w w:val="99"/>
              </w:rPr>
              <w:t>Remaining shares available for future issuance under equity incentive plan</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3,739,798</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2,835,443</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 shares authorized for future issuance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796,232</w:t>
            </w:r>
          </w:p>
        </w:tc>
        <w:tc>
          <w:tcPr>
            <w:tcW w:w="2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FF0FC"/>
            </w:tcBorders>
          </w:tcPr>
          <w:p>
            <w:pPr>
              <w:spacing w:after="0"/>
              <w:rPr>
                <w:sz w:val="19"/>
                <w:szCs w:val="19"/>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9,443,214</w:t>
            </w:r>
          </w:p>
        </w:tc>
        <w:tc>
          <w:tcPr>
            <w:tcW w:w="2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8,092,751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Amended and Restated Equity Incentive Plan</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On April 1, 2020, the board of directors approved a new equity incentive plan, or the 2020 Equity Incentive Plan, that replaced the 2015 Share Award Scheme. In July 2020, the Company adopted the Amended and Restated 2020 Equity Incentive Plan, or the 2020 Plan. The 2020 Plan replaced the Company’s 2020 Equity Incentive Plan and a total of 7,874,862 shares were reserved under the 2020 Plan.</w:t>
      </w:r>
    </w:p>
    <w:p>
      <w:pPr>
        <w:spacing w:after="0" w:line="76"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Unless the board of directors provides otherwise, beginning on January 1, 2021, and ending on (and inclusive of) January 1, 2030, the maximum number of shares available for issuance under the 2020 Plan automatically increases on the first day of each fiscal year by an amount equal to the least of:</w:t>
      </w:r>
    </w:p>
    <w:p>
      <w:pPr>
        <w:spacing w:after="0" w:line="16" w:lineRule="exact"/>
        <w:rPr>
          <w:sz w:val="20"/>
          <w:szCs w:val="20"/>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4,000,000 shares;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four percent of the outstanding shares of the Company’s common stock on the last day of the immediately preceding fiscal year; or</w:t>
      </w:r>
    </w:p>
    <w:p>
      <w:pPr>
        <w:spacing w:after="0" w:line="128" w:lineRule="exact"/>
        <w:rPr>
          <w:rFonts w:ascii="Arial" w:cs="Arial" w:eastAsia="Arial" w:hAnsi="Arial"/>
          <w:sz w:val="17"/>
          <w:szCs w:val="17"/>
          <w:color w:val="auto"/>
        </w:rPr>
      </w:pPr>
    </w:p>
    <w:p>
      <w:pPr>
        <w:ind w:left="520" w:right="1020" w:hanging="13"/>
        <w:spacing w:after="0" w:line="422" w:lineRule="auto"/>
        <w:tabs>
          <w:tab w:leader="none" w:pos="874"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such number of shares as the board of directors may determine no later than the last day of the immediately preceding fiscal year. Accordingly, on January 1, 2021, the number of shares available under the 2020 Plan was increased by 1,593,781 shares.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In July 2020, the Company's board of directors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 purchase period, whichever is less. The ESPP allows for offering periods of up to 27 months consisting of one or more purchase periods. In January 2021, the board of directors approved the first offering period with a simultaneous purchase period beginning February 1, 2021 and ending June 30, 2021. The board of directors delegated the Company’s Chief Executive Officer and the Chief Financial Officer to administrate the ESPP for subsequent offering periods. Eligible employees can purchase the Company’s common stock at the end of the purchase period at 85% of the lower of the closing price of the Company’s common stock on the Nasdaq Global Select Market on the first day of the offering period and the last day of the purchase period</w:t>
      </w:r>
      <w:r>
        <w:rPr>
          <w:rFonts w:ascii="Arial" w:cs="Arial" w:eastAsia="Arial" w:hAnsi="Arial"/>
          <w:sz w:val="16"/>
          <w:szCs w:val="16"/>
          <w:b w:val="1"/>
          <w:bCs w:val="1"/>
          <w:color w:val="auto"/>
        </w:rPr>
        <w:t>.</w:t>
      </w:r>
    </w:p>
    <w:p>
      <w:pPr>
        <w:spacing w:after="0" w:line="5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initial number of shares of common stock available for issuance under the ESPP was 400,000. Unless the board of directors provides otherwise, beginning on January 1, 2021, the maximum number of shares available for sale under the ESPP automatically increases on the first trading day in January of each calendar year during the term of the ESPP by an amount equal to the least of:</w:t>
      </w:r>
    </w:p>
    <w:p>
      <w:pPr>
        <w:spacing w:after="0" w:line="76" w:lineRule="exact"/>
        <w:rPr>
          <w:sz w:val="20"/>
          <w:szCs w:val="20"/>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800,000 shares;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one percent of the outstanding shares of the Company’s common stock on the last day of the immediately preceding fiscal year; or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such number of shares as the board of directors may determine no later than the last day of the immediately preceding fiscal year.</w:t>
      </w:r>
    </w:p>
    <w:p>
      <w:pPr>
        <w:spacing w:after="0" w:line="12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Accordingly, on January 1, 2021, the number of shares available under the ESPP was increased by 398,445 shares. As of September 30, 2021, 2,213 shares of common stock have been purchased under the ESPP, and the number of shares of common stock available for issuance under the ESPP was 796,232.</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Total stock-based compensation expense recognized in the condensed consolidated statements of operations and comprehensive loss was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2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9"/>
                <w:szCs w:val="19"/>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top w:val="single" w:sz="8" w:color="auto"/>
            </w:tcBorders>
            <w:shd w:val="clear" w:color="auto" w:fill="CFF0FC"/>
          </w:tcPr>
          <w:p>
            <w:pPr>
              <w:jc w:val="right"/>
              <w:ind w:right="61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1,519</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8"/>
              </w:rPr>
              <w:t>2,813</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2,672</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88"/>
              </w:rPr>
              <w:t>5,415</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1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4,191</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8"/>
              </w:rPr>
              <w:t>8,228</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June 2018, the Company entered into a Research and Development Services Agreement, or Tollnine Agreement, with Tollnine Therapeutics, Inc., or Tollnine, a related-party of the Company, to provide research and development services to Tollnine. The Company’s Chief Executive Officer was the Chief Executive Officer of Tollnine until April 2020 but remains on the Board of Directors. In addition, two of the Company’s investors were also investors in Tollnine. As such, Tollnine was deemed to be a related-party. The Tollnine Agreement had an initial term of 3 years. The services were provided at a price based on the costs incurred by the Company plus a mark-up equal to 10% of such costs. The Company recognized revenue when Tollnine, as the Company’s customer, obtained control of promised goods or services, in an amount that reflects the consideration which the Company received in exchange for those goods or services.</w:t>
      </w:r>
    </w:p>
    <w:p>
      <w:pPr>
        <w:spacing w:after="0" w:line="8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Company recognized related-party revenues of zero and $1.2 million for the three and nine months ended September 30, 2020, respectively, under the Tollnine Agreement. Effective as of July 1, 2020, the Company terminated the Tollnine Agreement and entered into the Tallac Services Agreement with Tallac Therapeutics (formerly known as Tollnine).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Tallac Service Agreement</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Company entered into a research and development services agreement, or the Tallac 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 of such costs. The Tallac Services Agreement has an initial term of four years and is renewed automatically for additional one year terms thereafter. The Company records the payments for the research and development services as research and development costs within the condensed consolidated statement of operations and comprehensive loss. The Company recorded $0.1 million and $0.6 million, respectively, as research and development costs for the three and nine months ended September 30, 2021. The Company recorded $0.4 million as research and development costs for the three and nine months ended September 30,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Tallac Collaboration Agreement</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On March 4, 2021, the Company entered into a Collaboration Agreement with Tallac Therapeutics to jointly develop, manufacture, and commercialize a novel class of cancer immunotherapeutics.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w:t>
      </w:r>
    </w:p>
    <w:p>
      <w:pPr>
        <w:spacing w:after="0" w:line="84"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Company accounts for research and development, or R&amp;D, costs in accordance ASC 730, Research and Development,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three and nine months ended September 30, 2021, the Company recorded $0.8 million and $1.4 million, respectively, in R&amp;D expenses related to the collaboration.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ind w:right="40" w:firstLine="510"/>
        <w:spacing w:after="0" w:line="263" w:lineRule="auto"/>
        <w:rPr>
          <w:sz w:val="20"/>
          <w:szCs w:val="20"/>
          <w:color w:val="auto"/>
        </w:rPr>
      </w:pPr>
      <w:r>
        <w:rPr>
          <w:rFonts w:ascii="Arial" w:cs="Arial" w:eastAsia="Arial" w:hAnsi="Arial"/>
          <w:sz w:val="18"/>
          <w:szCs w:val="18"/>
          <w:color w:val="auto"/>
        </w:rPr>
        <w:t>The Collaboration Agreement includes the right to set off clause, as such, the Company records the amount due to or reimbursable from Tallac on a net basis. As of September 30, 2021, the Company had $1.4 million of accrued expenses due to Tallac which was presented within the payable and accrued liabilities due to related party on the condensed consolidated balance sheet.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share and per share data):</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8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(24,566)</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(10,181)</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(55,025)</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(26,966)</w:t>
            </w: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Less: cumulative preferred dividends allocated to</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stockholders</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(578)</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(5,202)</w:t>
            </w: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(24,566)</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(55,025)</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(32,168)</w:t>
            </w:r>
          </w:p>
        </w:tc>
        <w:tc>
          <w:tcPr>
            <w:tcW w:w="120" w:type="dxa"/>
            <w:vAlign w:val="bottom"/>
            <w:tcBorders>
              <w:bottom w:val="single" w:sz="8" w:color="CFF0FC"/>
            </w:tcBorders>
          </w:tcPr>
          <w:p>
            <w:pPr>
              <w:spacing w:after="0"/>
              <w:rPr>
                <w:sz w:val="22"/>
                <w:szCs w:val="22"/>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40,396,188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29,664,122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40,234,159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12,052,876</w:t>
            </w:r>
          </w:p>
        </w:tc>
        <w:tc>
          <w:tcPr>
            <w:tcW w:w="120" w:type="dxa"/>
            <w:vAlign w:val="bottom"/>
          </w:tcPr>
          <w:p>
            <w:pPr>
              <w:spacing w:after="0"/>
              <w:rPr>
                <w:sz w:val="19"/>
                <w:szCs w:val="19"/>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(0.61)</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(2.67)</w:t>
            </w: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56"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21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outstanding potentially dilutive securities were excluded from the computation of diluted net loss per share for the periods presented because including them would have been anti-dilutive:</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720" w:type="dxa"/>
            <w:vAlign w:val="bottom"/>
            <w:gridSpan w:val="4"/>
          </w:tcPr>
          <w:p>
            <w:pPr>
              <w:ind w:left="7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14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Convertible preferred stock</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21,369,774</w:t>
            </w:r>
          </w:p>
        </w:tc>
        <w:tc>
          <w:tcPr>
            <w:tcW w:w="80" w:type="dxa"/>
            <w:vAlign w:val="bottom"/>
            <w:shd w:val="clear" w:color="auto" w:fill="CFF0FC"/>
          </w:tcPr>
          <w:p>
            <w:pPr>
              <w:spacing w:after="0"/>
              <w:rPr>
                <w:sz w:val="19"/>
                <w:szCs w:val="19"/>
                <w:color w:val="auto"/>
              </w:rPr>
            </w:pPr>
          </w:p>
        </w:tc>
      </w:tr>
      <w:tr>
        <w:trPr>
          <w:trHeight w:val="230"/>
        </w:trPr>
        <w:tc>
          <w:tcPr>
            <w:tcW w:w="5140" w:type="dxa"/>
            <w:vAlign w:val="bottom"/>
          </w:tcPr>
          <w:p>
            <w:pPr>
              <w:ind w:left="120"/>
              <w:spacing w:after="0"/>
              <w:rPr>
                <w:sz w:val="20"/>
                <w:szCs w:val="20"/>
                <w:color w:val="auto"/>
              </w:rPr>
            </w:pPr>
            <w:r>
              <w:rPr>
                <w:rFonts w:ascii="Arial" w:cs="Arial" w:eastAsia="Arial" w:hAnsi="Arial"/>
                <w:sz w:val="18"/>
                <w:szCs w:val="18"/>
                <w:color w:val="auto"/>
              </w:rPr>
              <w:t>Warrants to purchase convertible preferred stock</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61,292</w:t>
            </w:r>
          </w:p>
        </w:tc>
        <w:tc>
          <w:tcPr>
            <w:tcW w:w="80" w:type="dxa"/>
            <w:vAlign w:val="bottom"/>
          </w:tcPr>
          <w:p>
            <w:pPr>
              <w:spacing w:after="0"/>
              <w:rPr>
                <w:sz w:val="19"/>
                <w:szCs w:val="19"/>
                <w:color w:val="auto"/>
              </w:rPr>
            </w:pPr>
          </w:p>
        </w:tc>
      </w:tr>
      <w:tr>
        <w:trPr>
          <w:trHeight w:val="229"/>
        </w:trPr>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 subject to repurchase</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3,908</w:t>
            </w:r>
          </w:p>
        </w:tc>
        <w:tc>
          <w:tcPr>
            <w:tcW w:w="80" w:type="dxa"/>
            <w:vAlign w:val="bottom"/>
            <w:shd w:val="clear" w:color="auto" w:fill="CFF0FC"/>
          </w:tcPr>
          <w:p>
            <w:pPr>
              <w:spacing w:after="0"/>
              <w:rPr>
                <w:sz w:val="19"/>
                <w:szCs w:val="19"/>
                <w:color w:val="auto"/>
              </w:rPr>
            </w:pPr>
          </w:p>
        </w:tc>
      </w:tr>
      <w:tr>
        <w:trPr>
          <w:trHeight w:val="230"/>
        </w:trPr>
        <w:tc>
          <w:tcPr>
            <w:tcW w:w="5140" w:type="dxa"/>
            <w:vAlign w:val="bottom"/>
          </w:tcPr>
          <w:p>
            <w:pPr>
              <w:ind w:left="120"/>
              <w:spacing w:after="0"/>
              <w:rPr>
                <w:sz w:val="20"/>
                <w:szCs w:val="20"/>
                <w:color w:val="auto"/>
              </w:rPr>
            </w:pPr>
            <w:r>
              <w:rPr>
                <w:rFonts w:ascii="Arial" w:cs="Arial" w:eastAsia="Arial" w:hAnsi="Arial"/>
                <w:sz w:val="18"/>
                <w:szCs w:val="18"/>
                <w:color w:val="auto"/>
              </w:rPr>
              <w:t>Options issued and outstanding</w:t>
            </w:r>
          </w:p>
        </w:tc>
        <w:tc>
          <w:tcPr>
            <w:tcW w:w="1220" w:type="dxa"/>
            <w:vAlign w:val="bottom"/>
          </w:tcPr>
          <w:p>
            <w:pPr>
              <w:jc w:val="right"/>
              <w:spacing w:after="0"/>
              <w:rPr>
                <w:sz w:val="20"/>
                <w:szCs w:val="20"/>
                <w:color w:val="auto"/>
              </w:rPr>
            </w:pPr>
            <w:r>
              <w:rPr>
                <w:rFonts w:ascii="Arial" w:cs="Arial" w:eastAsia="Arial" w:hAnsi="Arial"/>
                <w:sz w:val="18"/>
                <w:szCs w:val="18"/>
                <w:color w:val="auto"/>
              </w:rPr>
              <w:t>4,892,109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3,874,815</w:t>
            </w:r>
          </w:p>
        </w:tc>
        <w:tc>
          <w:tcPr>
            <w:tcW w:w="80" w:type="dxa"/>
            <w:vAlign w:val="bottom"/>
          </w:tcPr>
          <w:p>
            <w:pPr>
              <w:spacing w:after="0"/>
              <w:rPr>
                <w:sz w:val="19"/>
                <w:szCs w:val="19"/>
                <w:color w:val="auto"/>
              </w:rPr>
            </w:pPr>
          </w:p>
        </w:tc>
      </w:tr>
      <w:tr>
        <w:trPr>
          <w:trHeight w:val="230"/>
        </w:trPr>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stock units issued and outstanding</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15,075</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5140" w:type="dxa"/>
            <w:vAlign w:val="bottom"/>
          </w:tcPr>
          <w:p>
            <w:pPr>
              <w:ind w:left="120"/>
              <w:spacing w:after="0"/>
              <w:rPr>
                <w:sz w:val="20"/>
                <w:szCs w:val="20"/>
                <w:color w:val="auto"/>
              </w:rPr>
            </w:pPr>
            <w:r>
              <w:rPr>
                <w:rFonts w:ascii="Arial" w:cs="Arial" w:eastAsia="Arial" w:hAnsi="Arial"/>
                <w:sz w:val="18"/>
                <w:szCs w:val="18"/>
                <w:color w:val="auto"/>
              </w:rPr>
              <w:t>Estimated common stock issuable under the employee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stock purchase plan</w:t>
            </w:r>
          </w:p>
        </w:tc>
        <w:tc>
          <w:tcPr>
            <w:tcW w:w="1220" w:type="dxa"/>
            <w:vAlign w:val="bottom"/>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4,909,185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25,309,789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Guarantees and Indemnifications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September 30, 2021.</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w:t>
      </w:r>
    </w:p>
    <w:p>
      <w:pPr>
        <w:sectPr>
          <w:pgSz w:w="11900" w:h="16838" w:orient="portrait"/>
          <w:cols w:equalWidth="0" w:num="1">
            <w:col w:w="11220"/>
          </w:cols>
          <w:pgMar w:left="320" w:top="233" w:right="359" w:bottom="144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auto"/>
        </w:rPr>
        <w:t>matter is both probable and reasonably estimable. For the nine months ended September 30, 2021 the Company had no pending or threatened litigation.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operating leases related to its office spaces and embedded finance leases related to a pharmaceutical support services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5 "Leases" for details of related commitments.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Company paid Stanford a nonrefundable license royalty and reimbursed Stanford for past patent expenses, together totaling less than $0.1 million, and granted Stanford a specified number of shares of common stock of the Company. The Company is required to make milestone payments up to an aggregate of $5.0 million in respect of a specified number of licensed products that successfully satisfy certain clinical and regulatory milestones. The Company recorded the first milestone payment of $0.2 million during the three months ended June 30, 2021. The Company did not record any other milestone payments during the three months ended September 30, 2021.</w:t>
      </w:r>
    </w:p>
    <w:p>
      <w:pPr>
        <w:spacing w:after="0" w:line="5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evorpacept (also known as ALX148), and to make, use and sell licensed product containing such compound in all fields of use.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recorded a milestone payment of $0.1 million during the three months ended June 30, 2021. The Company did not record any other milestone payments during the three months ended September 30, 2021.</w:t>
      </w:r>
    </w:p>
    <w:p>
      <w:pPr>
        <w:spacing w:after="0" w:line="69"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March 2017, the Company entered into an agreement with Crystal Bioscience Inc. (now a subsidiary of Ligand Pharmaceuticals Incorporated),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 The Company agreed to pay Crystal milestone payments up to $11.1 million in respect of all licensed products developed under the assigned patents, that successfully satisfy certain clinical and regulatory milestones, each milestone being paid only once for all products. No milestone payments have been recorded as of September 30, 2021.</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Contractual Obligations and Other Commitments</w:t>
      </w:r>
    </w:p>
    <w:p>
      <w:pPr>
        <w:spacing w:after="0" w:line="11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is cancellable upon notice and is non-exclusive. Statements of work under the MSA commit the Company to certain future purchase obligations of approximately $24.1 million. In addition, the Company has commitments with two other drug product manufacturers that commit the Company to certain future purchase obligations of approximately $0.9 million. The Company expects to make payments for these commitments through 2025 based on non-cancellable commitments and forecasts that include estimates of future market demand, quantity discounts and manufacturing efficiencies that may impact timing of purchases.</w:t>
      </w:r>
    </w:p>
    <w:p>
      <w:pPr>
        <w:spacing w:after="0" w:line="16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On October 4, 2021, the Company entered into a stock purchase agreement with ScalmiBio, Inc., or ScalmiBio, as the Company expands its pipeline with plans to develop new anti-cancer drug candidates based on ScalmiBio’s platform. Under the terms of the stock purchase agreement, the Company made an initial payment to the stockholders of ScalmiBio at closing on October 4, 2021 of approximately $4.5 million in cash, net of certain expenses and adjustments, and will make an additional payment of $2.0 million at the one-year anniversary of the transaction subject to certain conditions. In addition, the Company has agreed to pay up to $35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w:t>
      </w:r>
    </w:p>
    <w:p>
      <w:pPr>
        <w:spacing w:after="0" w:line="382" w:lineRule="exact"/>
        <w:rPr>
          <w:sz w:val="20"/>
          <w:szCs w:val="20"/>
          <w:color w:val="auto"/>
        </w:rPr>
      </w:pPr>
    </w:p>
    <w:p>
      <w:pPr>
        <w:jc w:val="both"/>
        <w:ind w:right="240" w:firstLine="510"/>
        <w:spacing w:after="0" w:line="311" w:lineRule="auto"/>
        <w:rPr>
          <w:sz w:val="20"/>
          <w:szCs w:val="20"/>
          <w:color w:val="auto"/>
        </w:rPr>
      </w:pPr>
      <w:r>
        <w:rPr>
          <w:rFonts w:ascii="Arial" w:cs="Arial" w:eastAsia="Arial" w:hAnsi="Arial"/>
          <w:sz w:val="16"/>
          <w:szCs w:val="16"/>
          <w:color w:val="auto"/>
        </w:rPr>
        <w:t>Dr. Jaume Pons, the Company’s CEO and President, and a director, was also a director of ScalmiBio prior to the acquisition, and owned 31.7% of ScalmiBio stock. As a result, Dr. Pons received or will receive his proportional share of the consideration to ScalmiBio stockholders as described above. Dr. Pons also received approximately $87,000 out of the closing proceeds for the repayment of a note and accrued interest he had loaned to ScalmiBio.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(also known as ALX148), will have a wide therapeutic window to block the “don’t eat me” signal on cancer cells, and to leverage the immune activation of broadly used anti-cancer agents through combination strategies. As of September 30, 2021, we had dosed over 185 subjects with evorpacept across a range of hematologic and solid malignancies in combination with a number of leading anti-cancer agents. We plan to initiate additional studies in combination with leading anti-cancer agents. In hematologic malignancies, we have dosed 13 subjects for the treatment of myelodysplastic syndromes, or MDS, and intend to advance evorpacept into clinical development for the treatment of acute myeloid leukemia, or AML, in the fourth quarter of 2021. In solid tumors, we have initiated two randomized Phase 2 trials of evorpacept for the treatment of first-line head and neck squamous cell carcinoma, or HNSCC, and dosed the first subject in the first trial in May 2021, and dosed the first subject in the second trial in July 2021, and we also initiated a Phase 1 trial in collaboration with Zymeworks for the treatment of breast cancer and dosed the first subject in October 2021. We intend to initiate a randomized Phase 2 trial of evorpacept for the treatment of second line gastric/gastroesophageal junction, or GEJ, cancer in the fourth quarter of 2021. Based on our clinical results to date in multiple oncology indications showing encouraging anti-tumor activity and tolerability and our clinical development plans, our strategy is to pursue evorpacept as a potentially critical component for future combination treatments in oncology.</w:t>
      </w:r>
    </w:p>
    <w:p>
      <w:pPr>
        <w:spacing w:after="0" w:line="59"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an internal reorganization effective as of the same date whereby ALX Oncology Limited became our wholly-owned subsidiary and all of the stockholders, warrant holders and option holders of ALX Oncology Limited became our stockholders, warrant holders and option holders, holding the same number of corresponding shares, warrants and/or options in us as they did in ALX Oncology Limited immediately prior to the internal reorganization. The information included herein are presented as that of ALX Oncology Holdings Inc., unless such information refers to a date prior to April 1, 2020, in which case it will reflect that of our predecessor company.</w:t>
      </w:r>
    </w:p>
    <w:p>
      <w:pPr>
        <w:spacing w:after="0" w:line="166"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Since our founding, we have devoted substantially all of our resources to identifying and developing evorpacept, advancing preclinical programs, scaling up manufacturing, conducting clinical trials and providing general and administrative support for these operations. We have no products approved for marketing and we have never received any revenue from drug product sales.</w:t>
      </w:r>
    </w:p>
    <w:p>
      <w:pPr>
        <w:spacing w:after="0" w:line="184"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In July 2020, we consummated our initial public offering, raising net proceeds of $169.5 million, after deducting underwriting discounts and commissions of $13.0 million and offering-related expenses of $3.2 million. In December 2020, we consummated a follow-on public offering, raising net proceeds of $194.9 million, after deducting underwriting discounts and commissions of $12.5 million and offering-related expenses of $0.7 million. From inception through September 30, 2021, we have raised an aggregate of $545.3 million to fund our operations, of which $175.1 million were net proceeds from sales of our convertible preferred stock, $5.8 million were net proceeds from borrowings under a term loan, $169.5 million were net proceeds from our initial public offering and $194.9 million were net proceeds from our follow-on public offering.</w:t>
      </w:r>
    </w:p>
    <w:p>
      <w:pPr>
        <w:spacing w:after="0" w:line="17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have incurred net losses in each year since inception. Our net losses were $24.6 million and $10.2 million for the three months ended September 30, 2021 and 2020, respectively, and $55.0 million and $27.0 million for the nine months ended September 30, 2021 and 2020, respectively. As of September 30, 2021, we had an accumulated deficit of $173.5 million. Substantially all of our operating losses are a result of expenses incurred in connection with our research and development programs, primarily evorpacept, and from general and administrative expenses associated with our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1" w:name="page22"/>
    <w:bookmarkEnd w:id="21"/>
    <w:p>
      <w:pPr>
        <w:ind w:right="8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62"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evorpacept through multiple clinical trials in multiple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pursue regulatory approval of evorpacept in hematological malignancies and solid tumors;</w:t>
      </w:r>
    </w:p>
    <w:p>
      <w:pPr>
        <w:spacing w:after="0" w:line="117" w:lineRule="exact"/>
        <w:rPr>
          <w:rFonts w:ascii="Arial" w:cs="Arial" w:eastAsia="Arial" w:hAnsi="Arial"/>
          <w:sz w:val="18"/>
          <w:szCs w:val="18"/>
          <w:color w:val="auto"/>
        </w:rPr>
      </w:pPr>
    </w:p>
    <w:p>
      <w:pPr>
        <w:ind w:left="1000" w:right="8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discovery and preclinical and clinical development efforts, including our collaborations with Tallac Therapeutics and Zymeworks and our recent acquisition of ScalmiBio;</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add operational, financial and management information systems to support ongoing operations as a public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Revenue</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ceased as of July 1, 2020.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evorpacept. We may never succeed in obtaining regulatory approval for any of our product candidates.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development of our lead product candidate, evorpacept, which include:</w:t>
      </w:r>
    </w:p>
    <w:p>
      <w:pPr>
        <w:spacing w:after="0" w:line="62" w:lineRule="exact"/>
        <w:rPr>
          <w:sz w:val="20"/>
          <w:szCs w:val="20"/>
          <w:color w:val="auto"/>
        </w:rPr>
      </w:pPr>
    </w:p>
    <w:p>
      <w:pPr>
        <w:ind w:left="1000" w:right="2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including expenses incurred under agreements with contract research organizations, or CROs;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expenses incurred in connection with the preclinical and clinical development, including expenses incurred under collaboration agreements;</w:t>
      </w:r>
    </w:p>
    <w:p>
      <w:pPr>
        <w:spacing w:after="0" w:line="140" w:lineRule="exact"/>
        <w:rPr>
          <w:rFonts w:ascii="Arial" w:cs="Arial" w:eastAsia="Arial" w:hAnsi="Arial"/>
          <w:sz w:val="16"/>
          <w:szCs w:val="16"/>
          <w:color w:val="auto"/>
        </w:rPr>
      </w:pPr>
    </w:p>
    <w:p>
      <w:pPr>
        <w:ind w:left="1000" w:right="48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related to production of clinical materials, including fees paid to contract manufacturing organizations, or CMOs;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preclinical studies and clinical trials; and</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w:t>
      </w:r>
    </w:p>
    <w:p>
      <w:pPr>
        <w:spacing w:after="0" w:line="170" w:lineRule="exact"/>
        <w:rPr>
          <w:sz w:val="20"/>
          <w:szCs w:val="20"/>
          <w:color w:val="auto"/>
        </w:rPr>
      </w:pPr>
    </w:p>
    <w:p>
      <w:pPr>
        <w:jc w:val="both"/>
        <w:ind w:right="60" w:firstLine="510"/>
        <w:spacing w:after="0" w:line="296" w:lineRule="auto"/>
        <w:rPr>
          <w:sz w:val="20"/>
          <w:szCs w:val="20"/>
          <w:color w:val="auto"/>
        </w:rPr>
      </w:pPr>
      <w:r>
        <w:rPr>
          <w:rFonts w:ascii="Arial" w:cs="Arial" w:eastAsia="Arial" w:hAnsi="Arial"/>
          <w:sz w:val="16"/>
          <w:szCs w:val="16"/>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right="80" w:firstLine="510"/>
        <w:spacing w:after="0" w:line="263" w:lineRule="auto"/>
        <w:rPr>
          <w:sz w:val="20"/>
          <w:szCs w:val="20"/>
          <w:color w:val="auto"/>
        </w:rPr>
      </w:pPr>
      <w:r>
        <w:rPr>
          <w:rFonts w:ascii="Arial" w:cs="Arial" w:eastAsia="Arial" w:hAnsi="Arial"/>
          <w:sz w:val="18"/>
          <w:szCs w:val="18"/>
          <w:color w:val="auto"/>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spacing w:after="0" w:line="184"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9 to our condensed consolidated financial statements appearing elsewhere in this Quarterly Report on Form 10-Q.</w:t>
      </w:r>
    </w:p>
    <w:p>
      <w:pPr>
        <w:spacing w:after="0" w:line="181"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The successful development of our current and future product candidates is highly uncertain. This is due to the numerous risks and uncertainties, including the following:</w:t>
      </w:r>
    </w:p>
    <w:p>
      <w:pPr>
        <w:spacing w:after="0" w:line="62"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location of clinical sites included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contracting with third-party manufacturers for clinical supplies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including, if necessary, litigation;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primarily consist of salaries, benefits and stock-based compensation expense. Facilities costs primarily consist of rent and maintenance of facilities.</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anticipate that our general and administrative expenses will continue to increase as a result of increased headcount,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jc w:val="both"/>
        <w:ind w:right="540" w:firstLine="510"/>
        <w:spacing w:after="0" w:line="286" w:lineRule="auto"/>
        <w:rPr>
          <w:sz w:val="20"/>
          <w:szCs w:val="20"/>
          <w:color w:val="auto"/>
        </w:rPr>
      </w:pPr>
      <w:r>
        <w:rPr>
          <w:rFonts w:ascii="Arial" w:cs="Arial" w:eastAsia="Arial" w:hAnsi="Arial"/>
          <w:sz w:val="17"/>
          <w:szCs w:val="17"/>
          <w:color w:val="auto"/>
        </w:rPr>
        <w:t>We previously incurred costs associated with related-party contract research services including direct labor and associated employee benefits, laboratory supplies and other expenses. These costs were recorded in cost of services for related-party transactions as a component of total operating expenses in the accompanying condensed consolidated statements of operations and comprehensive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Historically, our interest expense consisted primarily of interest expense on the term loan, amortization of deferred debt issuance costs, and interest related to finance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Our other income (expense), net, consists of interest income on cash balances, changes in the fair value of our convertible preferred stock warrant liability and compound derivative liability, and foreign currency re-measurement and transaction gains and losses. Prior to our initial public offering, the underlying shares of our Series B convertible preferred stock warrants were contingently redeemable, and we accounted for these warrants as a liability at fair value and re-measured the fair value at each balance sheet date. As a result of the completion of our initial public offering, the Series B convertible preferred stock warrant liability was reclassified to stockholders’ equity and re-measurement was no longer required. The compound derivative liability was extinguished upon the extinguishment of the host instrument in December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Net Loss</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 summarizes our results of operations for the three and nine months ended September 30, 2021 and 2020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4"/>
              </w:rPr>
              <w:t>Three Months Ended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6"/>
          </w:tcPr>
          <w:p>
            <w:pPr>
              <w:jc w:val="right"/>
              <w:ind w:right="321"/>
              <w:spacing w:after="0"/>
              <w:rPr>
                <w:sz w:val="20"/>
                <w:szCs w:val="20"/>
                <w:color w:val="auto"/>
              </w:rPr>
            </w:pPr>
            <w:r>
              <w:rPr>
                <w:rFonts w:ascii="Arial" w:cs="Arial" w:eastAsia="Arial" w:hAnsi="Arial"/>
                <w:sz w:val="18"/>
                <w:szCs w:val="18"/>
                <w:b w:val="1"/>
                <w:bCs w:val="1"/>
                <w:color w:val="auto"/>
                <w:w w:val="95"/>
              </w:rPr>
              <w:t>Nine Months Ended</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4"/>
        </w:trPr>
        <w:tc>
          <w:tcPr>
            <w:tcW w:w="2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93"/>
              </w:rPr>
              <w:t>Change</w:t>
            </w:r>
          </w:p>
        </w:tc>
        <w:tc>
          <w:tcPr>
            <w:tcW w:w="4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  (1,182)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22,457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9,126</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6,681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2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party revenue</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2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24,576</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14,767</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55,083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28,063</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(24,576)</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(14,767)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(55,083</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(25,838</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(409)</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 %</w:t>
            </w: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(24,566)</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(14,420)</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(28,118)</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Net loss and comprehensive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70"/>
        </w:trPr>
        <w:tc>
          <w:tcPr>
            <w:tcW w:w="2740" w:type="dxa"/>
            <w:vAlign w:val="bottom"/>
          </w:tcPr>
          <w:p>
            <w:pPr>
              <w:ind w:left="14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(24,566)</w:t>
            </w:r>
          </w:p>
        </w:tc>
        <w:tc>
          <w:tcPr>
            <w:tcW w:w="20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(10,181)</w:t>
            </w: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(14,385)</w:t>
            </w:r>
          </w:p>
        </w:tc>
        <w:tc>
          <w:tcPr>
            <w:tcW w:w="2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(55,025)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(26,966)</w:t>
            </w:r>
          </w:p>
        </w:tc>
        <w:tc>
          <w:tcPr>
            <w:tcW w:w="1020" w:type="dxa"/>
            <w:vAlign w:val="bottom"/>
            <w:gridSpan w:val="3"/>
          </w:tcPr>
          <w:p>
            <w:pPr>
              <w:jc w:val="right"/>
              <w:ind w:right="61"/>
              <w:spacing w:after="0"/>
              <w:rPr>
                <w:sz w:val="20"/>
                <w:szCs w:val="20"/>
                <w:color w:val="auto"/>
              </w:rPr>
            </w:pPr>
            <w:r>
              <w:rPr>
                <w:rFonts w:ascii="Arial" w:cs="Arial" w:eastAsia="Arial" w:hAnsi="Arial"/>
                <w:sz w:val="18"/>
                <w:szCs w:val="18"/>
                <w:color w:val="auto"/>
              </w:rPr>
              <w:t>(28,059)</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7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Cumulative dividends allocated</w:t>
            </w: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preferred stockholders</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(5,202)</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5,202</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Net loss attributable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to common 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(24,566)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(10,759)</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 (13,807)</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(55,025)</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(32,168)</w:t>
            </w:r>
          </w:p>
        </w:tc>
        <w:tc>
          <w:tcPr>
            <w:tcW w:w="1020" w:type="dxa"/>
            <w:vAlign w:val="bottom"/>
            <w:gridSpan w:val="3"/>
          </w:tcPr>
          <w:p>
            <w:pPr>
              <w:jc w:val="right"/>
              <w:ind w:right="61"/>
              <w:spacing w:after="0"/>
              <w:rPr>
                <w:sz w:val="20"/>
                <w:szCs w:val="20"/>
                <w:color w:val="auto"/>
              </w:rPr>
            </w:pPr>
            <w:r>
              <w:rPr>
                <w:rFonts w:ascii="Arial" w:cs="Arial" w:eastAsia="Arial" w:hAnsi="Arial"/>
                <w:sz w:val="18"/>
                <w:szCs w:val="18"/>
                <w:color w:val="auto"/>
              </w:rPr>
              <w:t>$ (22,857)</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Revenue</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Related-party revenue for the three and nine months ended September 30, 2020 was zero and $1.2 million, respectively, which was generated solely from payments received for reimbursement of research and development expenses pursuant to the Tollnine Agreement, as further described in Note 9 to our condensed consolidated financial statements appearing elsewhere in this Quarterly Report on Form 10-Q. Related-party revenue for the three and nine months ended September 30, 2021 was zero due to the termination of the Tollnine Agreement as of July 1, 2020.</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 xml:space="preserve">The following table summarizes our research and development expenses incurred for the three and nine months ended September 30, 2021 and 2020 </w:t>
      </w:r>
      <w:r>
        <w:rPr>
          <w:rFonts w:ascii="Arial" w:cs="Arial" w:eastAsia="Arial" w:hAnsi="Arial"/>
          <w:sz w:val="18"/>
          <w:szCs w:val="18"/>
          <w:color w:val="333333"/>
        </w:rPr>
        <w:t>(in thousands, except percentages)</w:t>
      </w:r>
      <w:r>
        <w:rPr>
          <w:rFonts w:ascii="Arial" w:cs="Arial" w:eastAsia="Arial" w:hAnsi="Arial"/>
          <w:sz w:val="18"/>
          <w:szCs w:val="18"/>
          <w:color w:val="000000"/>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Three Months Ended</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3"/>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0"/>
                <w:szCs w:val="20"/>
                <w:color w:val="auto"/>
              </w:rPr>
            </w:pPr>
          </w:p>
        </w:tc>
        <w:tc>
          <w:tcPr>
            <w:tcW w:w="1000" w:type="dxa"/>
            <w:vAlign w:val="bottom"/>
            <w:gridSpan w:val="3"/>
          </w:tcPr>
          <w:p>
            <w:pPr>
              <w:ind w:left="400"/>
              <w:spacing w:after="0"/>
              <w:rPr>
                <w:sz w:val="20"/>
                <w:szCs w:val="20"/>
                <w:color w:val="auto"/>
              </w:rPr>
            </w:pPr>
            <w:r>
              <w:rPr>
                <w:rFonts w:ascii="Arial" w:cs="Arial" w:eastAsia="Arial" w:hAnsi="Arial"/>
                <w:sz w:val="16"/>
                <w:szCs w:val="16"/>
                <w:b w:val="1"/>
                <w:bCs w:val="1"/>
                <w:color w:val="auto"/>
                <w:w w:val="98"/>
              </w:rPr>
              <w:t>Change</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ind w:left="380"/>
              <w:spacing w:after="0"/>
              <w:rPr>
                <w:sz w:val="20"/>
                <w:szCs w:val="20"/>
                <w:color w:val="auto"/>
              </w:rPr>
            </w:pPr>
            <w:r>
              <w:rPr>
                <w:rFonts w:ascii="Arial" w:cs="Arial" w:eastAsia="Arial" w:hAnsi="Arial"/>
                <w:sz w:val="16"/>
                <w:szCs w:val="16"/>
                <w:b w:val="1"/>
                <w:bCs w:val="1"/>
                <w:color w:val="auto"/>
                <w:w w:val="98"/>
              </w:rPr>
              <w:t>Change</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27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FF0FC"/>
            </w:tcBorders>
          </w:tcPr>
          <w:p>
            <w:pPr>
              <w:spacing w:after="0"/>
              <w:rPr>
                <w:sz w:val="19"/>
                <w:szCs w:val="19"/>
                <w:color w:val="auto"/>
              </w:rPr>
            </w:pPr>
          </w:p>
        </w:tc>
      </w:tr>
      <w:tr>
        <w:trPr>
          <w:trHeight w:val="226"/>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costs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18,811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Personnel and related costs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(523) %</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Other research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7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development costs</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Total research and development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18,214</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22,457</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auto"/>
        </w:rPr>
        <w:t>Research and development expenses for the three months ended September 30, 2021 was $18.2 million, compared to $5.3 million for the three months ended September 30, 2020. The increase of $12.9 million was primarily attributable to (i) an increase of $10.0 million in clinical and development costs due to $8.7 million higher expenses associated with increased clinical costs mainly associated with a higher number of active clinical trials and increased patient enrollment and other research costs in advancement of our current lead product candidate, evorpacept, $0.8 million related to collaborations, of which $0.6 million was related to the Tallac Collaboration, and $0.3 million related to regulatory consulting expenses, (ii) an increase of $1.9 million in stock-based compensation expense mainly due to additional stock option awards granted in 2021 at higher fair values and negative stock-based compensation expense due to a reduction recorded in the corresponding prior period, (iii) an increase of $0.9 million in personnel expense due to $0.7 million increase driven by headcount growth and our share of Tallac’s personnel expenses of $0.2 million related to the collaboration and (iv) an increase of $0.1 million in other research and development costs due to increase in clinical trial insurance as we continue to initiate new trials.</w:t>
      </w:r>
    </w:p>
    <w:p>
      <w:pPr>
        <w:spacing w:after="0" w:line="26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Research and development expenses for the nine months ended September 30, 2021 was $39.3 million, compared to $16.8 million for the nine months ended September 30, 2020. The increase of $22.5 million was primarily attributable to (i) an increase of $18.8 million in clinical and development costs due to $16.4 million higher expenses associated with increased pre-clinical costs, increased clinical costs mainly associated with a higher number of active clinical trials and increased patient enrollment and other research costs in advancement of our current lead product candidate, evorpacept, $1.6 million related to collaborations, of which $1.0 million was related to the Tallac Collaboration, and an increase of $0.5 million in regulatory consulting expenses, (ii) an increase of $2.4 million in personnel and related costs due to $2.0 million higher expense driven by headcount growth and recruiting expenses and our share of Tallac’s personnel expenses of $0.4 million related to the collaboration, (iii) an increase of $0.8 million in stock-based compensation expense mainly due to an increase of $3.1 million in stock-based compensation expense driven by additional stock option awards granted in 2021 at higher fair values, offset by a decrease of $2.3 million expense as we modified stock option awards for former employees who transferred to Tallac Therapeutics in the nine months ended September 30, 2020 and (iv) an increase of $0.4 million in other research and development costs due to an increase of $0.3 million milestone payments triggered by the initiation of our Phase 2 trials and an increase of $0.1 million clinical trial insurance as we continue to initiate our trials.</w:t>
      </w:r>
    </w:p>
    <w:p>
      <w:pPr>
        <w:spacing w:after="0" w:line="2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general and administrative expenses incurred for the three and nine months ended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(in thousands, except percentages):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2"/>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20"/>
                <w:szCs w:val="20"/>
                <w:color w:val="auto"/>
              </w:rPr>
            </w:pPr>
          </w:p>
        </w:tc>
        <w:tc>
          <w:tcPr>
            <w:tcW w:w="940" w:type="dxa"/>
            <w:vAlign w:val="bottom"/>
            <w:gridSpan w:val="3"/>
          </w:tcPr>
          <w:p>
            <w:pPr>
              <w:ind w:left="340"/>
              <w:spacing w:after="0"/>
              <w:rPr>
                <w:sz w:val="20"/>
                <w:szCs w:val="20"/>
                <w:color w:val="auto"/>
              </w:rPr>
            </w:pPr>
            <w:r>
              <w:rPr>
                <w:rFonts w:ascii="Arial" w:cs="Arial" w:eastAsia="Arial" w:hAnsi="Arial"/>
                <w:sz w:val="16"/>
                <w:szCs w:val="16"/>
                <w:b w:val="1"/>
                <w:bCs w:val="1"/>
                <w:color w:val="auto"/>
                <w:w w:val="98"/>
              </w:rPr>
              <w:t>Change</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ind w:left="340"/>
              <w:spacing w:after="0"/>
              <w:rPr>
                <w:sz w:val="20"/>
                <w:szCs w:val="20"/>
                <w:color w:val="auto"/>
              </w:rPr>
            </w:pPr>
            <w:r>
              <w:rPr>
                <w:rFonts w:ascii="Arial" w:cs="Arial" w:eastAsia="Arial" w:hAnsi="Arial"/>
                <w:sz w:val="16"/>
                <w:szCs w:val="16"/>
                <w:b w:val="1"/>
                <w:bCs w:val="1"/>
                <w:color w:val="auto"/>
                <w:w w:val="98"/>
              </w:rPr>
              <w:t>Change</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27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FF0FC"/>
            </w:tcBorders>
          </w:tcPr>
          <w:p>
            <w:pPr>
              <w:spacing w:after="0"/>
              <w:rPr>
                <w:sz w:val="19"/>
                <w:szCs w:val="19"/>
                <w:color w:val="auto"/>
              </w:rPr>
            </w:pPr>
          </w:p>
        </w:tc>
      </w:tr>
      <w:tr>
        <w:trPr>
          <w:trHeight w:val="226"/>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related costs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1,262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88"/>
              </w:rPr>
              <w:t>3,730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administrative costs</w:t>
            </w: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2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4,864</w:t>
            </w:r>
          </w:p>
        </w:tc>
        <w:tc>
          <w:tcPr>
            <w:tcW w:w="2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8"/>
              </w:rPr>
              <w:t>1,689</w:t>
            </w:r>
          </w:p>
        </w:tc>
        <w:tc>
          <w:tcPr>
            <w:tcW w:w="2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Total general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6,362</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4,481</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1,881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15,807</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9,126</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w w:val="88"/>
              </w:rPr>
              <w:t>6,681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3"/>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ind w:right="60" w:firstLine="510"/>
        <w:spacing w:after="0" w:line="254" w:lineRule="auto"/>
        <w:rPr>
          <w:sz w:val="20"/>
          <w:szCs w:val="20"/>
          <w:color w:val="auto"/>
        </w:rPr>
      </w:pPr>
      <w:r>
        <w:rPr>
          <w:rFonts w:ascii="Arial" w:cs="Arial" w:eastAsia="Arial" w:hAnsi="Arial"/>
          <w:sz w:val="18"/>
          <w:szCs w:val="18"/>
          <w:color w:val="auto"/>
        </w:rPr>
        <w:t>General and administrative expenses for the three months ended September 30, 2021 was $6.4 million, compared to $4.5 million during the three months ended September 30, 2020. This increase of $1.9 million was primarily attributable to (i) an increase of $1.6 million in stock-based compensation driven by $1.8 million increase due to additional stock option awards granted in 2021 at higher fair values, offset by a decrease of $0.2 million as we recorded additional expense related to the modification of stock option awards for a former employee in the three months ended September 2020, (ii) an increase of $0.1 million other general and administrative costs primarily driven by an increase of $0.5 million due to corporate legal fees, general business insurance fees, SOX and compliance fees, partially offset by a decrease of $0.4 million in accounting and consulting service fees, which were higher in the three months ended September 30, 2020 due to the IPO and (iii) an increase of $0.1 million in personnel and related costs mainly driven by the headcount growth.</w:t>
      </w:r>
    </w:p>
    <w:p>
      <w:pPr>
        <w:spacing w:after="0" w:line="273"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General and administrative expenses for the nine months ended September 30, 2021 was $15.8 million, compared to $9.1 million during the nine months ended September 30, 2020. This increase of $6.7 million was primarily attributable to (i) an increase of $3.9 million in stock-based compensation expense driven by additional stock option awards granted in 2021 at higher fair values, offset by a decrease of $0.2 million as we recorded additional expense related to the modification of stock option awards for a former employee in the nine months ended September 2020 while we did not have any such modification in the nine months ended September 30, 2021, (ii) an increase of $1.7 million in other general and administrative costs primarily driven by $2.2 million increase due to general business insurance fees, corporate legal fees, SOX and compliance fees, and filing fees, partially offset by a decrease of $0.5 million in accounting and consulting service fees, which were higher in the nine months ended September 30, 2020 due to the IPO, and (iii) an increase of $1.3 million personnel and related costs primarily driven by headcount growth.</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Cost of services for related-party revenue for the three and nine months ended September 30, 2020 was zero and $1.1 million, respectively, which are attributable to fee-for-service hours provided to Tallac Therapeutics. Cost of services for related-party revenue for the three and nine months ended September 30, 2021 was zero due to the termination of the Tollnine Agreement as of July 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Through September 30, 2021, we have received net proceeds from sales of our convertible preferred stock, borrowings under our term loan, our initial public offering and our follow-on public offering of $175.1 million, $5.8 million, $169.5 million and $194.9 million, respectively. As of September 30, 2021, we had cash and cash equivalents of $385.1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w:t>
      </w:r>
    </w:p>
    <w:p>
      <w:pPr>
        <w:spacing w:after="0" w:line="117"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In December 2020, we used approximately $6.5 million of the net proceeds from our follow-on public offering to repay the outstanding principal amount of $6.0 million and early extinguish the outstanding Term Loan with SVB and WestRiver. As a result, we recognized a $0.6 million loss on early debt extinguishment, representing the difference between the reacquisition price of debt and the net carrying amount of the loan as of the date of the payoff.</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have incurred losses and negative cash flows from operations since inception and anticipate that we will continue to incur net losses for the foreseeable future. As of September 30, 2021, we had an accumulated deficit of $173.5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84"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26" w:name="page27"/>
    <w:bookmarkEnd w:id="26"/>
    <w:p>
      <w:pPr>
        <w:ind w:left="1000" w:right="7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agreements with third-party manufacturers for clinical supply for our clinical trials and, if any of our product candidates are approved, commercial manufacturing;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 and retention of key research and development personnel;</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efforts to enhance operational, financial and information management systems, and hire additional personnel, including personnel to support development of our product candidates;</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128" w:lineRule="exact"/>
        <w:rPr>
          <w:rFonts w:ascii="Arial" w:cs="Arial" w:eastAsia="Arial" w:hAnsi="Arial"/>
          <w:sz w:val="17"/>
          <w:szCs w:val="17"/>
          <w:color w:val="auto"/>
        </w:rPr>
      </w:pPr>
    </w:p>
    <w:p>
      <w:pPr>
        <w:ind w:left="1000" w:right="68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and royalty payments thereunder;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2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8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18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spacing w:after="0" w:line="1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believe our existing cash and cash equivalents will enable us to fund our operating expenses and capital expenditure requirements through 2024. We have based these estimates on assumptions in which actuals may materially differ, and we could utilize our available capital resources sooner than we expect.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the net cash flow activity for each of the periods set forth below:</w:t>
      </w:r>
    </w:p>
    <w:p>
      <w:pPr>
        <w:spacing w:after="0" w:line="248"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1534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1" w:lineRule="exact"/>
        <w:rPr>
          <w:sz w:val="20"/>
          <w:szCs w:val="20"/>
          <w:color w:val="auto"/>
        </w:rPr>
      </w:pPr>
    </w:p>
    <w:p>
      <w:pPr>
        <w:ind w:left="7420"/>
        <w:spacing w:after="0"/>
        <w:tabs>
          <w:tab w:leader="none" w:pos="87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wp:posOffset>
            </wp:positionV>
            <wp:extent cx="1534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(in thousands)</w:t>
      </w:r>
    </w:p>
    <w:p>
      <w:pPr>
        <w:spacing w:after="0" w:line="47" w:lineRule="exact"/>
        <w:rPr>
          <w:sz w:val="20"/>
          <w:szCs w:val="20"/>
          <w:color w:val="auto"/>
        </w:rPr>
      </w:pPr>
    </w:p>
    <w:tbl>
      <w:tblPr>
        <w:tblLayout w:type="fixed"/>
        <w:tblInd w:w="1700" w:type="dxa"/>
        <w:tblCellMar>
          <w:top w:w="0" w:type="dxa"/>
          <w:left w:w="0" w:type="dxa"/>
          <w:bottom w:w="0" w:type="dxa"/>
          <w:right w:w="0" w:type="dxa"/>
        </w:tblCellMar>
      </w:tblP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in)/provided by:</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(50,613)</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(24,674)</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274,520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(decrease)/increase in cash and cash equivalents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(49,070)</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250,467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the nine months ended September 30, 2021, cash used in operating activities of $50.6 million was attributable to a net loss of $55.0 million and a net change of $4.3 million in our operating assets and liabilities, partially offset by $8.7 million in non-cash charges. The change in operating assets and liabilities was primarily due to $3.6 million increase in accounts payable due to timing of invoice and payments, offset by $6.6 million increase in other assets related to long-term prepaid clinical costs and $2.0 million increases in prepaid expenses and other current assets. The non-cash charges mainly consisted of stock-based compensation of $8.2 million and non-cash lease costs of $0.4 million.</w:t>
      </w:r>
    </w:p>
    <w:p>
      <w:pPr>
        <w:spacing w:after="0" w:line="6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the nine months ended September 30, 2020, cash used in operating activities of $24.7 million was attributable to a net loss of $27.0 million and a change of $2.5 million in our net operating assets and liabilities, partially offset by $4.8 million in non-cash charges. The non-cash charges consisted of stock-based compensation of $3.7 million, change in fair value of Series B convertible preferred stock warrant liability and term loan compound derivative of $0.7 million, depreciation and amortization of $0.2 million and amortization of term loan discount and issuance costs of $0.3 million, partially offset by a gain on assignment of lease of $0.1 million. The change in operating assets and liabilities was primarily due to a $2.3 million decrease in accounts payable, $2.1 million increase in prepaid expenses and other current assets, partially offset by a $2.0 million increase in accrued expenses and other current liabilities. This is primarily due to timing of cash payments for clinical-related activities.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the nine months ended September 30, 2021 cash used in investing activities was $0.4 million for purchases of property and equipment.</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nine months ended September 30, 2020, cash provided by investing activities was $0.6 million, primarily due to proceeds from assets held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the nine months ended September 30, 2021, cash provided by financing activities was $1.9 million, which were driven by $2.0 million proceeds from exercise of common stock under equity incentive plans and $0.1 million proceeds from issuance of common stock pursuant to employee stock purchase plan, offset by $0.2 million of principal payments on finance leases.</w:t>
      </w:r>
    </w:p>
    <w:p>
      <w:pPr>
        <w:spacing w:after="0" w:line="2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the nine months ended September 30, 2020, cash provided by financing activities was $274.5 million, primarily from the net proceeds of our initial public offering of $172.7 million, after deducting underwriting commissions and discounts, the sale and issuance of Series C convertible preferred stock with gross proceeds of $105.0 million, net of $0.3 million in issuance costs, and proceeds from the exercise of common stock under equity incentive plans of $0.3 million, partially offset by payment of offering costs of $3.2 million.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We have contractual obligations from our operating lease, finance leases, manufacturing and service contracts, and other research and development activities. The following table aggregates our material expected contractual obligations and commitments as of September 30, 2021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6"/>
        </w:trPr>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5"/>
                <w:szCs w:val="15"/>
                <w:b w:val="1"/>
                <w:bCs w:val="1"/>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2022 - 2023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2024 - 2025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Thereafter</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Manufacturing and service contracts </w:t>
            </w:r>
            <w:r>
              <w:rPr>
                <w:rFonts w:ascii="Arial" w:cs="Arial" w:eastAsia="Arial" w:hAnsi="Arial"/>
                <w:sz w:val="15"/>
                <w:szCs w:val="15"/>
                <w:color w:val="auto"/>
              </w:rPr>
              <w:t>(3)</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right="120" w:hanging="493"/>
        <w:spacing w:after="0" w:line="254" w:lineRule="auto"/>
        <w:tabs>
          <w:tab w:leader="none" w:pos="10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payments consist of (i) payments due for the office space in Burlingame, California under a single operating sub-lease agreement that expires in 2023, and (ii) payments due for the office space in South San Francisco, California under a single operating lease agreement that expires in 2026. See Note 5 to our condensed consolidated financial statements appearing elsewhere in this Quarterly Report on Form 10-Q for details of related commitments.</w:t>
      </w:r>
    </w:p>
    <w:p>
      <w:pPr>
        <w:spacing w:after="0" w:line="2" w:lineRule="exact"/>
        <w:rPr>
          <w:rFonts w:ascii="Arial" w:cs="Arial" w:eastAsia="Arial" w:hAnsi="Arial"/>
          <w:sz w:val="18"/>
          <w:szCs w:val="18"/>
          <w:i w:val="1"/>
          <w:iCs w:val="1"/>
          <w:color w:val="auto"/>
        </w:rPr>
      </w:pPr>
    </w:p>
    <w:p>
      <w:pPr>
        <w:ind w:left="1000" w:right="200" w:hanging="493"/>
        <w:spacing w:after="0" w:line="265" w:lineRule="auto"/>
        <w:tabs>
          <w:tab w:leader="none" w:pos="100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Payments due for embedded finance leases related to a pharmaceutical support service contract. See Note 5 to our condensed consolidated financial statements appearing elsewhere in this Quarterly Report on Form 10-Q for details of related commitments.</w:t>
      </w:r>
    </w:p>
    <w:p>
      <w:pPr>
        <w:ind w:left="1000" w:right="40" w:hanging="493"/>
        <w:spacing w:after="0" w:line="250" w:lineRule="auto"/>
        <w:tabs>
          <w:tab w:leader="none" w:pos="10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 November 2015, we entered into a Master Service Agreement, or the MSA, with KBI Biopharma, Inc. relating to formulation development, process development and cGMP manufacturing of evorpacept for use in clinical trials on a project basis. The MSA had an initial term of three years with successive one-year renewal periods, is cancellable upon notice and is non-exclusive. Statements of work under the MSA commit us to certain future purchase obligations of approximately $24.1 million. In addition, we have commitments with two other drug product manufacturers that commit us to certain future purchase obligations of approximately $0.9 million. These amounts are based on non-cancellable commitments and forecasts that include estimates of future market demand, quantity discounts and manufacturing efficiencies that may impact timing of purchases.</w:t>
      </w:r>
    </w:p>
    <w:p>
      <w:pPr>
        <w:spacing w:after="0" w:line="2" w:lineRule="exact"/>
        <w:rPr>
          <w:rFonts w:ascii="Arial" w:cs="Arial" w:eastAsia="Arial" w:hAnsi="Arial"/>
          <w:sz w:val="18"/>
          <w:szCs w:val="18"/>
          <w:i w:val="1"/>
          <w:iCs w:val="1"/>
          <w:color w:val="auto"/>
        </w:rPr>
      </w:pPr>
    </w:p>
    <w:p>
      <w:pPr>
        <w:ind w:left="1000" w:hanging="493"/>
        <w:spacing w:after="0"/>
        <w:tabs>
          <w:tab w:leader="none" w:pos="10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Remaining three months.</w:t>
      </w:r>
    </w:p>
    <w:p>
      <w:pPr>
        <w:spacing w:after="0" w:line="21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During the period presented, we did not have, nor do we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166"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Our critical accounting policies are more fully described in the section titled “Management’s Discussion and Analysis of Financial Condition and Results of Operations—Critical Accounting Policies and Significant Judgments and Estimates” in the Company’s Annual Report on Form 10-K for the year ended December 31, 2020. During the three and nine months ended September 30, 2021, there were no material changes to our critical accounting policies from those discussed in the Company’s Annual Report on Form 10-K for the year ended December 31, 2020 filed with the SEC on March 18,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As of September 30, 2021, we had cash and cash equivalents of $385.1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Institution Risk</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September 30, 2021, we had $384.9 million in excess of this insured limit.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the principal financial officer, to allow timely decisions regarding required disclosure.</w:t>
      </w:r>
    </w:p>
    <w:p>
      <w:pPr>
        <w:spacing w:after="0" w:line="15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As of September 30, 2021,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September 30, 2021.</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2021 that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562"/>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including our unaudited condensed consolidated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growth prospects or stock price.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62" w:lineRule="exact"/>
        <w:rPr>
          <w:sz w:val="20"/>
          <w:szCs w:val="20"/>
          <w:color w:val="auto"/>
        </w:rPr>
      </w:pPr>
    </w:p>
    <w:p>
      <w:pPr>
        <w:ind w:left="1000" w:right="5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we expect to continue to incur significant net losses for the foreseeable future;</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such capital may not be available to us or may only be available on terms that are unfavorable to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 limited operating history and have no products approved for commercial sale;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44"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evorpacept (also known as ALX148), which is in clinical development and which has not completed a pivotal trial;</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cause significant adverse events or other undesirable side effects when used alone or in combination with other treatments;</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and other intellectual property for our product candidates and related technology, our business could be materially harmed;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preclinical research is conducted solely by a third party service provider, Tallac Therapeutics, Inc. (formerly known as Tollnine, Inc.), or Tallac Therapeutics, and we are dependent on Tallac Therapeutics to perform its contractual research obligations on an effective and timely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COVID-19 pandemic could adversely impact our business including our ongoing and planned clinical trials and preclinical research; and</w:t>
      </w:r>
    </w:p>
    <w:p>
      <w:pPr>
        <w:spacing w:after="0" w:line="167" w:lineRule="exact"/>
        <w:rPr>
          <w:rFonts w:ascii="Arial" w:cs="Arial" w:eastAsia="Arial" w:hAnsi="Arial"/>
          <w:sz w:val="16"/>
          <w:szCs w:val="16"/>
          <w:color w:val="auto"/>
        </w:rPr>
      </w:pPr>
    </w:p>
    <w:p>
      <w:pPr>
        <w:ind w:left="1000" w:right="1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past, we have identified material weaknesses in our internal control over financial reporting. If remediation measures we implemented are not effective, investors may lose confidence in our financial reports.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incurred significant net losses in each reporting period since our inception, have not generated any revenue from product sales, licenses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collaborations to date and have financed our operations principally through public offerings of our common stock and private placements of our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Our net loss was $24.6 million and $10.2 million for the three months ended September 30, 2021 and 2020, respectively, and $55.0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$27.0 million for the nine months ended September 30, 2021 and 2020, respectively. As of September 30, 2021, we had an accumulated deficit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$173.5 million. We have devoted substantially all of our resources and efforts to research and development. Our lead product candidate, evorpacept, is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early-stage clinical trials. Our other programs are in preclinical discovery and research stages. As a result, we expect that it will be several years, if ever,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before we have a commercialized product and generate revenue from product sales. Even if we succeed in receiving marketing approval for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commercializing one or more of our product candidates, we expect that we will continue to incur substantial research and development and other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order to discover, develop and market additional potential products.</w:t>
      </w:r>
    </w:p>
    <w:p>
      <w:pPr>
        <w:spacing w:after="0" w:line="21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284"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68"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As of September 30, 2021, we had cash and cash equivalents of $385.1 million. Based on our current operating plan, we believe that our existing cash and cash equivalents, will be sufficient to fund our operations through 2024.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6"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plan to use our cash and cash equivalents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and cash equivalents on hand, may not be sufficient to fund all of the actions that are necessary to complete the development of evorpacept or our other programs.</w:t>
      </w:r>
    </w:p>
    <w:p>
      <w:pPr>
        <w:spacing w:after="0" w:line="16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expect to obtain further funding through public or private equity offerings, debt financings, collaborations and licensing arrangements or other sources, which may dilute our stockholders or restrict our operating activities. We do not have any committed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ind w:right="420"/>
        <w:spacing w:after="0" w:line="272" w:lineRule="auto"/>
        <w:rPr>
          <w:sz w:val="20"/>
          <w:szCs w:val="20"/>
          <w:color w:val="auto"/>
        </w:rPr>
      </w:pPr>
      <w:r>
        <w:rPr>
          <w:rFonts w:ascii="Arial" w:cs="Arial" w:eastAsia="Arial" w:hAnsi="Arial"/>
          <w:sz w:val="17"/>
          <w:szCs w:val="17"/>
          <w:color w:val="auto"/>
        </w:rPr>
        <w:t>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77"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49" w:lineRule="exact"/>
        <w:rPr>
          <w:sz w:val="20"/>
          <w:szCs w:val="20"/>
          <w:color w:val="auto"/>
        </w:rPr>
      </w:pPr>
    </w:p>
    <w:p>
      <w:pPr>
        <w:ind w:left="1000" w:right="4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lead product candidate, evorpacept, and our other future product candidates;</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relationships with CROs and clinical sites for the clinical development of evorpacept and our other future product candidates;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44"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w:t>
      </w:r>
    </w:p>
    <w:p>
      <w:pPr>
        <w:spacing w:after="0" w:line="75"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44"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acceptance of evorpacept and any future product candidates as viable treatment options by patients, the medical community and third-party payors;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favorable coverage and adequate reimbursement by third-party payors for our product candidates;</w:t>
      </w:r>
    </w:p>
    <w:p>
      <w:pPr>
        <w:sectPr>
          <w:pgSz w:w="11900" w:h="16838" w:orient="portrait"/>
          <w:cols w:equalWidth="0" w:num="1">
            <w:col w:w="11240"/>
          </w:cols>
          <w:pgMar w:left="320" w:top="34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4" w:name="page35"/>
    <w:bookmarkEnd w:id="34"/>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including our licensed intellectual property;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44"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to develop, manufacture or commercialize our product candidate;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p>
    <w:p>
      <w:pPr>
        <w:spacing w:after="0" w:line="5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MDS, AML, HNSCC, or gastric/ GEJ carcinoma.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similar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p>
    <w:p>
      <w:pPr>
        <w:spacing w:after="0" w:line="29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4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64"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5" w:name="page36"/>
    <w:bookmarkEnd w:id="35"/>
    <w:p>
      <w:pPr>
        <w:ind w:right="300"/>
        <w:spacing w:after="0" w:line="277" w:lineRule="auto"/>
        <w:rPr>
          <w:sz w:val="20"/>
          <w:szCs w:val="20"/>
          <w:color w:val="auto"/>
        </w:rPr>
      </w:pPr>
      <w:r>
        <w:rPr>
          <w:rFonts w:ascii="Arial" w:cs="Arial" w:eastAsia="Arial" w:hAnsi="Arial"/>
          <w:sz w:val="18"/>
          <w:szCs w:val="18"/>
          <w:color w:val="auto"/>
        </w:rPr>
        <w:t>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27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3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9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62"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approval to commence a clinical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clinical trial site;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necessary new clinical trial sites;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suitable subjects to participate in a trial; failing in having clinical trial sites or subjects comply with trial protocols;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suffering clinical trial sites or subjects dropping out of trials;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5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44"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being larger than anticipated, enrollment in these clinical trials being slower than anticipated or subjects dropping out of these clinical trials at a higher rate than anticipated;</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clinical trials due to outbreaks or public health crises, such as the COVID-19 pandemic, that impact both trial site operations and subject selection;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third-party contractors failing to comply with regulatory requirements or meet their contractual obligations to us in a timely manner, or at all;</w:t>
      </w:r>
    </w:p>
    <w:p>
      <w:pPr>
        <w:spacing w:after="0" w:line="167" w:lineRule="exact"/>
        <w:rPr>
          <w:rFonts w:ascii="Arial" w:cs="Arial" w:eastAsia="Arial" w:hAnsi="Arial"/>
          <w:sz w:val="16"/>
          <w:szCs w:val="16"/>
          <w:color w:val="auto"/>
        </w:rPr>
      </w:pPr>
    </w:p>
    <w:p>
      <w:pPr>
        <w:ind w:left="1000" w:right="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are greater than anticipated;</w:t>
      </w:r>
    </w:p>
    <w:p>
      <w:pPr>
        <w:spacing w:after="0" w:line="144"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5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right="540" w:firstLine="510"/>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17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December 2020, the FDA verbally informed us, that given our planned initiation of two Phase 2 HNSCC clinical trials that could be potentially registrational, they require completion of a routine non-clinical safety study. The FDA noted that for any drug development program moving swiftly through development, this non-clinical study is still required prior to the initiation of a clinical trial that could be considered pivotal. We were allowed to initiate both Phase 2 HNSCC clinical trials with the enrollment capped at a total of 50 subjects treated with evorpacept across both trials (excluding safety lead-in cohorts). In June 2021, the FDA informed us that it reviewed our standard non-clinical safety study and has removed the partial clinical hold and patient cap on our two Phase 2 studies in patients with HNSCC.</w:t>
      </w:r>
    </w:p>
    <w:p>
      <w:pPr>
        <w:spacing w:after="0" w:line="28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6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p>
    <w:p>
      <w:pPr>
        <w:spacing w:after="0" w:line="17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Enrollment of subjects in our clinical trials may be delayed or limited if our clinical trial sites limit their onsite staff or temporarily close as a result of the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64"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Subject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Subject enrollment may also be affected by other factors, including:</w:t>
      </w:r>
    </w:p>
    <w:p>
      <w:pPr>
        <w:spacing w:after="0" w:line="76"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and efficacy or potency of approved drugs for the disease under investigation;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 by us and the clinical trial sites;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the clinical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proximity of clinical trial sites to prospective subjects;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of subjects enrolled in clinical trials dropping out before completion; and</w:t>
      </w:r>
    </w:p>
    <w:p>
      <w:pPr>
        <w:spacing w:after="0" w:line="14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or delay in enrollment of subjects due to a variety of reasons, including outbreaks and public health crises, such as the COVID-19 pandemic.</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inability to enroll a sufficient number of subjects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37" w:name="page38"/>
    <w:bookmarkEnd w:id="37"/>
    <w:p>
      <w:pPr>
        <w:ind w:right="16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3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2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6" w:lineRule="exact"/>
        <w:rPr>
          <w:sz w:val="20"/>
          <w:szCs w:val="20"/>
          <w:color w:val="auto"/>
        </w:rPr>
      </w:pPr>
    </w:p>
    <w:p>
      <w:pPr>
        <w:ind w:right="120" w:firstLine="510"/>
        <w:spacing w:after="0" w:line="268" w:lineRule="auto"/>
        <w:rPr>
          <w:sz w:val="20"/>
          <w:szCs w:val="20"/>
          <w:color w:val="auto"/>
        </w:rPr>
      </w:pPr>
      <w:r>
        <w:rPr>
          <w:rFonts w:ascii="Arial" w:cs="Arial" w:eastAsia="Arial" w:hAnsi="Arial"/>
          <w:sz w:val="17"/>
          <w:szCs w:val="17"/>
          <w:color w:val="auto"/>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each of the trial cohorts in our evorpacept combination clinical trials with pembrolizumab, trastuzumab and rituximab in a heavily pre-treated group of subjects who are typical participants in early stage cancer trials and are often hematologically fragile at baseline. Subjects in our evorpacept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2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7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260" w:firstLine="510"/>
        <w:spacing w:after="0" w:line="255" w:lineRule="auto"/>
        <w:rPr>
          <w:sz w:val="20"/>
          <w:szCs w:val="20"/>
          <w:color w:val="auto"/>
        </w:rPr>
      </w:pPr>
      <w:r>
        <w:rPr>
          <w:rFonts w:ascii="Arial" w:cs="Arial" w:eastAsia="Arial" w:hAnsi="Arial"/>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9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7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7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56"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52"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occurrence of any of these sanctions, enforcement actions or penalties described above may inhibit our ability to commercialize our product candidates, even if approved, and generate revenue.</w:t>
      </w:r>
    </w:p>
    <w:p>
      <w:pPr>
        <w:spacing w:after="0" w:line="2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76"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We do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176"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76" w:lineRule="exact"/>
        <w:rPr>
          <w:sz w:val="20"/>
          <w:szCs w:val="20"/>
          <w:color w:val="auto"/>
        </w:rPr>
      </w:pPr>
    </w:p>
    <w:p>
      <w:pPr>
        <w:jc w:val="both"/>
        <w:ind w:right="40" w:firstLine="510"/>
        <w:spacing w:after="0" w:line="273"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9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300" w:lineRule="exact"/>
        <w:rPr>
          <w:sz w:val="20"/>
          <w:szCs w:val="20"/>
          <w:color w:val="auto"/>
        </w:rPr>
      </w:pPr>
    </w:p>
    <w:p>
      <w:pPr>
        <w:jc w:val="both"/>
        <w:ind w:right="12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23"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product candidates for preclinical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0" w:name="page41"/>
    <w:bookmarkEnd w:id="40"/>
    <w:p>
      <w:pPr>
        <w:ind w:right="20"/>
        <w:spacing w:after="0" w:line="254" w:lineRule="auto"/>
        <w:rPr>
          <w:sz w:val="20"/>
          <w:szCs w:val="20"/>
          <w:color w:val="auto"/>
        </w:rPr>
      </w:pPr>
      <w:r>
        <w:rPr>
          <w:rFonts w:ascii="Arial" w:cs="Arial" w:eastAsia="Arial" w:hAnsi="Arial"/>
          <w:sz w:val="18"/>
          <w:szCs w:val="18"/>
          <w:color w:val="auto"/>
        </w:rPr>
        <w:t>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9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6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84"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modifications in the methods of product candidate manufacturing or formulation may result in additional costs or delay.</w:t>
      </w:r>
    </w:p>
    <w:p>
      <w:pPr>
        <w:spacing w:after="0" w:line="117"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third-party combination drugs may materially and adversely affect demand for our product candidates.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clinical trials of evorpacept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Eli Lilly and Zymeworks, pursuant to which our collaboration counterparties will supply doses of pembrolizumab, ramucirumab, and zanidatamab, respectively, for use in certain of our clinical trials. If the agreements with Merck and Eli Lilly are terminated before our trials are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ind w:right="180"/>
        <w:spacing w:after="0" w:line="286" w:lineRule="auto"/>
        <w:rPr>
          <w:sz w:val="20"/>
          <w:szCs w:val="20"/>
          <w:color w:val="auto"/>
        </w:rPr>
      </w:pPr>
      <w:r>
        <w:rPr>
          <w:rFonts w:ascii="Arial" w:cs="Arial" w:eastAsia="Arial" w:hAnsi="Arial"/>
          <w:sz w:val="17"/>
          <w:szCs w:val="17"/>
          <w:color w:val="auto"/>
        </w:rPr>
        <w:t>completed, we may need to find another source of pembrolizumab and ramucirumab, respectively, in order to continue our trial. Zanidatamab is not approved for commercial use by the FDA or any comparable regulatory authority, and as a result, no alternative source of zanidatamab exists. As such, if the agreement with Zymeworks is terminated before our trials are completed, our ability to continue our trials would be limited.</w:t>
      </w:r>
    </w:p>
    <w:p>
      <w:pPr>
        <w:spacing w:after="0" w:line="16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29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8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19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Our business also may be implicated if any of our CROs violates fraud and abuse or false claims laws and regulations or healthcare privacy and security laws.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2" w:name="page43"/>
    <w:bookmarkEnd w:id="42"/>
    <w:p>
      <w:pPr>
        <w:ind w:right="2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62"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p>
    <w:p>
      <w:pPr>
        <w:spacing w:after="0" w:line="63" w:lineRule="exact"/>
        <w:rPr>
          <w:sz w:val="20"/>
          <w:szCs w:val="20"/>
          <w:color w:val="auto"/>
        </w:rPr>
      </w:pPr>
    </w:p>
    <w:p>
      <w:pPr>
        <w:ind w:left="1000" w:right="5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evorpacept and our other product candidates to treat cancer or other applicable targeted diseases, as compared with other available drugs, treatments or therapies;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evorpacept and our other product candidates;</w:t>
      </w:r>
    </w:p>
    <w:p>
      <w:pPr>
        <w:spacing w:after="0" w:line="144"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evorpacept or our other product candidates by the FDA or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155" w:lineRule="exact"/>
        <w:rPr>
          <w:rFonts w:ascii="Arial" w:cs="Arial" w:eastAsia="Arial" w:hAnsi="Arial"/>
          <w:sz w:val="17"/>
          <w:szCs w:val="17"/>
          <w:color w:val="auto"/>
        </w:rPr>
      </w:pPr>
    </w:p>
    <w:p>
      <w:pPr>
        <w:ind w:left="1000" w:right="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and effectiveness of marketing and distribution support and timing of market introduction of competitive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and cost-effectiveness in relation to alternative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4"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 the willingness of patients to pay out-of-pocket in the absence of third-party coverage; and</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likelihood that the FDA or any foreign regulatory authority may impose additional requirements that limit the promotion, advertising, distribution or sales of our product candidates.</w:t>
      </w:r>
    </w:p>
    <w:p>
      <w:pPr>
        <w:spacing w:after="0" w:line="17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6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84" w:lineRule="exact"/>
        <w:rPr>
          <w:sz w:val="20"/>
          <w:szCs w:val="20"/>
          <w:color w:val="auto"/>
        </w:rPr>
      </w:pPr>
    </w:p>
    <w:p>
      <w:pPr>
        <w:jc w:val="both"/>
        <w:ind w:right="260" w:firstLine="510"/>
        <w:spacing w:after="0" w:line="259" w:lineRule="auto"/>
        <w:rPr>
          <w:sz w:val="20"/>
          <w:szCs w:val="20"/>
          <w:color w:val="auto"/>
        </w:rPr>
      </w:pPr>
      <w:r>
        <w:rPr>
          <w:rFonts w:ascii="Arial" w:cs="Arial" w:eastAsia="Arial" w:hAnsi="Arial"/>
          <w:sz w:val="18"/>
          <w:szCs w:val="18"/>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line="293" w:lineRule="auto"/>
        <w:rPr>
          <w:sz w:val="20"/>
          <w:szCs w:val="20"/>
          <w:color w:val="auto"/>
        </w:rPr>
      </w:pPr>
      <w:r>
        <w:rPr>
          <w:rFonts w:ascii="Arial" w:cs="Arial" w:eastAsia="Arial" w:hAnsi="Arial"/>
          <w:sz w:val="16"/>
          <w:szCs w:val="16"/>
          <w:color w:val="auto"/>
        </w:rPr>
        <w:t>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64" w:lineRule="exact"/>
        <w:rPr>
          <w:sz w:val="20"/>
          <w:szCs w:val="20"/>
          <w:color w:val="auto"/>
        </w:rPr>
      </w:pPr>
    </w:p>
    <w:p>
      <w:pPr>
        <w:ind w:right="200" w:firstLine="510"/>
        <w:spacing w:after="0" w:line="271"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the product candidates we develop, if approved, may be limited to certain smaller patient subsets.</w:t>
      </w:r>
    </w:p>
    <w:p>
      <w:pPr>
        <w:spacing w:after="0" w:line="11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2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66"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Even if any of our product candidates receive marketing approval, if we or others later identify undesirable or unacceptable side effects caused by such products:</w:t>
      </w:r>
    </w:p>
    <w:p>
      <w:pPr>
        <w:spacing w:after="0" w:line="62"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44"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 precaution or field alerts to physicians and pharmacies;</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limit the patient population who can use the product or conduct additional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3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7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69"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a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38"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5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the drug from the market or voluntary or mandatory product recalls;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fines, warning letters or holds on clinical trials;</w:t>
      </w:r>
    </w:p>
    <w:p>
      <w:pPr>
        <w:spacing w:after="0" w:line="144"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drug product seizure or detention, or refusal to permit the import or export of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26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23"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evorpacept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155" w:lineRule="exact"/>
        <w:rPr>
          <w:rFonts w:ascii="Arial" w:cs="Arial" w:eastAsia="Arial" w:hAnsi="Arial"/>
          <w:sz w:val="17"/>
          <w:szCs w:val="17"/>
          <w:color w:val="auto"/>
        </w:rPr>
      </w:pPr>
    </w:p>
    <w:p>
      <w:pPr>
        <w:ind w:left="1000" w:right="16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potency and safety in the full population for which we seek approval;</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00" w:right="560" w:hanging="493"/>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15" w:lineRule="exact"/>
        <w:rPr>
          <w:rFonts w:ascii="Arial" w:cs="Arial" w:eastAsia="Arial" w:hAnsi="Arial"/>
          <w:sz w:val="16"/>
          <w:szCs w:val="16"/>
          <w:color w:val="auto"/>
        </w:rPr>
      </w:pPr>
    </w:p>
    <w:p>
      <w:pPr>
        <w:ind w:left="1000" w:right="16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international regulatory authorities that a product candidate’s risk-benefit ratio for its proposed indication is acceptable;</w:t>
      </w:r>
    </w:p>
    <w:p>
      <w:pPr>
        <w:spacing w:after="0" w:line="62" w:lineRule="exact"/>
        <w:rPr>
          <w:rFonts w:ascii="Arial" w:cs="Arial" w:eastAsia="Arial" w:hAnsi="Arial"/>
          <w:sz w:val="18"/>
          <w:szCs w:val="18"/>
          <w:color w:val="auto"/>
        </w:rPr>
      </w:pPr>
    </w:p>
    <w:p>
      <w:pPr>
        <w:ind w:left="1000" w:right="920" w:hanging="493"/>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international foreign regulatory authorities may significantly change in a manner rendering our clinical data insufficient for approval.</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8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62"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In February 2020, the FDA granted Fast Track designations to evorpacept for first-line HNSCC and for second-line treatment of advanced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6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7" w:name="page48"/>
    <w:bookmarkEnd w:id="47"/>
    <w:p>
      <w:pPr>
        <w:spacing w:after="0" w:line="253" w:lineRule="auto"/>
        <w:rPr>
          <w:sz w:val="20"/>
          <w:szCs w:val="20"/>
          <w:color w:val="auto"/>
        </w:rPr>
      </w:pPr>
      <w:r>
        <w:rPr>
          <w:rFonts w:ascii="Arial" w:cs="Arial" w:eastAsia="Arial" w:hAnsi="Arial"/>
          <w:sz w:val="18"/>
          <w:szCs w:val="18"/>
          <w:color w:val="auto"/>
        </w:rPr>
        <w:t>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3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8"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our drugs, if we obtain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drugs;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7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December 31, 2021, unless additional Congressional action is taken. Additionally, it is possible that additional governmental action is taken in response to the COVID-19 pandemic, resulting in a material adverse effect on our business. For example, on August 6, 2020, the Trump administration issued another executive order that instructs the federal government to develop a list of “essential” medicines and then buy them and other medical supplies from U.S.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8" w:name="page49"/>
    <w:bookmarkEnd w:id="48"/>
    <w:p>
      <w:pPr>
        <w:ind w:right="160"/>
        <w:spacing w:after="0" w:line="342" w:lineRule="auto"/>
        <w:rPr>
          <w:sz w:val="20"/>
          <w:szCs w:val="20"/>
          <w:color w:val="auto"/>
        </w:rPr>
      </w:pPr>
      <w:r>
        <w:rPr>
          <w:rFonts w:ascii="Arial" w:cs="Arial" w:eastAsia="Arial" w:hAnsi="Arial"/>
          <w:sz w:val="16"/>
          <w:szCs w:val="16"/>
          <w:color w:val="auto"/>
        </w:rPr>
        <w:t>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24"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to use step therapy for Part B drugs beginning January 1, 2020, codifying a policy change that was effective January 1, 2019. In 2020, the U.S. Department of Health and Human Services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new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current administration. The impact of these lawsuits as well as legislative, executive, and administrative actions of the current administration on us and the biopharmaceutical industry as a whole is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w:t>
      </w:r>
    </w:p>
    <w:p>
      <w:pPr>
        <w:spacing w:after="0" w:line="16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jc w:val="both"/>
        <w:ind w:right="140" w:firstLine="510"/>
        <w:spacing w:after="0" w:line="272"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7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9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 w:name="page50"/>
    <w:bookmarkEnd w:id="49"/>
    <w:p>
      <w:pPr>
        <w:ind w:right="10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9"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60" w:lineRule="exact"/>
        <w:rPr>
          <w:sz w:val="20"/>
          <w:szCs w:val="20"/>
          <w:color w:val="auto"/>
        </w:rPr>
      </w:pPr>
    </w:p>
    <w:p>
      <w:pPr>
        <w:ind w:left="1000" w:hanging="493"/>
        <w:spacing w:after="0" w:line="255"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FCA.</w:t>
      </w:r>
    </w:p>
    <w:p>
      <w:pPr>
        <w:spacing w:after="0" w:line="84" w:lineRule="exact"/>
        <w:rPr>
          <w:rFonts w:ascii="Arial" w:cs="Arial" w:eastAsia="Arial" w:hAnsi="Arial"/>
          <w:sz w:val="18"/>
          <w:szCs w:val="18"/>
          <w:color w:val="auto"/>
        </w:rPr>
      </w:pPr>
    </w:p>
    <w:p>
      <w:pPr>
        <w:ind w:left="1000" w:right="260" w:hanging="493"/>
        <w:spacing w:after="0" w:line="275"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68" w:lineRule="exact"/>
        <w:rPr>
          <w:rFonts w:ascii="Arial" w:cs="Arial" w:eastAsia="Arial" w:hAnsi="Arial"/>
          <w:sz w:val="17"/>
          <w:szCs w:val="17"/>
          <w:color w:val="auto"/>
        </w:rPr>
      </w:pPr>
    </w:p>
    <w:p>
      <w:pPr>
        <w:ind w:left="1000" w:right="160" w:hanging="493"/>
        <w:spacing w:after="0" w:line="275"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8" w:lineRule="exact"/>
        <w:rPr>
          <w:rFonts w:ascii="Arial" w:cs="Arial" w:eastAsia="Arial" w:hAnsi="Arial"/>
          <w:sz w:val="17"/>
          <w:szCs w:val="17"/>
          <w:color w:val="auto"/>
        </w:rPr>
      </w:pPr>
    </w:p>
    <w:p>
      <w:pPr>
        <w:ind w:left="1040" w:right="40" w:hanging="519"/>
        <w:spacing w:after="0" w:line="257"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040" w:right="40" w:hanging="519"/>
        <w:spacing w:after="0" w:line="25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8"/>
          <w:szCs w:val="18"/>
          <w:i w:val="1"/>
          <w:iCs w:val="1"/>
          <w:color w:val="auto"/>
        </w:rPr>
        <w:t>i.e.</w:t>
      </w:r>
      <w:r>
        <w:rPr>
          <w:rFonts w:ascii="Arial" w:cs="Arial" w:eastAsia="Arial" w:hAnsi="Arial"/>
          <w:sz w:val="18"/>
          <w:szCs w:val="18"/>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83" w:lineRule="exact"/>
        <w:rPr>
          <w:rFonts w:ascii="Arial" w:cs="Arial" w:eastAsia="Arial" w:hAnsi="Arial"/>
          <w:sz w:val="18"/>
          <w:szCs w:val="18"/>
          <w:color w:val="auto"/>
        </w:rPr>
      </w:pPr>
    </w:p>
    <w:p>
      <w:pPr>
        <w:ind w:left="1040" w:right="560" w:hanging="519"/>
        <w:spacing w:after="0" w:line="277"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U.S. Federal Food, Drug and Cosmetic Act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040" w:right="160" w:hanging="519"/>
        <w:spacing w:after="0" w:line="291" w:lineRule="auto"/>
        <w:tabs>
          <w:tab w:leader="none" w:pos="1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left="1040" w:right="20"/>
        <w:spacing w:after="0" w:line="277" w:lineRule="auto"/>
        <w:rPr>
          <w:sz w:val="20"/>
          <w:szCs w:val="20"/>
          <w:color w:val="auto"/>
        </w:rPr>
      </w:pPr>
      <w:r>
        <w:rPr>
          <w:rFonts w:ascii="Arial" w:cs="Arial" w:eastAsia="Arial" w:hAnsi="Arial"/>
          <w:sz w:val="18"/>
          <w:szCs w:val="18"/>
          <w:color w:val="auto"/>
        </w:rPr>
        <w:t>practitioners and other mid-level practitioners, with reporting requirements beginning in 2022 for payments made or ownership or investment interests held in 2021.</w:t>
      </w:r>
    </w:p>
    <w:p>
      <w:pPr>
        <w:spacing w:after="0" w:line="62" w:lineRule="exact"/>
        <w:rPr>
          <w:sz w:val="20"/>
          <w:szCs w:val="20"/>
          <w:color w:val="auto"/>
        </w:rPr>
      </w:pPr>
    </w:p>
    <w:p>
      <w:pPr>
        <w:ind w:left="1040" w:right="200" w:hanging="519"/>
        <w:spacing w:after="0" w:line="273" w:lineRule="auto"/>
        <w:tabs>
          <w:tab w:leader="none" w:pos="10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69" w:lineRule="exact"/>
        <w:rPr>
          <w:rFonts w:ascii="Arial" w:cs="Arial" w:eastAsia="Arial" w:hAnsi="Arial"/>
          <w:sz w:val="17"/>
          <w:szCs w:val="17"/>
          <w:color w:val="auto"/>
        </w:rPr>
      </w:pPr>
    </w:p>
    <w:p>
      <w:pPr>
        <w:ind w:left="1040" w:right="20" w:hanging="519"/>
        <w:spacing w:after="0" w:line="289" w:lineRule="auto"/>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58"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also impose legal requirements, including reporting requirements detailing interactions with and payments to healthcare providers.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2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76"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276"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300"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76"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7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7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40"/>
        <w:spacing w:after="0" w:line="263" w:lineRule="auto"/>
        <w:rPr>
          <w:sz w:val="20"/>
          <w:szCs w:val="20"/>
          <w:color w:val="auto"/>
        </w:rPr>
      </w:pPr>
      <w:r>
        <w:rPr>
          <w:rFonts w:ascii="Arial" w:cs="Arial" w:eastAsia="Arial" w:hAnsi="Arial"/>
          <w:sz w:val="18"/>
          <w:szCs w:val="18"/>
          <w:color w:val="auto"/>
        </w:rPr>
        <w:t>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2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may collect, process, use or transfer personal information from individuals located in the European Union, the European Economic Area, and their respective member states, Switzerland and the United Kingdom in connection with our business, including in connection with conducting clinical trials in these regions.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174"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However, a new set of Standard Contractual Clauses have been adopted by the European Commission that will be used going forward. In addition, the existing data transfer arrangement that relied on the previous version of the Standard Contractual Clauses needs to be updated by December 27, 2022, which could increase our costs.</w:t>
      </w:r>
    </w:p>
    <w:p>
      <w:pPr>
        <w:spacing w:after="0" w:line="165" w:lineRule="exact"/>
        <w:rPr>
          <w:sz w:val="20"/>
          <w:szCs w:val="20"/>
          <w:color w:val="auto"/>
        </w:rPr>
      </w:pPr>
    </w:p>
    <w:p>
      <w:pPr>
        <w:ind w:right="40" w:firstLine="514"/>
        <w:spacing w:after="0" w:line="273" w:lineRule="auto"/>
        <w:rPr>
          <w:sz w:val="20"/>
          <w:szCs w:val="20"/>
          <w:color w:val="auto"/>
        </w:rPr>
      </w:pPr>
      <w:r>
        <w:rPr>
          <w:rFonts w:ascii="Arial" w:cs="Arial" w:eastAsia="Arial" w:hAnsi="Arial"/>
          <w:sz w:val="17"/>
          <w:szCs w:val="17"/>
          <w:color w:val="auto"/>
        </w:rPr>
        <w:t>Further, Brexit has created uncertainty with regard to data protection regulation in the United Kingdom. Although the European Commission has granted “adequacy status” to the United Kingdom, and personal data can flow from the European Union to the United Kingdom and back, the United Kingdom is expected to change its policy with respect to the export of personal data to third countries, such as the United States. The United Kingdom may require Standard Contractual Clauses that are different from (or require amendment to) the European Commission’s version of these clauses. We may, therefore, incur liabilities, expenses, costs, and other operational losses under GDPR and applicable European Union Member States and the United Kingdom privacy laws in connection with any measures we take to comply with them.</w:t>
      </w:r>
    </w:p>
    <w:p>
      <w:pPr>
        <w:spacing w:after="0" w:line="178" w:lineRule="exact"/>
        <w:rPr>
          <w:sz w:val="20"/>
          <w:szCs w:val="20"/>
          <w:color w:val="auto"/>
        </w:rPr>
      </w:pPr>
    </w:p>
    <w:p>
      <w:pPr>
        <w:ind w:right="20" w:firstLine="514"/>
        <w:spacing w:after="0" w:line="287" w:lineRule="auto"/>
        <w:rPr>
          <w:sz w:val="20"/>
          <w:szCs w:val="20"/>
          <w:color w:val="auto"/>
        </w:rPr>
      </w:pPr>
      <w:r>
        <w:rPr>
          <w:rFonts w:ascii="Arial" w:cs="Arial" w:eastAsia="Arial" w:hAnsi="Arial"/>
          <w:sz w:val="16"/>
          <w:szCs w:val="16"/>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Additionally, a new privacy law, the California Privacy Rights Act, or the CPRA, was approved by California voters in the election on November 3, 2020. The CPRA will modify the CCPA significantly, potentially resulting in further uncertainty and requiring us to incur additional costs and expenses in an effort to comply. As we expand our operations, preclinical studies and clinical trials, the CCPA and CPRA may increase our compliance costs and potential liability. Other states are beginning to consider and pass similar laws.</w:t>
      </w:r>
    </w:p>
    <w:p>
      <w:pPr>
        <w:spacing w:after="0" w:line="17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line="342" w:lineRule="auto"/>
        <w:rPr>
          <w:sz w:val="20"/>
          <w:szCs w:val="20"/>
          <w:color w:val="auto"/>
        </w:rPr>
      </w:pPr>
      <w:r>
        <w:rPr>
          <w:rFonts w:ascii="Arial" w:cs="Arial" w:eastAsia="Arial" w:hAnsi="Arial"/>
          <w:sz w:val="16"/>
          <w:szCs w:val="16"/>
          <w:color w:val="auto"/>
        </w:rPr>
        <w:t>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62" w:lineRule="exact"/>
        <w:rPr>
          <w:sz w:val="20"/>
          <w:szCs w:val="20"/>
          <w:color w:val="auto"/>
        </w:rPr>
      </w:pPr>
    </w:p>
    <w:p>
      <w:pPr>
        <w:ind w:firstLine="514"/>
        <w:spacing w:after="0" w:line="268"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86" w:lineRule="exact"/>
        <w:rPr>
          <w:sz w:val="20"/>
          <w:szCs w:val="20"/>
          <w:color w:val="auto"/>
        </w:rPr>
      </w:pPr>
    </w:p>
    <w:p>
      <w:pPr>
        <w:ind w:firstLine="514"/>
        <w:spacing w:after="0" w:line="291" w:lineRule="auto"/>
        <w:rPr>
          <w:sz w:val="20"/>
          <w:szCs w:val="20"/>
          <w:color w:val="auto"/>
        </w:rPr>
      </w:pPr>
      <w:r>
        <w:rPr>
          <w:rFonts w:ascii="Arial" w:cs="Arial" w:eastAsia="Arial" w:hAnsi="Arial"/>
          <w:sz w:val="16"/>
          <w:szCs w:val="16"/>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opposition or derivation proceedings challenging our patent rights or the patent rights of others.</w:t>
      </w:r>
    </w:p>
    <w:p>
      <w:pPr>
        <w:spacing w:after="0" w:line="166" w:lineRule="exact"/>
        <w:rPr>
          <w:sz w:val="20"/>
          <w:szCs w:val="20"/>
          <w:color w:val="auto"/>
        </w:rPr>
      </w:pPr>
    </w:p>
    <w:p>
      <w:pPr>
        <w:ind w:firstLine="514"/>
        <w:spacing w:after="0" w:line="287" w:lineRule="auto"/>
        <w:rPr>
          <w:sz w:val="20"/>
          <w:szCs w:val="20"/>
          <w:color w:val="auto"/>
        </w:rPr>
      </w:pPr>
      <w:r>
        <w:rPr>
          <w:rFonts w:ascii="Arial" w:cs="Arial" w:eastAsia="Arial" w:hAnsi="Arial"/>
          <w:sz w:val="16"/>
          <w:szCs w:val="16"/>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6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4" w:name="page55"/>
    <w:bookmarkEnd w:id="54"/>
    <w:p>
      <w:pPr>
        <w:ind w:right="100"/>
        <w:spacing w:after="0" w:line="259" w:lineRule="auto"/>
        <w:rPr>
          <w:sz w:val="20"/>
          <w:szCs w:val="20"/>
          <w:color w:val="auto"/>
        </w:rPr>
      </w:pPr>
      <w:r>
        <w:rPr>
          <w:rFonts w:ascii="Arial" w:cs="Arial" w:eastAsia="Arial" w:hAnsi="Arial"/>
          <w:sz w:val="18"/>
          <w:szCs w:val="18"/>
          <w:color w:val="auto"/>
        </w:rPr>
        <w:t>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8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3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77"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5" w:name="page56"/>
    <w:bookmarkEnd w:id="55"/>
    <w:p>
      <w:pPr>
        <w:jc w:val="both"/>
        <w:ind w:right="120" w:firstLine="510"/>
        <w:spacing w:after="0" w:line="296"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6"/>
          <w:szCs w:val="16"/>
          <w:i w:val="1"/>
          <w:iCs w:val="1"/>
          <w:color w:val="auto"/>
        </w:rPr>
        <w:t>e.g.</w:t>
      </w:r>
      <w:r>
        <w:rPr>
          <w:rFonts w:ascii="Arial" w:cs="Arial" w:eastAsia="Arial" w:hAnsi="Arial"/>
          <w:sz w:val="16"/>
          <w:szCs w:val="16"/>
          <w:color w:val="auto"/>
        </w:rPr>
        <w:t xml:space="preserve">, via post-grant reviews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6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170" w:lineRule="exact"/>
        <w:rPr>
          <w:sz w:val="20"/>
          <w:szCs w:val="20"/>
          <w:color w:val="auto"/>
        </w:rPr>
      </w:pPr>
    </w:p>
    <w:p>
      <w:pPr>
        <w:jc w:val="both"/>
        <w:ind w:right="540" w:firstLine="510"/>
        <w:spacing w:after="0" w:line="263" w:lineRule="auto"/>
        <w:rPr>
          <w:sz w:val="20"/>
          <w:szCs w:val="20"/>
          <w:color w:val="auto"/>
        </w:rPr>
      </w:pPr>
      <w:r>
        <w:rPr>
          <w:rFonts w:ascii="Arial" w:cs="Arial" w:eastAsia="Arial" w:hAnsi="Arial"/>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 candidates could be found invalid or unenforceable if challenged.</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prosecution, assertion and defense for some of our product candidates may be dependent on third parties.</w:t>
      </w:r>
    </w:p>
    <w:p>
      <w:pPr>
        <w:spacing w:after="0" w:line="11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right="260"/>
        <w:spacing w:after="0" w:line="277" w:lineRule="auto"/>
        <w:rPr>
          <w:sz w:val="20"/>
          <w:szCs w:val="20"/>
          <w:color w:val="auto"/>
        </w:rPr>
      </w:pPr>
      <w:r>
        <w:rPr>
          <w:rFonts w:ascii="Arial" w:cs="Arial" w:eastAsia="Arial" w:hAnsi="Arial"/>
          <w:sz w:val="18"/>
          <w:szCs w:val="18"/>
          <w:color w:val="auto"/>
        </w:rPr>
        <w:t>to develop and commercialize any such product candidate may be adversely affected and we may not be able to prevent competitors from making, using and selling competing products.</w:t>
      </w:r>
    </w:p>
    <w:p>
      <w:pPr>
        <w:spacing w:after="0" w:line="2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390"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and trade secrets, which could be expensive, time-consuming and unsuccessful.</w:t>
      </w:r>
    </w:p>
    <w:p>
      <w:pPr>
        <w:spacing w:after="0" w:line="15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8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ind w:right="20"/>
        <w:spacing w:after="0" w:line="277" w:lineRule="auto"/>
        <w:rPr>
          <w:sz w:val="20"/>
          <w:szCs w:val="20"/>
          <w:color w:val="auto"/>
        </w:rPr>
      </w:pPr>
      <w:r>
        <w:rPr>
          <w:rFonts w:ascii="Arial" w:cs="Arial" w:eastAsia="Arial" w:hAnsi="Arial"/>
          <w:sz w:val="18"/>
          <w:szCs w:val="18"/>
          <w:color w:val="auto"/>
        </w:rPr>
        <w:t>by our patents and patent applications is threatened, it could dissuade companies from collaborating with us to license, develop or commercialize current or future product candidates.</w:t>
      </w:r>
    </w:p>
    <w:p>
      <w:pPr>
        <w:spacing w:after="0" w:line="170"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initiate litigation or other proceedings against third parties to enforce our patent and trade secret rights;</w:t>
      </w:r>
    </w:p>
    <w:p>
      <w:pPr>
        <w:spacing w:after="0" w:line="144"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62" w:lineRule="exact"/>
        <w:rPr>
          <w:rFonts w:ascii="Arial" w:cs="Arial" w:eastAsia="Arial" w:hAnsi="Arial"/>
          <w:sz w:val="18"/>
          <w:szCs w:val="18"/>
          <w:color w:val="auto"/>
        </w:rPr>
      </w:pPr>
    </w:p>
    <w:p>
      <w:pPr>
        <w:ind w:left="1000" w:right="100" w:hanging="493"/>
        <w:spacing w:after="0" w:line="286"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57" w:lineRule="exact"/>
        <w:rPr>
          <w:rFonts w:ascii="Arial" w:cs="Arial" w:eastAsia="Arial" w:hAnsi="Arial"/>
          <w:sz w:val="17"/>
          <w:szCs w:val="17"/>
          <w:color w:val="auto"/>
        </w:rPr>
      </w:pPr>
    </w:p>
    <w:p>
      <w:pPr>
        <w:ind w:left="1000" w:right="16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84"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72"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 We may become involved in lawsuits to protect or enforce our patents and trade secrets, which could be expensive, time consuming and unsuccessful.”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w:t>
      </w:r>
    </w:p>
    <w:p>
      <w:pPr>
        <w:spacing w:after="0" w:line="14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8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Trillium Therapeutics, our competitor, has an exclusive license to the U.S. patent and application. The European counterpart patent (EP 2 429 574) was revoked by the European Patent Office and UHN and The Hospital for Sick Children have appealed the decision. The patent claims under the European patent, if the appeal by UHN and The Hospital for Sick Children is successful, could potentially limit our ability to pursue evorpacept in certain new indications or geographies in the future. However, we believe that we do not infringe claims listed in U.S. patent 10,907,209.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84"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77" w:lineRule="exact"/>
        <w:rPr>
          <w:sz w:val="20"/>
          <w:szCs w:val="20"/>
          <w:color w:val="auto"/>
        </w:rPr>
      </w:pPr>
    </w:p>
    <w:p>
      <w:pPr>
        <w:ind w:right="520" w:firstLine="510"/>
        <w:spacing w:after="0" w:line="311" w:lineRule="auto"/>
        <w:rPr>
          <w:sz w:val="20"/>
          <w:szCs w:val="20"/>
          <w:color w:val="auto"/>
        </w:rPr>
      </w:pPr>
      <w:r>
        <w:rPr>
          <w:rFonts w:ascii="Arial" w:cs="Arial" w:eastAsia="Arial" w:hAnsi="Arial"/>
          <w:sz w:val="16"/>
          <w:szCs w:val="16"/>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8" w:lineRule="exact"/>
        <w:rPr>
          <w:sz w:val="20"/>
          <w:szCs w:val="20"/>
          <w:color w:val="auto"/>
        </w:rPr>
      </w:pPr>
    </w:p>
    <w:p>
      <w:pPr>
        <w:ind w:left="1000" w:right="24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44"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00" w:right="220" w:hanging="493"/>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75" w:lineRule="exact"/>
        <w:rPr>
          <w:rFonts w:ascii="Arial" w:cs="Arial" w:eastAsia="Arial" w:hAnsi="Arial"/>
          <w:sz w:val="18"/>
          <w:szCs w:val="18"/>
          <w:color w:val="auto"/>
        </w:rPr>
      </w:pPr>
    </w:p>
    <w:p>
      <w:pPr>
        <w:ind w:left="1000" w:right="700" w:hanging="493"/>
        <w:spacing w:after="0" w:line="30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9" w:name="page60"/>
    <w:bookmarkEnd w:id="59"/>
    <w:p>
      <w:pPr>
        <w:ind w:left="1000" w:right="80" w:hanging="493"/>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may be subject, in part, to the terms and conditions of agreements with others.</w:t>
      </w:r>
    </w:p>
    <w:p>
      <w:pPr>
        <w:spacing w:after="0" w:line="140"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5"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0" w:name="page61"/>
    <w:bookmarkEnd w:id="60"/>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the option or license rights granted under the agreement and other interpretation-related issues;</w:t>
      </w:r>
    </w:p>
    <w:p>
      <w:pPr>
        <w:spacing w:after="0" w:line="144"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collaborator that is not subject to the option or license rights granted under the agreement;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144" w:lineRule="exact"/>
        <w:rPr>
          <w:rFonts w:ascii="Arial" w:cs="Arial" w:eastAsia="Arial" w:hAnsi="Arial"/>
          <w:sz w:val="18"/>
          <w:szCs w:val="18"/>
          <w:color w:val="auto"/>
        </w:rPr>
      </w:pPr>
    </w:p>
    <w:p>
      <w:pPr>
        <w:ind w:left="1000" w:right="8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collaborators and us and our other partners;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As of September 30, 2021, we had 32 employees, including 21 employees engaged in research and development. In order to successfully implement our development and commercialization plans and strategies, and as we continue to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44" w:lineRule="exact"/>
        <w:rPr>
          <w:rFonts w:ascii="Arial" w:cs="Arial" w:eastAsia="Arial" w:hAnsi="Arial"/>
          <w:sz w:val="18"/>
          <w:szCs w:val="18"/>
          <w:color w:val="auto"/>
        </w:rPr>
      </w:pPr>
    </w:p>
    <w:p>
      <w:pPr>
        <w:ind w:left="1000" w:right="340" w:hanging="493"/>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evorpacept and any other future product candidates, while complying with any contractual obligations to contractors and other third parties we may have;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52"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evorpacept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right="660" w:firstLine="510"/>
        <w:spacing w:after="0" w:line="308" w:lineRule="auto"/>
        <w:rPr>
          <w:sz w:val="20"/>
          <w:szCs w:val="20"/>
          <w:color w:val="auto"/>
        </w:rPr>
      </w:pPr>
      <w:r>
        <w:rPr>
          <w:rFonts w:ascii="Arial" w:cs="Arial" w:eastAsia="Arial" w:hAnsi="Arial"/>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40"/>
        <w:spacing w:after="0" w:line="255" w:lineRule="auto"/>
        <w:rPr>
          <w:sz w:val="20"/>
          <w:szCs w:val="20"/>
          <w:color w:val="auto"/>
        </w:rPr>
      </w:pPr>
      <w:r>
        <w:rPr>
          <w:rFonts w:ascii="Arial" w:cs="Arial" w:eastAsia="Arial" w:hAnsi="Arial"/>
          <w:sz w:val="18"/>
          <w:szCs w:val="18"/>
          <w:color w:val="auto"/>
        </w:rPr>
        <w:t>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9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are based on a novel technology, which makes it difficult to predict the time and cost of product candidate development.</w:t>
      </w:r>
    </w:p>
    <w:p>
      <w:pPr>
        <w:spacing w:after="0" w:line="140"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8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right="200"/>
        <w:spacing w:after="0" w:line="27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2"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70" w:lineRule="exact"/>
        <w:rPr>
          <w:sz w:val="20"/>
          <w:szCs w:val="20"/>
          <w:color w:val="auto"/>
        </w:rPr>
      </w:pPr>
    </w:p>
    <w:p>
      <w:pPr>
        <w:ind w:left="1000" w:right="340" w:hanging="493"/>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44"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 including as a result of potentially relevant third-party patent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44"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drugs;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political and economic instability, including wars, terrorism and political unrest, boycotts, curtailment of trade and other business restrictions;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natural disasters, outbreaks or public health crises, such as the COVID-19 pandemic;</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44"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factors could harm our future international expansion and operations and, consequently, our results of operations.</w:t>
      </w:r>
    </w:p>
    <w:p>
      <w:pPr>
        <w:spacing w:after="0" w:line="333"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1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7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8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95"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149" w:lineRule="exact"/>
        <w:rPr>
          <w:sz w:val="20"/>
          <w:szCs w:val="20"/>
          <w:color w:val="auto"/>
        </w:rPr>
      </w:pPr>
    </w:p>
    <w:p>
      <w:pPr>
        <w:ind w:right="340" w:firstLine="510"/>
        <w:spacing w:after="0" w:line="279" w:lineRule="auto"/>
        <w:rPr>
          <w:sz w:val="20"/>
          <w:szCs w:val="20"/>
          <w:color w:val="auto"/>
        </w:rPr>
      </w:pPr>
      <w:r>
        <w:rPr>
          <w:rFonts w:ascii="Arial" w:cs="Arial" w:eastAsia="Arial" w:hAnsi="Arial"/>
          <w:sz w:val="17"/>
          <w:szCs w:val="17"/>
          <w:color w:val="auto"/>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9"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December 2019, COVID-19 was reported to have surfaced in Wuhan, China. Since then, the virus has spread across the world, including all 50 states within the United States, resulting in the World Health Organization characterizing COVID-19 as a pandemic. Currently, the Delta variant of COVID-19 continues to spread as another wave of the pandemic. As a result of measures imposed by the governments in affected regions, many commercial activities, businesses and schools have been suspended as part of quarantines and other measures intended to contain this pandemic. The extent to which the COVID-19 pandemic ultimately impacts our business will depend on future developments, which are highly uncertain and cannot be predicted, such as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may experience disruptions that could severely impact our business, current and planned clinical trials and preclinical research, including:</w:t>
      </w:r>
    </w:p>
    <w:p>
      <w:pPr>
        <w:spacing w:after="0" w:line="73" w:lineRule="exact"/>
        <w:rPr>
          <w:sz w:val="20"/>
          <w:szCs w:val="20"/>
          <w:color w:val="auto"/>
        </w:rPr>
      </w:pPr>
    </w:p>
    <w:p>
      <w:pPr>
        <w:ind w:left="1000" w:right="1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subjects, particularly elderly subjects, who are at a higher risk of severe illness or death from COVID-19, in our ongoing clinical trial of evorpacept and our future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subjects;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left="10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jc w:val="both"/>
        <w:ind w:left="1000" w:right="100" w:hanging="493"/>
        <w:spacing w:after="0" w:line="286"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57"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receiving approval from regulatory authorities to initiate our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the CROs conducting such studies;</w:t>
      </w:r>
    </w:p>
    <w:p>
      <w:pPr>
        <w:spacing w:after="0" w:line="144"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domestic or foreign regulatory authorities, which may impact review and approval timelines;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clinical trials and preclinical research;</w:t>
      </w:r>
    </w:p>
    <w:p>
      <w:pPr>
        <w:spacing w:after="0" w:line="144"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interruptions or delays to our development pipeline;</w:t>
      </w:r>
    </w:p>
    <w:p>
      <w:pPr>
        <w:spacing w:after="0" w:line="144"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of the United States.</w:t>
      </w:r>
    </w:p>
    <w:p>
      <w:pPr>
        <w:spacing w:after="0" w:line="252" w:lineRule="exact"/>
        <w:rPr>
          <w:sz w:val="20"/>
          <w:szCs w:val="20"/>
          <w:color w:val="auto"/>
        </w:rPr>
      </w:pPr>
    </w:p>
    <w:p>
      <w:pPr>
        <w:ind w:right="200" w:firstLine="514"/>
        <w:spacing w:after="0" w:line="257" w:lineRule="auto"/>
        <w:rPr>
          <w:sz w:val="20"/>
          <w:szCs w:val="20"/>
          <w:color w:val="auto"/>
        </w:rPr>
      </w:pPr>
      <w:r>
        <w:rPr>
          <w:rFonts w:ascii="Arial" w:cs="Arial" w:eastAsia="Arial" w:hAnsi="Arial"/>
          <w:sz w:val="18"/>
          <w:szCs w:val="18"/>
          <w:color w:val="auto"/>
        </w:rPr>
        <w:t>The COVID-19 pandemic continues to pose a threat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For example, many of our employees continue to telecommute, which may impact certain of our operations over the near term and long term.</w:t>
      </w:r>
    </w:p>
    <w:p>
      <w:pPr>
        <w:spacing w:after="0" w:line="188" w:lineRule="exact"/>
        <w:rPr>
          <w:sz w:val="20"/>
          <w:szCs w:val="20"/>
          <w:color w:val="auto"/>
        </w:rPr>
      </w:pPr>
    </w:p>
    <w:p>
      <w:pPr>
        <w:ind w:right="40" w:firstLine="514"/>
        <w:spacing w:after="0" w:line="268"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COVID-19 pandemic.</w:t>
      </w:r>
    </w:p>
    <w:p>
      <w:pPr>
        <w:spacing w:after="0" w:line="184" w:lineRule="exact"/>
        <w:rPr>
          <w:sz w:val="20"/>
          <w:szCs w:val="20"/>
          <w:color w:val="auto"/>
        </w:rPr>
      </w:pPr>
    </w:p>
    <w:p>
      <w:pPr>
        <w:ind w:right="20" w:firstLine="514"/>
        <w:spacing w:after="0" w:line="269" w:lineRule="auto"/>
        <w:rPr>
          <w:sz w:val="20"/>
          <w:szCs w:val="20"/>
          <w:color w:val="auto"/>
        </w:rPr>
      </w:pPr>
      <w:r>
        <w:rPr>
          <w:rFonts w:ascii="Arial" w:cs="Arial" w:eastAsia="Arial" w:hAnsi="Arial"/>
          <w:sz w:val="17"/>
          <w:szCs w:val="17"/>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65" w:name="page66"/>
    <w:bookmarkEnd w:id="65"/>
    <w:p>
      <w:pPr>
        <w:ind w:right="140"/>
        <w:spacing w:after="0" w:line="257" w:lineRule="auto"/>
        <w:rPr>
          <w:sz w:val="20"/>
          <w:szCs w:val="20"/>
          <w:color w:val="auto"/>
        </w:rPr>
      </w:pPr>
      <w:r>
        <w:rPr>
          <w:rFonts w:ascii="Arial" w:cs="Arial" w:eastAsia="Arial" w:hAnsi="Arial"/>
          <w:sz w:val="18"/>
          <w:szCs w:val="18"/>
          <w:color w:val="auto"/>
        </w:rPr>
        <w:t>description of how the individual’s participation was altered; and analyses and corresponding discussions that address the impact of implemented contingency measures (</w:t>
      </w:r>
      <w:r>
        <w:rPr>
          <w:rFonts w:ascii="Arial" w:cs="Arial" w:eastAsia="Arial" w:hAnsi="Arial"/>
          <w:sz w:val="18"/>
          <w:szCs w:val="18"/>
          <w:i w:val="1"/>
          <w:iCs w:val="1"/>
          <w:color w:val="auto"/>
        </w:rPr>
        <w:t>e.g.</w:t>
      </w:r>
      <w:r>
        <w:rPr>
          <w:rFonts w:ascii="Arial" w:cs="Arial" w:eastAsia="Arial" w:hAnsi="Arial"/>
          <w:sz w:val="18"/>
          <w:szCs w:val="18"/>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88" w:lineRule="exact"/>
        <w:rPr>
          <w:sz w:val="20"/>
          <w:szCs w:val="20"/>
          <w:color w:val="auto"/>
        </w:rPr>
      </w:pPr>
    </w:p>
    <w:p>
      <w:pPr>
        <w:ind w:right="40" w:firstLine="514"/>
        <w:spacing w:after="0" w:line="263" w:lineRule="auto"/>
        <w:rPr>
          <w:sz w:val="20"/>
          <w:szCs w:val="20"/>
          <w:color w:val="auto"/>
        </w:rPr>
      </w:pPr>
      <w:r>
        <w:rPr>
          <w:rFonts w:ascii="Arial" w:cs="Arial" w:eastAsia="Arial" w:hAnsi="Arial"/>
          <w:sz w:val="18"/>
          <w:szCs w:val="18"/>
          <w:color w:val="auto"/>
        </w:rPr>
        <w:t>The COVID-19 pandemic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84"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section and in this “Risk Factors” section.</w:t>
      </w:r>
    </w:p>
    <w:p>
      <w:pPr>
        <w:spacing w:after="0" w:line="2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9"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recently entered into a collaboration agreement with Tallac Therapeutics pursuant to which we expect to jointly develop, manufacture, and commercialize a novel class of cancer immunotherapeutics.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65" w:lineRule="exact"/>
        <w:rPr>
          <w:sz w:val="20"/>
          <w:szCs w:val="20"/>
          <w:color w:val="auto"/>
        </w:rPr>
      </w:pPr>
    </w:p>
    <w:p>
      <w:pPr>
        <w:ind w:right="20" w:firstLine="514"/>
        <w:spacing w:after="0" w:line="273"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78" w:lineRule="exact"/>
        <w:rPr>
          <w:sz w:val="20"/>
          <w:szCs w:val="20"/>
          <w:color w:val="auto"/>
        </w:rPr>
      </w:pPr>
    </w:p>
    <w:p>
      <w:pPr>
        <w:ind w:firstLine="514"/>
        <w:spacing w:after="0" w:line="268" w:lineRule="auto"/>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6" w:lineRule="exact"/>
        <w:rPr>
          <w:sz w:val="20"/>
          <w:szCs w:val="20"/>
          <w:color w:val="auto"/>
        </w:rPr>
      </w:pPr>
    </w:p>
    <w:p>
      <w:pPr>
        <w:ind w:right="20" w:firstLine="514"/>
        <w:spacing w:after="0" w:line="269"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w:t>
      </w:r>
    </w:p>
    <w:p>
      <w:pPr>
        <w:sectPr>
          <w:pgSz w:w="11900" w:h="16838" w:orient="portrait"/>
          <w:cols w:equalWidth="0" w:num="1">
            <w:col w:w="11220"/>
          </w:cols>
          <w:pgMar w:left="320" w:top="341" w:right="359" w:bottom="1440"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66" w:name="page67"/>
    <w:bookmarkEnd w:id="66"/>
    <w:p>
      <w:pPr>
        <w:ind w:right="220"/>
        <w:spacing w:after="0" w:line="277" w:lineRule="auto"/>
        <w:rPr>
          <w:sz w:val="20"/>
          <w:szCs w:val="20"/>
          <w:color w:val="auto"/>
        </w:rPr>
      </w:pPr>
      <w:r>
        <w:rPr>
          <w:rFonts w:ascii="Arial" w:cs="Arial" w:eastAsia="Arial" w:hAnsi="Arial"/>
          <w:sz w:val="18"/>
          <w:szCs w:val="18"/>
          <w:color w:val="auto"/>
        </w:rPr>
        <w:t>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businesses or assets and we may not realize the benefits of such acquisitions.</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may acquire businesses or assets or create joint ventures with third parties that we believe may complement our existing product candidates. For example, on October 4, 2021, we entered into a share purchase agreement with ScalmiBio, Inc., or ScalmiBio, with plans to develop new anti-cancer drug candidates based on ScalmiBio’s platform.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61" w:lineRule="exact"/>
        <w:rPr>
          <w:sz w:val="20"/>
          <w:szCs w:val="20"/>
          <w:color w:val="auto"/>
        </w:rPr>
      </w:pPr>
    </w:p>
    <w:p>
      <w:pPr>
        <w:ind w:right="320" w:firstLine="510"/>
        <w:spacing w:after="0" w:line="279"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2020, we had net operating loss carryforwards of approximately $7.9 million and $71.4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carries forward indefinitely while the state net operating loss will begin to expire beginning in 2038.</w:t>
      </w:r>
    </w:p>
    <w:p>
      <w:pPr>
        <w:spacing w:after="0" w:line="17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As of December 31, 2020, we had Irish net operating loss carryforwards of approximately $5.1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sustained for our common stock.</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right="46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are beyond our control. In addition to those discussed in this “Risk Factors” section and elsewhere in this Quarterly Report on Form 10-Q, these factors include:</w:t>
      </w:r>
    </w:p>
    <w:p>
      <w:pPr>
        <w:spacing w:after="0" w:line="76"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and timing of our preclinical studies and clinical trials and studies and trials of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any future approved products;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our growth and development relative to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 of new product candidates or technological innovations by us or our competitors;</w:t>
      </w:r>
    </w:p>
    <w:p>
      <w:pPr>
        <w:spacing w:after="0" w:line="144"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our future strategic partners or our competitors of significant acquisitions, strategic partnerships, joint ventures or capital commitments;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estimates or recommendations by securities analysts, if any cover our common stock;</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sales of our common stock by us, our insiders or our other stockholders;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and other external factors such as macroeconomic, disasters, crises or health matters, including the impact of the COVID-19 pandemic;</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fluctuations in U.S. equity markets, general market conditions and market conditions for biotechnology stocks;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factors that may be unanticipated or out of our control.</w:t>
      </w:r>
    </w:p>
    <w:p>
      <w:pPr>
        <w:spacing w:after="0" w:line="25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addition, the stock market has recently experienced significant volatility, particularly with respect to biotechnology and other life sciences company stocks as a result of the COVID-19 pandemic.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w:t>
      </w:r>
    </w:p>
    <w:p>
      <w:pPr>
        <w:sectPr>
          <w:pgSz w:w="11900" w:h="16838" w:orient="portrait"/>
          <w:cols w:equalWidth="0" w:num="1">
            <w:col w:w="11180"/>
          </w:cols>
          <w:pgMar w:left="320" w:top="449" w:right="399" w:bottom="1440" w:gutter="0" w:footer="0" w:header="0"/>
        </w:sectPr>
      </w:pP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type w:val="continuous"/>
        </w:sectPr>
      </w:pPr>
    </w:p>
    <w:bookmarkStart w:id="68" w:name="page69"/>
    <w:bookmarkEnd w:id="68"/>
    <w:p>
      <w:pPr>
        <w:ind w:right="400"/>
        <w:spacing w:after="0" w:line="277" w:lineRule="auto"/>
        <w:rPr>
          <w:sz w:val="20"/>
          <w:szCs w:val="20"/>
          <w:color w:val="auto"/>
        </w:rPr>
      </w:pPr>
      <w:r>
        <w:rPr>
          <w:rFonts w:ascii="Arial" w:cs="Arial" w:eastAsia="Arial" w:hAnsi="Arial"/>
          <w:sz w:val="18"/>
          <w:szCs w:val="18"/>
          <w:color w:val="auto"/>
        </w:rPr>
        <w:t>issued the stock. If any of our stockholders brought a lawsuit against us, we could incur substantial costs defending the lawsuit and divert the time and attention of our management, which could seriously harm our business.</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8"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8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000" w:right="4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enroll subjects in clinical trials and the timing of enrollment;</w:t>
      </w:r>
    </w:p>
    <w:p>
      <w:pPr>
        <w:spacing w:after="0" w:line="144"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timing and outcomes of clinical trials for evorpacept, and any of our other product candidates, or competing product candidates;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evorpacept and any of our other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delays in regulatory review or approval of evorpacept or any of our other product candidates;</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demand for evorpacept and any of our other product candidates, if approved, which may fluctuate significantly and be difficult to predict;</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evorpacept and any of our other product candidates;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commercialize evorpacept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9" w:name="page70"/>
    <w:bookmarkEnd w:id="69"/>
    <w:p>
      <w:pPr>
        <w:ind w:firstLine="510"/>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jc w:val="both"/>
        <w:ind w:right="540" w:firstLine="510"/>
        <w:spacing w:after="0" w:line="28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As of September 30, 2021, we had 40,486,287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16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 July 17, 2020, we filed a registration statement on Form S-8 to register 3,563,962 shares of our common stock reserved for future issuance under our equity compensation plans. In addition, on March 18, 2021, we filed a registration statement on Form S-8 to register 1,992,226 shares of our common stock reserved for future issuance under our equity compensation plans. As a result, shares registered under these registration statements on Form S-8 will be available for sale in the public market subject to the satisfaction of applicable vesting arrangements and the exercise of such options and, in the case of our affiliates, the restrictions of Rule 144.</w:t>
      </w:r>
    </w:p>
    <w:p>
      <w:pPr>
        <w:spacing w:after="0" w:line="188"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2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and will continue to incur significant increased costs and management resources as a result of operating as a public company.</w:t>
      </w:r>
    </w:p>
    <w:p>
      <w:pPr>
        <w:spacing w:after="0" w:line="140"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have incurred and will continue to incur significant legal, accounting, compliance and other expenses as a public company and these expenses may increase even more after we are no longer an “emerging growth company”, which we expect to occur after December 31, 2021.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192"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In addition, we implemented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0" w:name="page71"/>
    <w:bookmarkEnd w:id="70"/>
    <w:p>
      <w:pPr>
        <w:ind w:firstLine="510"/>
        <w:spacing w:after="0" w:line="269"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currently are an “emerging growth company,” as defined in the Jumpstart Our Business Startups Act of 2012, or the JOBS Act, and we will not be an “emerging growth company” after December 31, 2021.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2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As of September 30, 2021, our executive officers, directors, holders of 5% or more of our capital stock and their respective affiliates beneficially owned approximately 57.6% of our outstanding voting stock.</w:t>
      </w:r>
    </w:p>
    <w:p>
      <w:pPr>
        <w:spacing w:after="0" w:line="170"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4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1" w:name="page72"/>
    <w:bookmarkEnd w:id="71"/>
    <w:p>
      <w:pPr>
        <w:ind w:right="40"/>
        <w:spacing w:after="0" w:line="273" w:lineRule="auto"/>
        <w:rPr>
          <w:sz w:val="20"/>
          <w:szCs w:val="20"/>
          <w:color w:val="auto"/>
        </w:rPr>
      </w:pPr>
      <w:r>
        <w:rPr>
          <w:rFonts w:ascii="Arial" w:cs="Arial" w:eastAsia="Arial" w:hAnsi="Arial"/>
          <w:sz w:val="17"/>
          <w:szCs w:val="17"/>
          <w:color w:val="auto"/>
        </w:rPr>
        <w:t>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38"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63"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44"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 and</w:t>
      </w:r>
    </w:p>
    <w:p>
      <w:pPr>
        <w:spacing w:after="0" w:line="144"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2" w:name="page73"/>
    <w:bookmarkEnd w:id="72"/>
    <w:p>
      <w:pPr>
        <w:ind w:left="1000" w:right="14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5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70"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70"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7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57" w:lineRule="exact"/>
        <w:rPr>
          <w:sz w:val="20"/>
          <w:szCs w:val="20"/>
          <w:color w:val="auto"/>
        </w:rPr>
      </w:pPr>
    </w:p>
    <w:p>
      <w:pPr>
        <w:jc w:val="both"/>
        <w:ind w:right="280" w:firstLine="510"/>
        <w:spacing w:after="0" w:line="279"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the Sarbanes-Oxley Act of 2002. During our review and testing, we may identify deficiencies and be unable to remediate them before we must provide the required reports. In the past, we and our independent registered public accounting firm identified two material weaknesses in our internal control over financial reporting, all of which have since been remediated. We did not identify any material weakness as of September 30, 2021.</w:t>
      </w:r>
    </w:p>
    <w:p>
      <w:pPr>
        <w:spacing w:after="0" w:line="6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Furthermore, 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166"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 adversely impacted. Any failure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3" w:name="page74"/>
    <w:bookmarkEnd w:id="73"/>
    <w:p>
      <w:pPr>
        <w:ind w:right="600"/>
        <w:spacing w:after="0" w:line="277" w:lineRule="auto"/>
        <w:rPr>
          <w:sz w:val="20"/>
          <w:szCs w:val="20"/>
          <w:color w:val="auto"/>
        </w:rPr>
      </w:pPr>
      <w:r>
        <w:rPr>
          <w:rFonts w:ascii="Arial" w:cs="Arial" w:eastAsia="Arial" w:hAnsi="Arial"/>
          <w:sz w:val="18"/>
          <w:szCs w:val="18"/>
          <w:color w:val="auto"/>
        </w:rPr>
        <w:t>to maintain effective internal control over financial reporting could have a material adverse effect on our business, financial condition and results of operations and the trading price of our common stock.</w:t>
      </w:r>
    </w:p>
    <w:p>
      <w:pPr>
        <w:spacing w:after="0" w:line="17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expected after December 31,2021, we will be required to include an attestation report on internal control over financial reporting issued by our independent registered public accounting firm.</w:t>
      </w:r>
    </w:p>
    <w:p>
      <w:pPr>
        <w:spacing w:after="0" w:line="176"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7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will cease being an “emerging growth company” after December 31, 2021.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62"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Our operations, and those of our service providers and suppliers and other contractors and consultants, could be subject to earthquakes, power shortages, telecommunications failures, water shortages, floods, hurricanes, typhoons, fires, extreme weather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ind w:right="140"/>
        <w:spacing w:after="0" w:line="301" w:lineRule="auto"/>
        <w:rPr>
          <w:sz w:val="20"/>
          <w:szCs w:val="20"/>
          <w:color w:val="auto"/>
        </w:rPr>
      </w:pPr>
      <w:r>
        <w:rPr>
          <w:rFonts w:ascii="Arial" w:cs="Arial" w:eastAsia="Arial" w:hAnsi="Arial"/>
          <w:sz w:val="16"/>
          <w:szCs w:val="16"/>
          <w:color w:val="auto"/>
        </w:rPr>
        <w:t>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57"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disruptions and delays or incur financial damages as a result of system failures or security breaches.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8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July 2020, we closed the sale of 9,775,000 shares of common stock, which includes the additional overallotment of 1,275,000 shares exercised by the underwriters in the initial public offering, to the public at an initial public offering price of $19.00 per share. The aggregate offering price for shares sold in our initial public offering was $185.7 million. 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16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received approximately $169.5 million in net proceeds after deducting underwriting discounts and commissions of approximately $13.0 million and offering-related expenses of $3.2 million. No offering expenses were paid directly or indirectly to any of our directors or officers (or their associates) or persons owning ten percent or more of any class of our equity securities or to any other affiliates.</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gridSpan w:val="5"/>
          </w:tcPr>
          <w:p>
            <w:pPr>
              <w:ind w:left="3920"/>
              <w:spacing w:after="0"/>
              <w:rPr>
                <w:sz w:val="20"/>
                <w:szCs w:val="20"/>
                <w:color w:val="auto"/>
              </w:rPr>
            </w:pPr>
            <w:r>
              <w:rPr>
                <w:rFonts w:ascii="Arial" w:cs="Arial" w:eastAsia="Arial" w:hAnsi="Arial"/>
                <w:sz w:val="18"/>
                <w:szCs w:val="18"/>
                <w:b w:val="1"/>
                <w:bCs w:val="1"/>
                <w:color w:val="auto"/>
                <w:w w:val="93"/>
              </w:rPr>
              <w:t>Item 6. Exhibits.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80" w:type="dxa"/>
            <w:vAlign w:val="bottom"/>
            <w:gridSpan w:val="5"/>
          </w:tcPr>
          <w:p>
            <w:pPr>
              <w:ind w:left="8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Pr>
          <w:p>
            <w:pPr>
              <w:spacing w:after="0"/>
              <w:rPr>
                <w:sz w:val="24"/>
                <w:szCs w:val="24"/>
                <w:color w:val="auto"/>
              </w:rPr>
            </w:pPr>
          </w:p>
        </w:tc>
      </w:tr>
      <w:tr>
        <w:trPr>
          <w:trHeight w:val="225"/>
        </w:trPr>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5100" w:type="dxa"/>
            <w:vAlign w:val="bottom"/>
            <w:tcBorders>
              <w:bottom w:val="single" w:sz="8" w:color="auto"/>
            </w:tcBorders>
            <w:gridSpan w:val="4"/>
          </w:tcPr>
          <w:p>
            <w:pPr>
              <w:ind w:left="210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Filing Date</w:t>
            </w:r>
          </w:p>
        </w:tc>
      </w:tr>
      <w:tr>
        <w:trPr>
          <w:trHeight w:val="318"/>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5220" w:type="dxa"/>
            <w:vAlign w:val="bottom"/>
            <w:gridSpan w:val="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Certification of Principal Executive Officer Pursuant to Rules 13a-</w:t>
              </w:r>
            </w:hyperlink>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14(a) and 15d-14(a) under the Securities Exchange Act of 1934, as</w:t>
              </w:r>
            </w:hyperlink>
          </w:p>
        </w:tc>
        <w:tc>
          <w:tcPr>
            <w:tcW w:w="40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5"/>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Adopted Pursuant to Section 302 of the Sarbanes-Oxley Act of 2002.</w:t>
              </w:r>
            </w:hyperlink>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44"/>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480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Certification of Principal Financial Officer Pursuant to Rules 13a-</w:t>
              </w:r>
            </w:hyperlink>
          </w:p>
        </w:tc>
        <w:tc>
          <w:tcPr>
            <w:tcW w:w="180" w:type="dxa"/>
            <w:vAlign w:val="bottom"/>
            <w:tcBorders>
              <w:top w:val="single" w:sz="8" w:color="0000EE"/>
            </w:tcBorders>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14(a) and 15d-14(a) under the Securities Exchange Act of 1934, as</w:t>
              </w:r>
            </w:hyperlink>
          </w:p>
        </w:tc>
        <w:tc>
          <w:tcPr>
            <w:tcW w:w="40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5"/>
          </w:tcPr>
          <w:p>
            <w:pPr>
              <w:spacing w:after="0" w:line="196" w:lineRule="exact"/>
              <w:rPr>
                <w:rFonts w:ascii="Arial" w:cs="Arial" w:eastAsia="Arial" w:hAnsi="Arial"/>
                <w:sz w:val="18"/>
                <w:szCs w:val="18"/>
                <w:color w:val="0000EE"/>
                <w:w w:val="94"/>
              </w:rPr>
            </w:pPr>
            <w:hyperlink w:anchor="page80">
              <w:r>
                <w:rPr>
                  <w:rFonts w:ascii="Arial" w:cs="Arial" w:eastAsia="Arial" w:hAnsi="Arial"/>
                  <w:sz w:val="18"/>
                  <w:szCs w:val="18"/>
                  <w:color w:val="0000EE"/>
                  <w:w w:val="94"/>
                </w:rPr>
                <w:t>Adopted Pursuant to Section 302 of the Sarbanes-Oxley Act of 2002.</w:t>
              </w:r>
            </w:hyperlink>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95"/>
              </w:rPr>
              <w:t>32.1*</w:t>
            </w:r>
          </w:p>
        </w:tc>
        <w:tc>
          <w:tcPr>
            <w:tcW w:w="47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Certification of Principal Executive Officer Pursuant to 18 U.S.C.</w:t>
              </w:r>
            </w:hyperlink>
          </w:p>
        </w:tc>
        <w:tc>
          <w:tcPr>
            <w:tcW w:w="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8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Section 1350, as Adopted Pursuant to Section 906 of the Sarbanes-</w:t>
              </w:r>
            </w:hyperlink>
          </w:p>
        </w:tc>
      </w:tr>
      <w:tr>
        <w:trPr>
          <w:trHeight w:val="196"/>
        </w:trPr>
        <w:tc>
          <w:tcPr>
            <w:tcW w:w="106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Oxley Act of 2002.</w:t>
              </w:r>
            </w:hyperlink>
          </w:p>
        </w:tc>
        <w:tc>
          <w:tcPr>
            <w:tcW w:w="3420" w:type="dxa"/>
            <w:vAlign w:val="bottom"/>
            <w:gridSpan w:val="3"/>
          </w:tcPr>
          <w:p>
            <w:pPr>
              <w:spacing w:after="0"/>
              <w:rPr>
                <w:sz w:val="17"/>
                <w:szCs w:val="17"/>
                <w:color w:val="auto"/>
              </w:rPr>
            </w:pPr>
          </w:p>
        </w:tc>
      </w:tr>
      <w:tr>
        <w:trPr>
          <w:trHeight w:val="344"/>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95"/>
              </w:rPr>
              <w:t>32.2*</w:t>
            </w:r>
          </w:p>
        </w:tc>
        <w:tc>
          <w:tcPr>
            <w:tcW w:w="47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Certification of Principal Financial Officer Pursuant to 18 U.S.C.</w:t>
              </w:r>
            </w:hyperlink>
          </w:p>
        </w:tc>
        <w:tc>
          <w:tcPr>
            <w:tcW w:w="12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8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Section 1350, as Adopted Pursuant to Section 906 of the Sarbanes-</w:t>
              </w:r>
            </w:hyperlink>
          </w:p>
        </w:tc>
      </w:tr>
      <w:tr>
        <w:trPr>
          <w:trHeight w:val="196"/>
        </w:trPr>
        <w:tc>
          <w:tcPr>
            <w:tcW w:w="106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Oxley Act of 2002.</w:t>
              </w:r>
            </w:hyperlink>
          </w:p>
        </w:tc>
        <w:tc>
          <w:tcPr>
            <w:tcW w:w="342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612" w:lineRule="exact"/>
        <w:rPr>
          <w:sz w:val="20"/>
          <w:szCs w:val="20"/>
          <w:color w:val="auto"/>
        </w:rPr>
      </w:pPr>
    </w:p>
    <w:p>
      <w:pPr>
        <w:sectPr>
          <w:pgSz w:w="11900" w:h="16838" w:orient="portrait"/>
          <w:cols w:equalWidth="0" w:num="2">
            <w:col w:w="5880" w:space="560"/>
            <w:col w:w="4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5360" w:type="dxa"/>
            <w:vAlign w:val="bottom"/>
          </w:tcPr>
          <w:p>
            <w:pPr>
              <w:ind w:left="180"/>
              <w:spacing w:after="0"/>
              <w:rPr>
                <w:sz w:val="20"/>
                <w:szCs w:val="20"/>
                <w:color w:val="auto"/>
              </w:rPr>
            </w:pPr>
            <w:r>
              <w:rPr>
                <w:rFonts w:ascii="Arial" w:cs="Arial" w:eastAsia="Arial" w:hAnsi="Arial"/>
                <w:sz w:val="18"/>
                <w:szCs w:val="18"/>
                <w:color w:val="auto"/>
                <w:w w:val="97"/>
              </w:rPr>
              <w:t>Inline XBRL Instance Document – the instance document does not</w:t>
            </w:r>
          </w:p>
        </w:tc>
        <w:tc>
          <w:tcPr>
            <w:tcW w:w="1240" w:type="dxa"/>
            <w:vAlign w:val="bottom"/>
          </w:tcPr>
          <w:p>
            <w:pPr>
              <w:ind w:left="200"/>
              <w:spacing w:after="0"/>
              <w:rPr>
                <w:sz w:val="20"/>
                <w:szCs w:val="20"/>
                <w:color w:val="auto"/>
              </w:rPr>
            </w:pPr>
            <w:r>
              <w:rPr>
                <w:rFonts w:ascii="Arial" w:cs="Arial" w:eastAsia="Arial" w:hAnsi="Arial"/>
                <w:sz w:val="18"/>
                <w:szCs w:val="18"/>
                <w:color w:val="auto"/>
                <w:w w:val="91"/>
              </w:rPr>
              <w:t>Filed herewith</w:t>
            </w:r>
          </w:p>
        </w:tc>
      </w:tr>
      <w:tr>
        <w:trPr>
          <w:trHeight w:val="216"/>
        </w:trPr>
        <w:tc>
          <w:tcPr>
            <w:tcW w:w="88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appear in the Interactive Data File because its XBRL tags are</w:t>
            </w:r>
          </w:p>
        </w:tc>
        <w:tc>
          <w:tcPr>
            <w:tcW w:w="12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embedded within the Inline XBRL document</w:t>
            </w:r>
          </w:p>
        </w:tc>
        <w:tc>
          <w:tcPr>
            <w:tcW w:w="1240" w:type="dxa"/>
            <w:vAlign w:val="bottom"/>
          </w:tcPr>
          <w:p>
            <w:pPr>
              <w:spacing w:after="0"/>
              <w:rPr>
                <w:sz w:val="20"/>
                <w:szCs w:val="20"/>
                <w:color w:val="auto"/>
              </w:rPr>
            </w:pPr>
          </w:p>
        </w:tc>
      </w:tr>
      <w:tr>
        <w:trPr>
          <w:trHeight w:val="36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536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c>
          <w:tcPr>
            <w:tcW w:w="1240" w:type="dxa"/>
            <w:vAlign w:val="bottom"/>
          </w:tcPr>
          <w:p>
            <w:pPr>
              <w:ind w:left="200"/>
              <w:spacing w:after="0"/>
              <w:rPr>
                <w:sz w:val="20"/>
                <w:szCs w:val="20"/>
                <w:color w:val="auto"/>
              </w:rPr>
            </w:pPr>
            <w:r>
              <w:rPr>
                <w:rFonts w:ascii="Arial" w:cs="Arial" w:eastAsia="Arial" w:hAnsi="Arial"/>
                <w:sz w:val="18"/>
                <w:szCs w:val="18"/>
                <w:color w:val="auto"/>
                <w:w w:val="91"/>
              </w:rPr>
              <w:t>Filed herewith</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5360" w:type="dxa"/>
            <w:vAlign w:val="bottom"/>
          </w:tcPr>
          <w:p>
            <w:pPr>
              <w:ind w:left="180"/>
              <w:spacing w:after="0"/>
              <w:rPr>
                <w:sz w:val="20"/>
                <w:szCs w:val="20"/>
                <w:color w:val="auto"/>
              </w:rPr>
            </w:pPr>
            <w:r>
              <w:rPr>
                <w:rFonts w:ascii="Arial" w:cs="Arial" w:eastAsia="Arial" w:hAnsi="Arial"/>
                <w:sz w:val="18"/>
                <w:szCs w:val="18"/>
                <w:color w:val="auto"/>
                <w:w w:val="97"/>
              </w:rPr>
              <w:t>Inline XBRL Taxonomy Extension Calculation Linkbase Document.</w:t>
            </w:r>
          </w:p>
        </w:tc>
        <w:tc>
          <w:tcPr>
            <w:tcW w:w="1240" w:type="dxa"/>
            <w:vAlign w:val="bottom"/>
          </w:tcPr>
          <w:p>
            <w:pPr>
              <w:ind w:left="200"/>
              <w:spacing w:after="0"/>
              <w:rPr>
                <w:sz w:val="20"/>
                <w:szCs w:val="20"/>
                <w:color w:val="auto"/>
              </w:rPr>
            </w:pPr>
            <w:r>
              <w:rPr>
                <w:rFonts w:ascii="Arial" w:cs="Arial" w:eastAsia="Arial" w:hAnsi="Arial"/>
                <w:sz w:val="18"/>
                <w:szCs w:val="18"/>
                <w:color w:val="auto"/>
                <w:w w:val="91"/>
              </w:rPr>
              <w:t>Filed herewith</w:t>
            </w:r>
          </w:p>
        </w:tc>
      </w:tr>
      <w:tr>
        <w:trPr>
          <w:trHeight w:val="36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5360" w:type="dxa"/>
            <w:vAlign w:val="bottom"/>
          </w:tcPr>
          <w:p>
            <w:pPr>
              <w:ind w:left="180"/>
              <w:spacing w:after="0"/>
              <w:rPr>
                <w:sz w:val="20"/>
                <w:szCs w:val="20"/>
                <w:color w:val="auto"/>
              </w:rPr>
            </w:pPr>
            <w:r>
              <w:rPr>
                <w:rFonts w:ascii="Arial" w:cs="Arial" w:eastAsia="Arial" w:hAnsi="Arial"/>
                <w:sz w:val="18"/>
                <w:szCs w:val="18"/>
                <w:color w:val="auto"/>
                <w:w w:val="99"/>
              </w:rPr>
              <w:t>Inline XBRL Taxonomy Extension Definition Linkbase Document.</w:t>
            </w:r>
          </w:p>
        </w:tc>
        <w:tc>
          <w:tcPr>
            <w:tcW w:w="1240" w:type="dxa"/>
            <w:vAlign w:val="bottom"/>
          </w:tcPr>
          <w:p>
            <w:pPr>
              <w:ind w:left="200"/>
              <w:spacing w:after="0"/>
              <w:rPr>
                <w:sz w:val="20"/>
                <w:szCs w:val="20"/>
                <w:color w:val="auto"/>
              </w:rPr>
            </w:pPr>
            <w:r>
              <w:rPr>
                <w:rFonts w:ascii="Arial" w:cs="Arial" w:eastAsia="Arial" w:hAnsi="Arial"/>
                <w:sz w:val="18"/>
                <w:szCs w:val="18"/>
                <w:color w:val="auto"/>
                <w:w w:val="91"/>
              </w:rPr>
              <w:t>Filed herewith</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536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c>
          <w:tcPr>
            <w:tcW w:w="1240" w:type="dxa"/>
            <w:vAlign w:val="bottom"/>
          </w:tcPr>
          <w:p>
            <w:pPr>
              <w:ind w:left="200"/>
              <w:spacing w:after="0"/>
              <w:rPr>
                <w:sz w:val="20"/>
                <w:szCs w:val="20"/>
                <w:color w:val="auto"/>
              </w:rPr>
            </w:pPr>
            <w:r>
              <w:rPr>
                <w:rFonts w:ascii="Arial" w:cs="Arial" w:eastAsia="Arial" w:hAnsi="Arial"/>
                <w:sz w:val="18"/>
                <w:szCs w:val="18"/>
                <w:color w:val="auto"/>
                <w:w w:val="91"/>
              </w:rPr>
              <w:t>Filed herewith</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5360" w:type="dxa"/>
            <w:vAlign w:val="bottom"/>
          </w:tcPr>
          <w:p>
            <w:pPr>
              <w:ind w:left="180"/>
              <w:spacing w:after="0"/>
              <w:rPr>
                <w:sz w:val="20"/>
                <w:szCs w:val="20"/>
                <w:color w:val="auto"/>
              </w:rPr>
            </w:pPr>
            <w:r>
              <w:rPr>
                <w:rFonts w:ascii="Arial" w:cs="Arial" w:eastAsia="Arial" w:hAnsi="Arial"/>
                <w:sz w:val="18"/>
                <w:szCs w:val="18"/>
                <w:color w:val="auto"/>
                <w:w w:val="94"/>
              </w:rPr>
              <w:t>Inline XBRL Taxonomy Extension Presentation Linkbase Document.</w:t>
            </w:r>
          </w:p>
        </w:tc>
        <w:tc>
          <w:tcPr>
            <w:tcW w:w="1240" w:type="dxa"/>
            <w:vAlign w:val="bottom"/>
          </w:tcPr>
          <w:p>
            <w:pPr>
              <w:ind w:left="200"/>
              <w:spacing w:after="0"/>
              <w:rPr>
                <w:sz w:val="20"/>
                <w:szCs w:val="20"/>
                <w:color w:val="auto"/>
              </w:rPr>
            </w:pPr>
            <w:r>
              <w:rPr>
                <w:rFonts w:ascii="Arial" w:cs="Arial" w:eastAsia="Arial" w:hAnsi="Arial"/>
                <w:sz w:val="18"/>
                <w:szCs w:val="18"/>
                <w:color w:val="auto"/>
                <w:w w:val="91"/>
              </w:rPr>
              <w:t>Filed herewith</w:t>
            </w:r>
          </w:p>
        </w:tc>
      </w:tr>
    </w:tbl>
    <w:p>
      <w:pPr>
        <w:spacing w:after="0" w:line="215" w:lineRule="exact"/>
        <w:rPr>
          <w:sz w:val="20"/>
          <w:szCs w:val="20"/>
          <w:color w:val="auto"/>
        </w:rPr>
      </w:pPr>
    </w:p>
    <w:p>
      <w:pPr>
        <w:ind w:left="1060" w:right="5120" w:hanging="1052"/>
        <w:spacing w:after="0" w:line="291"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September 30, 2021 has been formatted in Inline</w:t>
      </w:r>
    </w:p>
    <w:p>
      <w:pPr>
        <w:ind w:left="1060"/>
        <w:spacing w:after="0"/>
        <w:rPr>
          <w:rFonts w:ascii="Arial" w:cs="Arial" w:eastAsia="Arial" w:hAnsi="Arial"/>
          <w:sz w:val="16"/>
          <w:szCs w:val="16"/>
          <w:color w:val="auto"/>
        </w:rPr>
      </w:pPr>
      <w:r>
        <w:rPr>
          <w:rFonts w:ascii="Arial" w:cs="Arial" w:eastAsia="Arial" w:hAnsi="Arial"/>
          <w:sz w:val="18"/>
          <w:szCs w:val="18"/>
          <w:color w:val="auto"/>
        </w:rPr>
        <w:t>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4" w:lineRule="exact"/>
        <w:rPr>
          <w:sz w:val="20"/>
          <w:szCs w:val="20"/>
          <w:color w:val="auto"/>
        </w:rPr>
      </w:pPr>
    </w:p>
    <w:p>
      <w:pPr>
        <w:ind w:left="500" w:right="20" w:hanging="492"/>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20"/>
              <w:spacing w:after="0"/>
              <w:rPr>
                <w:sz w:val="20"/>
                <w:szCs w:val="20"/>
                <w:color w:val="auto"/>
              </w:rPr>
            </w:pPr>
            <w:r>
              <w:rPr>
                <w:rFonts w:ascii="Arial" w:cs="Arial" w:eastAsia="Arial" w:hAnsi="Arial"/>
                <w:sz w:val="18"/>
                <w:szCs w:val="18"/>
                <w:color w:val="auto"/>
              </w:rPr>
              <w:t>November 12, 2021</w:t>
            </w:r>
          </w:p>
        </w:tc>
        <w:tc>
          <w:tcPr>
            <w:tcW w:w="2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ALX Oncology Holdings Inc.</w:t>
            </w:r>
          </w:p>
        </w:tc>
      </w:tr>
      <w:tr>
        <w:trPr>
          <w:trHeight w:val="429"/>
        </w:trPr>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0" w:type="dxa"/>
            <w:vAlign w:val="bottom"/>
          </w:tcPr>
          <w:p>
            <w:pPr>
              <w:ind w:left="188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Jaume Pons</w:t>
            </w:r>
          </w:p>
        </w:tc>
      </w:tr>
      <w:tr>
        <w:trPr>
          <w:trHeight w:val="203"/>
        </w:trPr>
        <w:tc>
          <w:tcPr>
            <w:tcW w:w="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Jaume Pons, Ph.D.</w:t>
            </w:r>
          </w:p>
        </w:tc>
      </w:tr>
      <w:tr>
        <w:trPr>
          <w:trHeight w:val="220"/>
        </w:trPr>
        <w:tc>
          <w:tcPr>
            <w:tcW w:w="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President, Chief Executive Officer and Director</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20"/>
              <w:spacing w:after="0"/>
              <w:rPr>
                <w:sz w:val="20"/>
                <w:szCs w:val="20"/>
                <w:color w:val="auto"/>
              </w:rPr>
            </w:pPr>
            <w:r>
              <w:rPr>
                <w:rFonts w:ascii="Arial" w:cs="Arial" w:eastAsia="Arial" w:hAnsi="Arial"/>
                <w:sz w:val="18"/>
                <w:szCs w:val="18"/>
                <w:color w:val="auto"/>
              </w:rPr>
              <w:t>November 12, 2021</w:t>
            </w:r>
          </w:p>
        </w:tc>
        <w:tc>
          <w:tcPr>
            <w:tcW w:w="2400" w:type="dxa"/>
            <w:vAlign w:val="bottom"/>
          </w:tcPr>
          <w:p>
            <w:pPr>
              <w:ind w:left="188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Garcia</w:t>
            </w:r>
          </w:p>
        </w:tc>
      </w:tr>
      <w:tr>
        <w:trPr>
          <w:trHeight w:val="203"/>
        </w:trPr>
        <w:tc>
          <w:tcPr>
            <w:tcW w:w="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Peter Garcia</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Financial Officer)</w:t>
            </w: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20"/>
              <w:spacing w:after="0"/>
              <w:rPr>
                <w:sz w:val="20"/>
                <w:szCs w:val="20"/>
                <w:color w:val="auto"/>
              </w:rPr>
            </w:pPr>
            <w:r>
              <w:rPr>
                <w:rFonts w:ascii="Arial" w:cs="Arial" w:eastAsia="Arial" w:hAnsi="Arial"/>
                <w:sz w:val="18"/>
                <w:szCs w:val="18"/>
                <w:color w:val="auto"/>
              </w:rPr>
              <w:t>November 12, 2021</w:t>
            </w:r>
          </w:p>
        </w:tc>
        <w:tc>
          <w:tcPr>
            <w:tcW w:w="2400" w:type="dxa"/>
            <w:vAlign w:val="bottom"/>
          </w:tcPr>
          <w:p>
            <w:pPr>
              <w:ind w:left="188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Shelly Pinto</w:t>
            </w:r>
          </w:p>
        </w:tc>
      </w:tr>
      <w:tr>
        <w:trPr>
          <w:trHeight w:val="203"/>
        </w:trPr>
        <w:tc>
          <w:tcPr>
            <w:tcW w:w="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Shelly Pinto</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Vice President, Finance and Chief Accounting Officer</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Accounting Officer)</w:t>
            </w:r>
          </w:p>
        </w:tc>
      </w:tr>
      <w:tr>
        <w:trPr>
          <w:trHeight w:val="667"/>
        </w:trPr>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0" w:type="dxa"/>
            <w:vAlign w:val="bottom"/>
          </w:tcPr>
          <w:p>
            <w:pPr>
              <w:jc w:val="right"/>
              <w:ind w:right="417"/>
              <w:spacing w:after="0"/>
              <w:rPr>
                <w:sz w:val="20"/>
                <w:szCs w:val="20"/>
                <w:color w:val="auto"/>
              </w:rPr>
            </w:pPr>
            <w:r>
              <w:rPr>
                <w:rFonts w:ascii="Arial" w:cs="Arial" w:eastAsia="Arial" w:hAnsi="Arial"/>
                <w:sz w:val="18"/>
                <w:szCs w:val="18"/>
                <w:color w:val="auto"/>
              </w:rPr>
              <w:t>74</w:t>
            </w:r>
          </w:p>
        </w:tc>
        <w:tc>
          <w:tcPr>
            <w:tcW w:w="5020" w:type="dxa"/>
            <w:vAlign w:val="bottom"/>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Jaume Pons, Ph.D., certify that:</w:t>
      </w:r>
    </w:p>
    <w:p>
      <w:pPr>
        <w:spacing w:after="0" w:line="117"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00" w:val="left"/>
          <w:tab w:leader="none" w:pos="804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Garcia, certify that:</w:t>
      </w:r>
    </w:p>
    <w:p>
      <w:pPr>
        <w:spacing w:after="0" w:line="117"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00" w:val="left"/>
          <w:tab w:leader="none" w:pos="80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5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ending September 30, 2021 as filed with the Securities and Exchange Commission on the date hereof (the “Report”), I certify, pursuant to 18 U.S.C. §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560" w:val="left"/>
          <w:tab w:leader="none" w:pos="800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ending September 30, 2021 as filed with the Securities and Exchange Commission on the date hereof (the “Report”), I certify, pursuant to 18 U.S.C. §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560" w:val="left"/>
          <w:tab w:leader="none" w:pos="79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2"/>
    </w:lvl>
  </w:abstractNum>
  <w:abstractNum w:abstractNumId="5">
    <w:nsid w:val="3A95F874"/>
    <w:multiLevelType w:val="hybridMultilevel"/>
    <w:lvl w:ilvl="0">
      <w:lvlJc w:val="left"/>
      <w:lvlText w:val="(%1)"/>
      <w:numFmt w:val="lowerRoman"/>
      <w:start w:val="1"/>
    </w:lvl>
  </w:abstractNum>
  <w:abstractNum w:abstractNumId="6">
    <w:nsid w:val="8138641"/>
    <w:multiLevelType w:val="hybridMultilevel"/>
    <w:lvl w:ilvl="0">
      <w:lvlJc w:val="left"/>
      <w:lvlText w:val="(%1)"/>
      <w:numFmt w:val="decimal"/>
      <w:start w:val="4"/>
    </w:lvl>
  </w:abstractNum>
  <w:abstractNum w:abstractNumId="7">
    <w:nsid w:val="1E7FF521"/>
    <w:multiLevelType w:val="hybridMultilevel"/>
    <w:lvl w:ilvl="0">
      <w:lvlJc w:val="left"/>
      <w:lvlText w:val="(%1)"/>
      <w:numFmt w:val="lowerRoman"/>
      <w:start w:val="1"/>
    </w:lvl>
  </w:abstractNum>
  <w:abstractNum w:abstractNumId="8">
    <w:nsid w:val="7C3DBD3D"/>
    <w:multiLevelType w:val="hybridMultilevel"/>
    <w:lvl w:ilvl="0">
      <w:lvlJc w:val="left"/>
      <w:lvlText w:val="(%1)"/>
      <w:numFmt w:val="lowerRoman"/>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lvl w:ilvl="1">
      <w:lvlJc w:val="left"/>
      <w:lvlText w:val="▪"/>
      <w:numFmt w:val="bullet"/>
      <w:start w:val="1"/>
    </w:lvl>
  </w:abstractNum>
  <w:abstractNum w:abstractNumId="33">
    <w:nsid w:val="1D4ED43B"/>
    <w:multiLevelType w:val="hybridMultilevel"/>
    <w:lvl w:ilvl="0">
      <w:lvlJc w:val="left"/>
      <w:lvlText w:val="▪"/>
      <w:numFmt w:val="bullet"/>
      <w:start w:val="1"/>
    </w:lvl>
    <w:lvl w:ilvl="1">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04"/>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2021-11-12T10:23:23Z</dcterms:created>
  <dcterms:modified xsi:type="dcterms:W3CDTF">2021-11-12T10:23:23Z</dcterms:modified>
</cp:coreProperties>
</file>