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4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Randolph Sophia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07/16/2020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ALX ONCOLOGY HOLDINGS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ALXO</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413" w:lineRule="exact"/>
        <w:rPr>
          <w:sz w:val="24"/>
          <w:szCs w:val="24"/>
          <w:color w:val="auto"/>
        </w:rPr>
      </w:pPr>
    </w:p>
    <w:p>
      <w:pPr>
        <w:sectPr>
          <w:pgSz w:w="11900" w:h="16848" w:orient="portrait"/>
          <w:cols w:equalWidth="0" w:num="2">
            <w:col w:w="4720" w:space="280"/>
            <w:col w:w="5940"/>
          </w:cols>
          <w:pgMar w:left="480" w:top="236"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177"/>
        <w:spacing w:after="0" w:line="269" w:lineRule="auto"/>
        <w:rPr>
          <w:sz w:val="20"/>
          <w:szCs w:val="20"/>
          <w:color w:val="auto"/>
        </w:rPr>
      </w:pPr>
      <w:r>
        <w:rPr>
          <w:rFonts w:ascii="Arial" w:cs="Arial" w:eastAsia="Arial" w:hAnsi="Arial"/>
          <w:sz w:val="20"/>
          <w:szCs w:val="20"/>
          <w:color w:val="0000FF"/>
        </w:rPr>
        <w:t>C/O ALX ONCOLOGY HOLDINGS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866 MALCOLM ROAD, SUITE 100</w:t>
      </w:r>
    </w:p>
    <w:p>
      <w:pPr>
        <w:spacing w:after="0" w:line="35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94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5"/>
                <w:szCs w:val="15"/>
                <w:color w:val="auto"/>
              </w:rPr>
            </w:pPr>
          </w:p>
        </w:tc>
      </w:tr>
      <w:tr>
        <w:trPr>
          <w:trHeight w:val="269"/>
        </w:trPr>
        <w:tc>
          <w:tcPr>
            <w:tcW w:w="1940" w:type="dxa"/>
            <w:vAlign w:val="bottom"/>
          </w:tcPr>
          <w:p>
            <w:pPr>
              <w:ind w:left="40"/>
              <w:spacing w:after="0"/>
              <w:rPr>
                <w:sz w:val="20"/>
                <w:szCs w:val="20"/>
                <w:color w:val="auto"/>
              </w:rPr>
            </w:pPr>
            <w:r>
              <w:rPr>
                <w:rFonts w:ascii="Arial" w:cs="Arial" w:eastAsia="Arial" w:hAnsi="Arial"/>
                <w:sz w:val="20"/>
                <w:szCs w:val="20"/>
                <w:color w:val="0000FF"/>
              </w:rPr>
              <w:t>BURLINGAME CA</w:t>
            </w:r>
          </w:p>
        </w:tc>
        <w:tc>
          <w:tcPr>
            <w:tcW w:w="780" w:type="dxa"/>
            <w:vAlign w:val="bottom"/>
          </w:tcPr>
          <w:p>
            <w:pPr>
              <w:jc w:val="right"/>
              <w:spacing w:after="0"/>
              <w:rPr>
                <w:sz w:val="20"/>
                <w:szCs w:val="20"/>
                <w:color w:val="auto"/>
              </w:rPr>
            </w:pPr>
            <w:r>
              <w:rPr>
                <w:rFonts w:ascii="Arial" w:cs="Arial" w:eastAsia="Arial" w:hAnsi="Arial"/>
                <w:sz w:val="20"/>
                <w:szCs w:val="20"/>
                <w:color w:val="0000FF"/>
              </w:rPr>
              <w:t>94010</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703"/>
        <w:spacing w:after="0"/>
        <w:rPr>
          <w:sz w:val="20"/>
          <w:szCs w:val="20"/>
          <w:color w:val="auto"/>
        </w:rPr>
      </w:pPr>
      <w:r>
        <w:rPr>
          <w:rFonts w:ascii="Arial" w:cs="Arial" w:eastAsia="Arial" w:hAnsi="Arial"/>
          <w:sz w:val="20"/>
          <w:szCs w:val="20"/>
          <w:color w:val="0000FF"/>
        </w:rPr>
        <w:t>Chief Medical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48" w:orient="portrait"/>
          <w:cols w:equalWidth="0" w:num="3">
            <w:col w:w="4277" w:space="720"/>
            <w:col w:w="3003" w:space="269"/>
            <w:col w:w="2671"/>
          </w:cols>
          <w:pgMar w:left="480" w:top="236" w:right="479" w:bottom="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720" w:type="dxa"/>
            <w:vAlign w:val="bottom"/>
          </w:tcPr>
          <w:p>
            <w:pPr>
              <w:jc w:val="center"/>
              <w:ind w:left="72"/>
              <w:spacing w:after="0"/>
              <w:rPr>
                <w:sz w:val="20"/>
                <w:szCs w:val="20"/>
                <w:color w:val="auto"/>
              </w:rPr>
            </w:pPr>
            <w:r>
              <w:rPr>
                <w:rFonts w:ascii="Arial" w:cs="Arial" w:eastAsia="Arial" w:hAnsi="Arial"/>
                <w:sz w:val="20"/>
                <w:szCs w:val="20"/>
                <w:color w:val="0000FF"/>
                <w:w w:val="88"/>
              </w:rPr>
              <w:t>208,524</w:t>
            </w:r>
          </w:p>
        </w:tc>
        <w:tc>
          <w:tcPr>
            <w:tcW w:w="960" w:type="dxa"/>
            <w:vAlign w:val="bottom"/>
            <w:gridSpan w:val="2"/>
          </w:tcPr>
          <w:p>
            <w:pPr>
              <w:ind w:left="780"/>
              <w:spacing w:after="0"/>
              <w:rPr>
                <w:sz w:val="20"/>
                <w:szCs w:val="20"/>
                <w:color w:val="auto"/>
              </w:rPr>
            </w:pPr>
            <w:r>
              <w:rPr>
                <w:rFonts w:ascii="Arial" w:cs="Arial" w:eastAsia="Arial" w:hAnsi="Arial"/>
                <w:sz w:val="20"/>
                <w:szCs w:val="20"/>
                <w:color w:val="0000FF"/>
              </w:rPr>
              <w:t>D</w:t>
            </w:r>
          </w:p>
        </w:tc>
        <w:tc>
          <w:tcPr>
            <w:tcW w:w="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50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6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8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72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4"/>
              </w:rPr>
              <w:t>Employee Stock Option (right to</w:t>
            </w:r>
          </w:p>
        </w:tc>
        <w:tc>
          <w:tcPr>
            <w:tcW w:w="126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03/30/2027</w:t>
            </w:r>
          </w:p>
        </w:tc>
        <w:tc>
          <w:tcPr>
            <w:tcW w:w="1720" w:type="dxa"/>
            <w:vAlign w:val="bottom"/>
            <w:vMerge w:val="restart"/>
          </w:tcPr>
          <w:p>
            <w:pPr>
              <w:jc w:val="center"/>
              <w:ind w:left="12"/>
              <w:spacing w:after="0"/>
              <w:rPr>
                <w:sz w:val="20"/>
                <w:szCs w:val="20"/>
                <w:color w:val="auto"/>
              </w:rPr>
            </w:pPr>
            <w:r>
              <w:rPr>
                <w:rFonts w:ascii="Arial" w:cs="Arial" w:eastAsia="Arial" w:hAnsi="Arial"/>
                <w:sz w:val="20"/>
                <w:szCs w:val="20"/>
                <w:color w:val="0000FF"/>
                <w:w w:val="89"/>
              </w:rPr>
              <w:t>Common Stock</w:t>
            </w:r>
          </w:p>
        </w:tc>
        <w:tc>
          <w:tcPr>
            <w:tcW w:w="900" w:type="dxa"/>
            <w:vAlign w:val="bottom"/>
            <w:vMerge w:val="restart"/>
          </w:tcPr>
          <w:p>
            <w:pPr>
              <w:jc w:val="center"/>
              <w:ind w:left="34"/>
              <w:spacing w:after="0"/>
              <w:rPr>
                <w:sz w:val="20"/>
                <w:szCs w:val="20"/>
                <w:color w:val="auto"/>
              </w:rPr>
            </w:pPr>
            <w:r>
              <w:rPr>
                <w:rFonts w:ascii="Arial" w:cs="Arial" w:eastAsia="Arial" w:hAnsi="Arial"/>
                <w:sz w:val="20"/>
                <w:szCs w:val="20"/>
                <w:color w:val="0000FF"/>
                <w:w w:val="88"/>
              </w:rPr>
              <w:t>12,793</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w w:val="87"/>
              </w:rPr>
              <w:t>0.99</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2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4"/>
              </w:rPr>
              <w:t>Employee Stock Option (right to</w:t>
            </w:r>
          </w:p>
        </w:tc>
        <w:tc>
          <w:tcPr>
            <w:tcW w:w="126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09/12/2029</w:t>
            </w:r>
          </w:p>
        </w:tc>
        <w:tc>
          <w:tcPr>
            <w:tcW w:w="1720" w:type="dxa"/>
            <w:vAlign w:val="bottom"/>
            <w:vMerge w:val="restart"/>
          </w:tcPr>
          <w:p>
            <w:pPr>
              <w:jc w:val="center"/>
              <w:ind w:left="12"/>
              <w:spacing w:after="0"/>
              <w:rPr>
                <w:sz w:val="20"/>
                <w:szCs w:val="20"/>
                <w:color w:val="auto"/>
              </w:rPr>
            </w:pPr>
            <w:r>
              <w:rPr>
                <w:rFonts w:ascii="Arial" w:cs="Arial" w:eastAsia="Arial" w:hAnsi="Arial"/>
                <w:sz w:val="20"/>
                <w:szCs w:val="20"/>
                <w:color w:val="0000FF"/>
                <w:w w:val="89"/>
              </w:rPr>
              <w:t>Common Stock</w:t>
            </w:r>
          </w:p>
        </w:tc>
        <w:tc>
          <w:tcPr>
            <w:tcW w:w="900" w:type="dxa"/>
            <w:vAlign w:val="bottom"/>
            <w:vMerge w:val="restart"/>
          </w:tcPr>
          <w:p>
            <w:pPr>
              <w:jc w:val="center"/>
              <w:ind w:left="34"/>
              <w:spacing w:after="0"/>
              <w:rPr>
                <w:sz w:val="20"/>
                <w:szCs w:val="20"/>
                <w:color w:val="auto"/>
              </w:rPr>
            </w:pPr>
            <w:r>
              <w:rPr>
                <w:rFonts w:ascii="Arial" w:cs="Arial" w:eastAsia="Arial" w:hAnsi="Arial"/>
                <w:sz w:val="20"/>
                <w:szCs w:val="20"/>
                <w:color w:val="0000FF"/>
                <w:w w:val="88"/>
              </w:rPr>
              <w:t>23,490</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w w:val="87"/>
              </w:rPr>
              <w:t>1.91</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2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4"/>
              </w:rPr>
              <w:t>Employee Stock Option (right to</w:t>
            </w:r>
          </w:p>
        </w:tc>
        <w:tc>
          <w:tcPr>
            <w:tcW w:w="126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(3)</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03/09/2030</w:t>
            </w:r>
          </w:p>
        </w:tc>
        <w:tc>
          <w:tcPr>
            <w:tcW w:w="1720" w:type="dxa"/>
            <w:vAlign w:val="bottom"/>
            <w:vMerge w:val="restart"/>
          </w:tcPr>
          <w:p>
            <w:pPr>
              <w:jc w:val="center"/>
              <w:ind w:left="12"/>
              <w:spacing w:after="0"/>
              <w:rPr>
                <w:sz w:val="20"/>
                <w:szCs w:val="20"/>
                <w:color w:val="auto"/>
              </w:rPr>
            </w:pPr>
            <w:r>
              <w:rPr>
                <w:rFonts w:ascii="Arial" w:cs="Arial" w:eastAsia="Arial" w:hAnsi="Arial"/>
                <w:sz w:val="20"/>
                <w:szCs w:val="20"/>
                <w:color w:val="0000FF"/>
                <w:w w:val="89"/>
              </w:rPr>
              <w:t>Common Stock</w:t>
            </w:r>
          </w:p>
        </w:tc>
        <w:tc>
          <w:tcPr>
            <w:tcW w:w="900" w:type="dxa"/>
            <w:vAlign w:val="bottom"/>
            <w:vMerge w:val="restart"/>
          </w:tcPr>
          <w:p>
            <w:pPr>
              <w:jc w:val="center"/>
              <w:ind w:left="34"/>
              <w:spacing w:after="0"/>
              <w:rPr>
                <w:sz w:val="20"/>
                <w:szCs w:val="20"/>
                <w:color w:val="auto"/>
              </w:rPr>
            </w:pPr>
            <w:r>
              <w:rPr>
                <w:rFonts w:ascii="Arial" w:cs="Arial" w:eastAsia="Arial" w:hAnsi="Arial"/>
                <w:sz w:val="20"/>
                <w:szCs w:val="20"/>
                <w:color w:val="0000FF"/>
                <w:w w:val="85"/>
              </w:rPr>
              <w:t>137,906</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w w:val="87"/>
              </w:rPr>
              <w:t>4.08</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2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4"/>
              </w:rPr>
              <w:t>Employee Stock Option (right to</w:t>
            </w:r>
          </w:p>
        </w:tc>
        <w:tc>
          <w:tcPr>
            <w:tcW w:w="126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(4)</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04/27/2030</w:t>
            </w:r>
          </w:p>
        </w:tc>
        <w:tc>
          <w:tcPr>
            <w:tcW w:w="1720" w:type="dxa"/>
            <w:vAlign w:val="bottom"/>
            <w:vMerge w:val="restart"/>
          </w:tcPr>
          <w:p>
            <w:pPr>
              <w:jc w:val="center"/>
              <w:ind w:left="12"/>
              <w:spacing w:after="0"/>
              <w:rPr>
                <w:sz w:val="20"/>
                <w:szCs w:val="20"/>
                <w:color w:val="auto"/>
              </w:rPr>
            </w:pPr>
            <w:r>
              <w:rPr>
                <w:rFonts w:ascii="Arial" w:cs="Arial" w:eastAsia="Arial" w:hAnsi="Arial"/>
                <w:sz w:val="20"/>
                <w:szCs w:val="20"/>
                <w:color w:val="0000FF"/>
                <w:w w:val="89"/>
              </w:rPr>
              <w:t>Common Stock</w:t>
            </w:r>
          </w:p>
        </w:tc>
        <w:tc>
          <w:tcPr>
            <w:tcW w:w="900" w:type="dxa"/>
            <w:vAlign w:val="bottom"/>
            <w:vMerge w:val="restart"/>
          </w:tcPr>
          <w:p>
            <w:pPr>
              <w:jc w:val="center"/>
              <w:ind w:left="34"/>
              <w:spacing w:after="0"/>
              <w:rPr>
                <w:sz w:val="20"/>
                <w:szCs w:val="20"/>
                <w:color w:val="auto"/>
              </w:rPr>
            </w:pPr>
            <w:r>
              <w:rPr>
                <w:rFonts w:ascii="Arial" w:cs="Arial" w:eastAsia="Arial" w:hAnsi="Arial"/>
                <w:sz w:val="20"/>
                <w:szCs w:val="20"/>
                <w:color w:val="0000FF"/>
                <w:w w:val="88"/>
              </w:rPr>
              <w:t>50,679</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w w:val="86"/>
              </w:rPr>
              <w:t>4.8</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2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-2971165</wp:posOffset>
            </wp:positionV>
            <wp:extent cx="6946900" cy="3030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3030220"/>
                    </a:xfrm>
                    <a:prstGeom prst="rect">
                      <a:avLst/>
                    </a:prstGeom>
                    <a:noFill/>
                  </pic:spPr>
                </pic:pic>
              </a:graphicData>
            </a:graphic>
          </wp:anchor>
        </w:drawing>
      </w:r>
    </w:p>
    <w:p>
      <w:pPr>
        <w:spacing w:after="0" w:line="9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Shares subject to the option vest in 48 equal monthly installments beginning on May 1, 2017.</w:t>
      </w:r>
    </w:p>
    <w:p>
      <w:pPr>
        <w:spacing w:after="0" w:line="52" w:lineRule="exact"/>
        <w:rPr>
          <w:rFonts w:ascii="Arial" w:cs="Arial" w:eastAsia="Arial" w:hAnsi="Arial"/>
          <w:sz w:val="15"/>
          <w:szCs w:val="15"/>
          <w:color w:val="008000"/>
        </w:rPr>
      </w:pPr>
    </w:p>
    <w:p>
      <w:pPr>
        <w:ind w:left="40" w:right="42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is subject to an early exercise provision and is immediately exercisable. Shares subject to the option vest in 48 equal monthly installments beginning on June 16, 2019.</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The option is subject to an early exercise provision and is immediately exercisable. Shares subject to the option vest in 48 equal monthly installments beginning on April 9, 2020.</w:t>
      </w:r>
    </w:p>
    <w:p>
      <w:pPr>
        <w:spacing w:after="0" w:line="75" w:lineRule="exact"/>
        <w:rPr>
          <w:rFonts w:ascii="Arial" w:cs="Arial" w:eastAsia="Arial" w:hAnsi="Arial"/>
          <w:sz w:val="13"/>
          <w:szCs w:val="13"/>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Shares subject to the option vest in 48 equal monthly installments beginning on May 27, 2020.</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38"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/s/ Peter Garcia, by power</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07/16/2020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48" w:orient="portrait"/>
          <w:cols w:equalWidth="0" w:num="1">
            <w:col w:w="10940"/>
          </w:cols>
          <w:pgMar w:left="480" w:top="236" w:right="479" w:bottom="0" w:gutter="0" w:footer="0" w:header="0"/>
          <w:type w:val="continuous"/>
        </w:sectPr>
      </w:pPr>
    </w:p>
    <w:bookmarkStart w:id="1" w:name="page2"/>
    <w:bookmarkEnd w:id="1"/>
    <w:p>
      <w:pPr>
        <w:jc w:val="right"/>
        <w:ind w:right="619"/>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739" w:firstLine="585"/>
        <w:spacing w:after="0" w:line="237" w:lineRule="auto"/>
        <w:rPr>
          <w:sz w:val="20"/>
          <w:szCs w:val="20"/>
          <w:color w:val="auto"/>
        </w:rPr>
      </w:pPr>
      <w:r>
        <w:rPr>
          <w:rFonts w:ascii="Courier New" w:cs="Courier New" w:eastAsia="Courier New" w:hAnsi="Courier New"/>
          <w:sz w:val="20"/>
          <w:szCs w:val="20"/>
          <w:color w:val="auto"/>
        </w:rPr>
        <w:t>The undersigned, as a Section 16 reporting person of ALX Oncology Holdings Inc. (the "Company"), hereby constitutes and appoints Jaume Pons, Peter Garcia and Steffen Pietzke, and each of them, as the undersigned's true and lawful attorney-in-fact to:</w:t>
      </w:r>
    </w:p>
    <w:p>
      <w:pPr>
        <w:spacing w:after="0" w:line="231" w:lineRule="exact"/>
        <w:rPr>
          <w:sz w:val="20"/>
          <w:szCs w:val="20"/>
          <w:color w:val="auto"/>
        </w:rPr>
      </w:pPr>
    </w:p>
    <w:p>
      <w:pPr>
        <w:ind w:left="1180" w:right="959" w:hanging="595"/>
        <w:spacing w:after="0" w:line="268" w:lineRule="auto"/>
        <w:tabs>
          <w:tab w:leader="none" w:pos="11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06" w:lineRule="exact"/>
        <w:rPr>
          <w:rFonts w:ascii="Courier New" w:cs="Courier New" w:eastAsia="Courier New" w:hAnsi="Courier New"/>
          <w:sz w:val="18"/>
          <w:szCs w:val="18"/>
          <w:color w:val="auto"/>
        </w:rPr>
      </w:pPr>
    </w:p>
    <w:p>
      <w:pPr>
        <w:ind w:left="1180" w:right="959" w:hanging="595"/>
        <w:spacing w:after="0" w:line="237" w:lineRule="auto"/>
        <w:tabs>
          <w:tab w:leader="none" w:pos="11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231" w:lineRule="exact"/>
        <w:rPr>
          <w:sz w:val="20"/>
          <w:szCs w:val="20"/>
          <w:color w:val="auto"/>
        </w:rPr>
      </w:pPr>
    </w:p>
    <w:p>
      <w:pPr>
        <w:ind w:right="619" w:firstLine="585"/>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3" w:lineRule="exact"/>
        <w:rPr>
          <w:sz w:val="20"/>
          <w:szCs w:val="20"/>
          <w:color w:val="auto"/>
        </w:rPr>
      </w:pPr>
    </w:p>
    <w:p>
      <w:pPr>
        <w:ind w:right="739" w:firstLine="585"/>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32" w:lineRule="exact"/>
        <w:rPr>
          <w:sz w:val="20"/>
          <w:szCs w:val="20"/>
          <w:color w:val="auto"/>
        </w:rPr>
      </w:pPr>
    </w:p>
    <w:p>
      <w:pPr>
        <w:ind w:right="619" w:firstLine="585"/>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25th day of June, 2020.</w:t>
      </w:r>
    </w:p>
    <w:p>
      <w:pPr>
        <w:spacing w:after="0" w:line="200" w:lineRule="exact"/>
        <w:rPr>
          <w:sz w:val="20"/>
          <w:szCs w:val="20"/>
          <w:color w:val="auto"/>
        </w:rPr>
      </w:pPr>
    </w:p>
    <w:p>
      <w:pPr>
        <w:spacing w:after="0" w:line="249" w:lineRule="exact"/>
        <w:rPr>
          <w:sz w:val="20"/>
          <w:szCs w:val="20"/>
          <w:color w:val="auto"/>
        </w:rPr>
      </w:pPr>
    </w:p>
    <w:p>
      <w:pPr>
        <w:ind w:left="5260"/>
        <w:spacing w:after="0"/>
        <w:rPr>
          <w:sz w:val="20"/>
          <w:szCs w:val="20"/>
          <w:color w:val="auto"/>
        </w:rPr>
      </w:pPr>
      <w:r>
        <w:rPr>
          <w:rFonts w:ascii="Courier New" w:cs="Courier New" w:eastAsia="Courier New" w:hAnsi="Courier New"/>
          <w:sz w:val="20"/>
          <w:szCs w:val="20"/>
          <w:color w:val="auto"/>
        </w:rPr>
        <w:t>Signature: /s/ Sophia Randolph</w:t>
      </w:r>
    </w:p>
    <w:p>
      <w:pPr>
        <w:ind w:left="6560"/>
        <w:spacing w:after="0" w:line="238" w:lineRule="auto"/>
        <w:rPr>
          <w:sz w:val="20"/>
          <w:szCs w:val="20"/>
          <w:color w:val="auto"/>
        </w:rPr>
      </w:pPr>
      <w:r>
        <w:rPr>
          <w:rFonts w:ascii="Courier New" w:cs="Courier New" w:eastAsia="Courier New" w:hAnsi="Courier New"/>
          <w:sz w:val="20"/>
          <w:szCs w:val="20"/>
          <w:color w:val="auto"/>
        </w:rPr>
        <w:t>-----------------------</w:t>
      </w:r>
    </w:p>
    <w:p>
      <w:pPr>
        <w:ind w:left="5260"/>
        <w:spacing w:after="0" w:line="238" w:lineRule="auto"/>
        <w:rPr>
          <w:sz w:val="20"/>
          <w:szCs w:val="20"/>
          <w:color w:val="auto"/>
        </w:rPr>
      </w:pPr>
      <w:r>
        <w:rPr>
          <w:rFonts w:ascii="Courier New" w:cs="Courier New" w:eastAsia="Courier New" w:hAnsi="Courier New"/>
          <w:sz w:val="20"/>
          <w:szCs w:val="20"/>
          <w:color w:val="auto"/>
        </w:rPr>
        <w:t>Print Name: Sophia Randolph</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17127" TargetMode="External"/><Relationship Id="rId11"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2020-07-16T17:36:10Z</dcterms:created>
  <dcterms:modified xsi:type="dcterms:W3CDTF">2020-07-16T17:36:10Z</dcterms:modified>
</cp:coreProperties>
</file>