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00166B105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10/17/2025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2,730,504.00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2,730,504.00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2,730,504.00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3,188,196.00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3,188,196.00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jc w:val="left"/>
              <w:rPr/>
            </w:pPr>
            <w:r>
              <w:rPr/>
              <w:t xml:space="preserve">CUSIP No.: </w:t>
            </w:r>
          </w:p>
          <w:p>
            <w:pPr>
              <w:pStyle w:val="TableContents"/>
              <w:bidi w:val="0"/>
              <w:spacing w:before="0" w:after="0"/>
              <w:jc w:val="left"/>
              <w:rPr/>
            </w:pPr>
            <w:r>
              <w:rPr/>
              <w:t>00166B105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10/21/2025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10/21/2025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10/21/2025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10/21/2025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21, 2025, by and among Integrated Core Strategies (US) LLC, Millennium Management LLC, Millennium Group Management LLC and Israel A. Englander.</w:t>
            </w:r>
          </w:p>
        </w:tc>
      </w:tr>
    </w:tbl>
    <w:p>
      <w:pPr>
        <w:pStyle w:val="TextBody"/>
        <w:bidi w:val="0"/>
        <w:jc w:val="left"/>
        <w:rPr/>
      </w:pPr>
      <w:bookmarkStart w:id="28" w:name="tm2529281d1_ex-1.htm"/>
      <w:bookmarkStart w:id="29" w:name="kstm2529281d1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ALX Oncology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21, 2025</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1648</Words>
  <Characters>8626</Characters>
  <CharactersWithSpaces>10279</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