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1"/>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Nielsen Jack</w:t>
              </w:r>
            </w:hyperlink>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1"/>
                <w:szCs w:val="11"/>
                <w:color w:val="0000EE"/>
              </w:rPr>
            </w:pPr>
            <w:hyperlink r:id="rId9">
              <w:r>
                <w:rPr>
                  <w:rFonts w:ascii="Arial" w:cs="Arial" w:eastAsia="Arial" w:hAnsi="Arial"/>
                  <w:sz w:val="11"/>
                  <w:szCs w:val="11"/>
                  <w:color w:val="0000EE"/>
                </w:rPr>
                <w:t xml:space="preserve">ALX ONCOLOGY HOLDINGS INC </w:t>
              </w:r>
            </w:hyperlink>
            <w:r>
              <w:rPr>
                <w:rFonts w:ascii="Arial" w:cs="Arial" w:eastAsia="Arial" w:hAnsi="Arial"/>
                <w:sz w:val="11"/>
                <w:szCs w:val="11"/>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40" w:type="dxa"/>
            <w:vAlign w:val="bottom"/>
            <w:gridSpan w:val="7"/>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4"/>
            <w:vMerge w:val="restart"/>
          </w:tcPr>
          <w:p>
            <w:pPr>
              <w:spacing w:after="0" w:line="220" w:lineRule="exact"/>
              <w:rPr>
                <w:sz w:val="20"/>
                <w:szCs w:val="20"/>
                <w:color w:val="auto"/>
              </w:rPr>
            </w:pPr>
            <w:r>
              <w:rPr>
                <w:rFonts w:ascii="Arial" w:cs="Arial" w:eastAsia="Arial" w:hAnsi="Arial"/>
                <w:sz w:val="17"/>
                <w:szCs w:val="17"/>
                <w:color w:val="0000FF"/>
              </w:rPr>
              <w:t xml:space="preserve">ALXO </w:t>
            </w:r>
            <w:r>
              <w:rPr>
                <w:rFonts w:ascii="Arial" w:cs="Arial" w:eastAsia="Arial" w:hAnsi="Arial"/>
                <w:sz w:val="20"/>
                <w:szCs w:val="20"/>
                <w:color w:val="000000"/>
              </w:rPr>
              <w:t>]</w:t>
            </w: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4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3"/>
                <w:szCs w:val="3"/>
                <w:color w:val="auto"/>
              </w:rPr>
            </w:pPr>
          </w:p>
        </w:tc>
        <w:tc>
          <w:tcPr>
            <w:tcW w:w="1440" w:type="dxa"/>
            <w:vAlign w:val="bottom"/>
            <w:gridSpan w:val="7"/>
            <w:vMerge w:val="restart"/>
          </w:tcPr>
          <w:p>
            <w:pPr>
              <w:ind w:left="18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VIVO CAPITAL LLC</w:t>
            </w:r>
          </w:p>
        </w:tc>
        <w:tc>
          <w:tcPr>
            <w:tcW w:w="1160" w:type="dxa"/>
            <w:vAlign w:val="bottom"/>
          </w:tcPr>
          <w:p>
            <w:pPr>
              <w:spacing w:after="0"/>
              <w:rPr>
                <w:sz w:val="18"/>
                <w:szCs w:val="18"/>
                <w:color w:val="auto"/>
              </w:rPr>
            </w:pP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06/20/2023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6"/>
          </w:tcPr>
          <w:p>
            <w:pPr>
              <w:ind w:left="20"/>
              <w:spacing w:after="0"/>
              <w:rPr>
                <w:sz w:val="20"/>
                <w:szCs w:val="20"/>
                <w:color w:val="auto"/>
              </w:rPr>
            </w:pPr>
            <w:r>
              <w:rPr>
                <w:rFonts w:ascii="Arial" w:cs="Arial" w:eastAsia="Arial" w:hAnsi="Arial"/>
                <w:sz w:val="17"/>
                <w:szCs w:val="17"/>
                <w:color w:val="0000FF"/>
              </w:rPr>
              <w:t>192 LYTTON AVENUE</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40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PALO ALTO</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94301</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5"/>
          </w:tcPr>
          <w:p>
            <w:pPr>
              <w:spacing w:after="0"/>
              <w:rPr>
                <w:sz w:val="6"/>
                <w:szCs w:val="6"/>
                <w:color w:val="auto"/>
              </w:rPr>
            </w:pPr>
          </w:p>
        </w:tc>
        <w:tc>
          <w:tcPr>
            <w:tcW w:w="17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520" w:type="dxa"/>
            <w:vAlign w:val="bottom"/>
            <w:gridSpan w:val="12"/>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700" w:type="dxa"/>
            <w:vAlign w:val="bottom"/>
            <w:tcBorders>
              <w:bottom w:val="single" w:sz="8" w:color="2C2C2C"/>
            </w:tcBorders>
            <w:gridSpan w:val="4"/>
          </w:tcPr>
          <w:p>
            <w:pPr>
              <w:spacing w:after="0"/>
              <w:rPr>
                <w:sz w:val="6"/>
                <w:szCs w:val="6"/>
                <w:color w:val="auto"/>
              </w:rPr>
            </w:pPr>
          </w:p>
        </w:tc>
        <w:tc>
          <w:tcPr>
            <w:tcW w:w="88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1"/>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6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8.14</w:t>
            </w:r>
          </w:p>
        </w:tc>
        <w:tc>
          <w:tcPr>
            <w:tcW w:w="140" w:type="dxa"/>
            <w:vAlign w:val="bottom"/>
          </w:tcPr>
          <w:p>
            <w:pPr>
              <w:spacing w:after="0"/>
              <w:rPr>
                <w:sz w:val="17"/>
                <w:szCs w:val="17"/>
                <w:color w:val="auto"/>
              </w:rPr>
            </w:pPr>
          </w:p>
        </w:tc>
        <w:tc>
          <w:tcPr>
            <w:tcW w:w="1040" w:type="dxa"/>
            <w:vAlign w:val="bottom"/>
          </w:tcPr>
          <w:p>
            <w:pPr>
              <w:jc w:val="right"/>
              <w:ind w:right="111"/>
              <w:spacing w:after="0"/>
              <w:rPr>
                <w:sz w:val="20"/>
                <w:szCs w:val="20"/>
                <w:color w:val="auto"/>
              </w:rPr>
            </w:pPr>
            <w:r>
              <w:rPr>
                <w:rFonts w:ascii="Arial" w:cs="Arial" w:eastAsia="Arial" w:hAnsi="Arial"/>
                <w:sz w:val="13"/>
                <w:szCs w:val="13"/>
                <w:color w:val="0000FF"/>
              </w:rPr>
              <w:t>06/20/2023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3"/>
                <w:szCs w:val="13"/>
                <w:color w:val="0000FF"/>
              </w:rPr>
              <w:t>20,200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06/19/2033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20,200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20,200</w:t>
            </w:r>
          </w:p>
        </w:tc>
        <w:tc>
          <w:tcPr>
            <w:tcW w:w="320" w:type="dxa"/>
            <w:vAlign w:val="bottom"/>
          </w:tcPr>
          <w:p>
            <w:pPr>
              <w:spacing w:after="0"/>
              <w:rPr>
                <w:sz w:val="17"/>
                <w:szCs w:val="17"/>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-5751830</wp:posOffset>
            </wp:positionV>
            <wp:extent cx="7045960" cy="5905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905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Shares subject to the option vest in 12 equal monthly installments on the 20th day of the month, or if earlier, the day immediately before the day of the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5"/>
              </w:rPr>
              <w:t>/s/ Peter Garcia, by power of</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06/22/2023</w:t>
            </w: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602402" TargetMode="External"/><Relationship Id="rId9"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2023-06-22T15:53:47Z</dcterms:created>
  <dcterms:modified xsi:type="dcterms:W3CDTF">2023-06-22T15:53:47Z</dcterms:modified>
</cp:coreProperties>
</file>