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6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186690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171450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ALX ONCOLOGY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tbl>
      <w:tblPr>
        <w:tblLayout w:type="fixed"/>
        <w:tblInd w:w="760" w:type="dxa"/>
        <w:tblCellMar>
          <w:top w:w="0" w:type="dxa"/>
          <w:left w:w="0" w:type="dxa"/>
          <w:bottom w:w="0" w:type="dxa"/>
          <w:right w:w="0" w:type="dxa"/>
        </w:tblCellMar>
      </w:tblPr>
      <w:tr>
        <w:trPr>
          <w:trHeight w:val="222"/>
        </w:trPr>
        <w:tc>
          <w:tcPr>
            <w:tcW w:w="3200" w:type="dxa"/>
            <w:vAlign w:val="bottom"/>
          </w:tcPr>
          <w:p>
            <w:pPr>
              <w:jc w:val="center"/>
              <w:ind w:right="801"/>
              <w:spacing w:after="0"/>
              <w:rPr>
                <w:sz w:val="20"/>
                <w:szCs w:val="20"/>
                <w:color w:val="auto"/>
              </w:rPr>
            </w:pPr>
            <w:r>
              <w:rPr>
                <w:rFonts w:ascii="Arial" w:cs="Arial" w:eastAsia="Arial" w:hAnsi="Arial"/>
                <w:sz w:val="18"/>
                <w:szCs w:val="18"/>
                <w:b w:val="1"/>
                <w:bCs w:val="1"/>
                <w:color w:val="auto"/>
                <w:w w:val="91"/>
              </w:rPr>
              <w:t>Delaware</w:t>
            </w:r>
          </w:p>
        </w:tc>
        <w:tc>
          <w:tcPr>
            <w:tcW w:w="3660" w:type="dxa"/>
            <w:vAlign w:val="bottom"/>
          </w:tcPr>
          <w:p>
            <w:pPr>
              <w:jc w:val="right"/>
              <w:ind w:right="1521"/>
              <w:spacing w:after="0"/>
              <w:rPr>
                <w:sz w:val="20"/>
                <w:szCs w:val="20"/>
                <w:color w:val="auto"/>
              </w:rPr>
            </w:pPr>
            <w:r>
              <w:rPr>
                <w:rFonts w:ascii="Arial" w:cs="Arial" w:eastAsia="Arial" w:hAnsi="Arial"/>
                <w:sz w:val="18"/>
                <w:szCs w:val="18"/>
                <w:b w:val="1"/>
                <w:bCs w:val="1"/>
                <w:color w:val="auto"/>
              </w:rPr>
              <w:t>001-39386</w:t>
            </w:r>
          </w:p>
        </w:tc>
        <w:tc>
          <w:tcPr>
            <w:tcW w:w="2260" w:type="dxa"/>
            <w:vAlign w:val="bottom"/>
          </w:tcPr>
          <w:p>
            <w:pPr>
              <w:jc w:val="right"/>
              <w:ind w:right="24"/>
              <w:spacing w:after="0"/>
              <w:rPr>
                <w:sz w:val="20"/>
                <w:szCs w:val="20"/>
                <w:color w:val="auto"/>
              </w:rPr>
            </w:pPr>
            <w:r>
              <w:rPr>
                <w:rFonts w:ascii="Arial" w:cs="Arial" w:eastAsia="Arial" w:hAnsi="Arial"/>
                <w:sz w:val="18"/>
                <w:szCs w:val="18"/>
                <w:b w:val="1"/>
                <w:bCs w:val="1"/>
                <w:color w:val="auto"/>
              </w:rPr>
              <w:t>85-0642577</w:t>
            </w:r>
          </w:p>
        </w:tc>
      </w:tr>
      <w:tr>
        <w:trPr>
          <w:trHeight w:val="148"/>
        </w:trPr>
        <w:tc>
          <w:tcPr>
            <w:tcW w:w="3200" w:type="dxa"/>
            <w:vAlign w:val="bottom"/>
          </w:tcPr>
          <w:p>
            <w:pPr>
              <w:jc w:val="center"/>
              <w:ind w:right="801"/>
              <w:spacing w:after="0"/>
              <w:rPr>
                <w:sz w:val="20"/>
                <w:szCs w:val="20"/>
                <w:color w:val="auto"/>
              </w:rPr>
            </w:pPr>
            <w:r>
              <w:rPr>
                <w:rFonts w:ascii="Arial" w:cs="Arial" w:eastAsia="Arial" w:hAnsi="Arial"/>
                <w:sz w:val="13"/>
                <w:szCs w:val="13"/>
                <w:b w:val="1"/>
                <w:bCs w:val="1"/>
                <w:color w:val="auto"/>
                <w:w w:val="95"/>
              </w:rPr>
              <w:t>(State or Other Jurisdiction</w:t>
            </w:r>
          </w:p>
        </w:tc>
        <w:tc>
          <w:tcPr>
            <w:tcW w:w="3660" w:type="dxa"/>
            <w:vAlign w:val="bottom"/>
          </w:tcPr>
          <w:p>
            <w:pPr>
              <w:spacing w:after="0"/>
              <w:rPr>
                <w:sz w:val="12"/>
                <w:szCs w:val="12"/>
                <w:color w:val="auto"/>
              </w:rPr>
            </w:pPr>
          </w:p>
        </w:tc>
        <w:tc>
          <w:tcPr>
            <w:tcW w:w="2260" w:type="dxa"/>
            <w:vAlign w:val="bottom"/>
          </w:tcPr>
          <w:p>
            <w:pPr>
              <w:jc w:val="center"/>
              <w:ind w:left="1104"/>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3200" w:type="dxa"/>
            <w:vAlign w:val="bottom"/>
          </w:tcPr>
          <w:p>
            <w:pPr>
              <w:jc w:val="center"/>
              <w:ind w:right="801"/>
              <w:spacing w:after="0"/>
              <w:rPr>
                <w:sz w:val="20"/>
                <w:szCs w:val="20"/>
                <w:color w:val="auto"/>
              </w:rPr>
            </w:pPr>
            <w:r>
              <w:rPr>
                <w:rFonts w:ascii="Arial" w:cs="Arial" w:eastAsia="Arial" w:hAnsi="Arial"/>
                <w:sz w:val="13"/>
                <w:szCs w:val="13"/>
                <w:b w:val="1"/>
                <w:bCs w:val="1"/>
                <w:color w:val="auto"/>
                <w:w w:val="96"/>
              </w:rPr>
              <w:t>of Incorporation)</w:t>
            </w:r>
          </w:p>
        </w:tc>
        <w:tc>
          <w:tcPr>
            <w:tcW w:w="3660" w:type="dxa"/>
            <w:vAlign w:val="bottom"/>
          </w:tcPr>
          <w:p>
            <w:pPr>
              <w:jc w:val="center"/>
              <w:ind w:right="221"/>
              <w:spacing w:after="0"/>
              <w:rPr>
                <w:sz w:val="20"/>
                <w:szCs w:val="20"/>
                <w:color w:val="auto"/>
              </w:rPr>
            </w:pPr>
            <w:r>
              <w:rPr>
                <w:rFonts w:ascii="Arial" w:cs="Arial" w:eastAsia="Arial" w:hAnsi="Arial"/>
                <w:sz w:val="13"/>
                <w:szCs w:val="13"/>
                <w:b w:val="1"/>
                <w:bCs w:val="1"/>
                <w:color w:val="auto"/>
                <w:w w:val="94"/>
              </w:rPr>
              <w:t>(Commission File Number)</w:t>
            </w:r>
          </w:p>
        </w:tc>
        <w:tc>
          <w:tcPr>
            <w:tcW w:w="2260" w:type="dxa"/>
            <w:vAlign w:val="bottom"/>
          </w:tcPr>
          <w:p>
            <w:pPr>
              <w:jc w:val="center"/>
              <w:ind w:left="1124"/>
              <w:spacing w:after="0"/>
              <w:rPr>
                <w:sz w:val="20"/>
                <w:szCs w:val="20"/>
                <w:color w:val="auto"/>
              </w:rPr>
            </w:pPr>
            <w:r>
              <w:rPr>
                <w:rFonts w:ascii="Arial" w:cs="Arial" w:eastAsia="Arial" w:hAnsi="Arial"/>
                <w:sz w:val="13"/>
                <w:szCs w:val="13"/>
                <w:b w:val="1"/>
                <w:bCs w:val="1"/>
                <w:color w:val="auto"/>
                <w:w w:val="96"/>
              </w:rPr>
              <w:t>Identification No.)</w:t>
            </w:r>
          </w:p>
        </w:tc>
      </w:tr>
      <w:tr>
        <w:trPr>
          <w:trHeight w:val="333"/>
        </w:trPr>
        <w:tc>
          <w:tcPr>
            <w:tcW w:w="3200" w:type="dxa"/>
            <w:vAlign w:val="bottom"/>
          </w:tcPr>
          <w:p>
            <w:pPr>
              <w:jc w:val="center"/>
              <w:ind w:right="801"/>
              <w:spacing w:after="0"/>
              <w:rPr>
                <w:sz w:val="20"/>
                <w:szCs w:val="20"/>
                <w:color w:val="auto"/>
              </w:rPr>
            </w:pPr>
            <w:r>
              <w:rPr>
                <w:rFonts w:ascii="Arial" w:cs="Arial" w:eastAsia="Arial" w:hAnsi="Arial"/>
                <w:sz w:val="18"/>
                <w:szCs w:val="18"/>
                <w:b w:val="1"/>
                <w:bCs w:val="1"/>
                <w:color w:val="auto"/>
                <w:w w:val="91"/>
              </w:rPr>
              <w:t>866 Malcolm Road, Suite 100</w:t>
            </w:r>
          </w:p>
        </w:tc>
        <w:tc>
          <w:tcPr>
            <w:tcW w:w="36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22"/>
        </w:trPr>
        <w:tc>
          <w:tcPr>
            <w:tcW w:w="3200" w:type="dxa"/>
            <w:vAlign w:val="bottom"/>
          </w:tcPr>
          <w:p>
            <w:pPr>
              <w:jc w:val="center"/>
              <w:ind w:right="801"/>
              <w:spacing w:after="0"/>
              <w:rPr>
                <w:sz w:val="20"/>
                <w:szCs w:val="20"/>
                <w:color w:val="auto"/>
              </w:rPr>
            </w:pPr>
            <w:r>
              <w:rPr>
                <w:rFonts w:ascii="Arial" w:cs="Arial" w:eastAsia="Arial" w:hAnsi="Arial"/>
                <w:sz w:val="18"/>
                <w:szCs w:val="18"/>
                <w:b w:val="1"/>
                <w:bCs w:val="1"/>
                <w:color w:val="auto"/>
                <w:w w:val="93"/>
              </w:rPr>
              <w:t>Burlingame, California</w:t>
            </w:r>
          </w:p>
        </w:tc>
        <w:tc>
          <w:tcPr>
            <w:tcW w:w="3660" w:type="dxa"/>
            <w:vAlign w:val="bottom"/>
          </w:tcPr>
          <w:p>
            <w:pPr>
              <w:spacing w:after="0"/>
              <w:rPr>
                <w:sz w:val="19"/>
                <w:szCs w:val="19"/>
                <w:color w:val="auto"/>
              </w:rPr>
            </w:pPr>
          </w:p>
        </w:tc>
        <w:tc>
          <w:tcPr>
            <w:tcW w:w="2260" w:type="dxa"/>
            <w:vAlign w:val="bottom"/>
          </w:tcPr>
          <w:p>
            <w:pPr>
              <w:jc w:val="right"/>
              <w:ind w:right="244"/>
              <w:spacing w:after="0"/>
              <w:rPr>
                <w:sz w:val="20"/>
                <w:szCs w:val="20"/>
                <w:color w:val="auto"/>
              </w:rPr>
            </w:pPr>
            <w:r>
              <w:rPr>
                <w:rFonts w:ascii="Arial" w:cs="Arial" w:eastAsia="Arial" w:hAnsi="Arial"/>
                <w:sz w:val="18"/>
                <w:szCs w:val="18"/>
                <w:b w:val="1"/>
                <w:bCs w:val="1"/>
                <w:color w:val="auto"/>
              </w:rPr>
              <w:t>94010</w:t>
            </w:r>
          </w:p>
        </w:tc>
      </w:tr>
      <w:tr>
        <w:trPr>
          <w:trHeight w:val="174"/>
        </w:trPr>
        <w:tc>
          <w:tcPr>
            <w:tcW w:w="3200" w:type="dxa"/>
            <w:vAlign w:val="bottom"/>
          </w:tcPr>
          <w:p>
            <w:pPr>
              <w:jc w:val="center"/>
              <w:ind w:right="80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660" w:type="dxa"/>
            <w:vAlign w:val="bottom"/>
          </w:tcPr>
          <w:p>
            <w:pPr>
              <w:spacing w:after="0"/>
              <w:rPr>
                <w:sz w:val="15"/>
                <w:szCs w:val="15"/>
                <w:color w:val="auto"/>
              </w:rPr>
            </w:pPr>
          </w:p>
        </w:tc>
        <w:tc>
          <w:tcPr>
            <w:tcW w:w="2260" w:type="dxa"/>
            <w:vAlign w:val="bottom"/>
          </w:tcPr>
          <w:p>
            <w:pPr>
              <w:jc w:val="center"/>
              <w:ind w:left="1124"/>
              <w:spacing w:after="0"/>
              <w:rPr>
                <w:sz w:val="20"/>
                <w:szCs w:val="20"/>
                <w:color w:val="auto"/>
              </w:rPr>
            </w:pPr>
            <w:r>
              <w:rPr>
                <w:rFonts w:ascii="Arial" w:cs="Arial" w:eastAsia="Arial" w:hAnsi="Arial"/>
                <w:sz w:val="13"/>
                <w:szCs w:val="13"/>
                <w:b w:val="1"/>
                <w:bCs w:val="1"/>
                <w:color w:val="auto"/>
                <w:w w:val="96"/>
              </w:rPr>
              <w:t>(Zip Code)</w:t>
            </w:r>
          </w:p>
        </w:tc>
      </w:tr>
    </w:tbl>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(650) 466-7125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N/A</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166370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5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6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2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Trading</w:t>
            </w:r>
          </w:p>
        </w:tc>
        <w:tc>
          <w:tcPr>
            <w:tcW w:w="4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4640" w:type="dxa"/>
            <w:vAlign w:val="bottom"/>
            <w:gridSpan w:val="2"/>
            <w:vMerge w:val="continue"/>
          </w:tcPr>
          <w:p>
            <w:pPr>
              <w:spacing w:after="0"/>
              <w:rPr>
                <w:sz w:val="14"/>
                <w:szCs w:val="14"/>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4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140" w:type="dxa"/>
            <w:vAlign w:val="bottom"/>
          </w:tcPr>
          <w:p>
            <w:pPr>
              <w:spacing w:after="0"/>
              <w:rPr>
                <w:sz w:val="19"/>
                <w:szCs w:val="19"/>
                <w:color w:val="auto"/>
              </w:rPr>
            </w:pPr>
          </w:p>
        </w:tc>
        <w:tc>
          <w:tcPr>
            <w:tcW w:w="2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ALXO</w:t>
            </w:r>
          </w:p>
        </w:tc>
        <w:tc>
          <w:tcPr>
            <w:tcW w:w="140" w:type="dxa"/>
            <w:vAlign w:val="bottom"/>
          </w:tcPr>
          <w:p>
            <w:pPr>
              <w:spacing w:after="0"/>
              <w:rPr>
                <w:sz w:val="19"/>
                <w:szCs w:val="19"/>
                <w:color w:val="auto"/>
              </w:rPr>
            </w:pPr>
          </w:p>
        </w:tc>
        <w:tc>
          <w:tcPr>
            <w:tcW w:w="4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 xml:space="preserve">The Nasdaq </w:t>
            </w:r>
            <w:r>
              <w:rPr>
                <w:rFonts w:ascii="Arial" w:cs="Arial" w:eastAsia="Arial" w:hAnsi="Arial"/>
                <w:sz w:val="18"/>
                <w:szCs w:val="18"/>
                <w:color w:val="212529"/>
                <w:w w:val="90"/>
              </w:rPr>
              <w:t>Global Select Market</w:t>
            </w:r>
          </w:p>
        </w:tc>
        <w:tc>
          <w:tcPr>
            <w:tcW w:w="0" w:type="dxa"/>
            <w:vAlign w:val="bottom"/>
          </w:tcPr>
          <w:p>
            <w:pPr>
              <w:spacing w:after="0"/>
              <w:rPr>
                <w:sz w:val="1"/>
                <w:szCs w:val="1"/>
                <w:color w:val="auto"/>
              </w:rPr>
            </w:pPr>
          </w:p>
        </w:tc>
      </w:tr>
    </w:tbl>
    <w:p>
      <w:pPr>
        <w:spacing w:after="0" w:line="147"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1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4"/>
          <w:szCs w:val="14"/>
          <w:color w:val="auto"/>
        </w:rPr>
        <w:t>☒</w:t>
      </w:r>
    </w:p>
    <w:p>
      <w:pPr>
        <w:spacing w:after="0" w:line="171"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729615</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5.02</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Arial" w:cs="Arial" w:eastAsia="Arial" w:hAnsi="Arial"/>
          <w:sz w:val="18"/>
          <w:szCs w:val="18"/>
          <w:b w:val="1"/>
          <w:bCs w:val="1"/>
          <w:color w:val="auto"/>
        </w:rPr>
        <w:t>Departure of Directors or Principal Officers; Election of Directors; Appointment of Principal Officers; Compensatory Arrangements of Certain Officers.</w:t>
      </w:r>
    </w:p>
    <w:p>
      <w:pPr>
        <w:spacing w:after="0" w:line="179" w:lineRule="exact"/>
        <w:rPr>
          <w:sz w:val="20"/>
          <w:szCs w:val="20"/>
          <w:color w:val="auto"/>
        </w:rPr>
      </w:pPr>
    </w:p>
    <w:p>
      <w:pPr>
        <w:sectPr>
          <w:pgSz w:w="11900" w:h="16838" w:orient="portrait"/>
          <w:cols w:equalWidth="0" w:num="2">
            <w:col w:w="780" w:space="720"/>
            <w:col w:w="9740"/>
          </w:cols>
          <w:pgMar w:left="320" w:top="580" w:right="339" w:bottom="1440" w:gutter="0" w:footer="0" w:header="0"/>
        </w:sectPr>
      </w:pPr>
    </w:p>
    <w:p>
      <w:pPr>
        <w:ind w:firstLine="405"/>
        <w:spacing w:after="0" w:line="257" w:lineRule="auto"/>
        <w:rPr>
          <w:sz w:val="20"/>
          <w:szCs w:val="20"/>
          <w:color w:val="auto"/>
        </w:rPr>
      </w:pPr>
      <w:r>
        <w:rPr>
          <w:rFonts w:ascii="Arial" w:cs="Arial" w:eastAsia="Arial" w:hAnsi="Arial"/>
          <w:sz w:val="18"/>
          <w:szCs w:val="18"/>
          <w:color w:val="auto"/>
        </w:rPr>
        <w:t>On May 3, 2021, the Board of Directors (the “Board”) of ALX Oncology Holdings Inc. (the “Company”) appointed Shelly Pinto as the Company’s Vice President, Finance and Chief Accounting Officer. Ms. Pinto’s employment with the Company commenced on May 3, 2021. Ms. Pinto will also serve as the principal accounting officer of the Company as such term is used for purposes of the rules and regulations of the Securities and Exchange Commission. Effective upon Ms. Pinto’s appointment as the principal accounting officer, Peter Garcia, our Chief Financial Officer, will cease serving as the principal accounting officer.</w:t>
      </w:r>
    </w:p>
    <w:p>
      <w:pPr>
        <w:spacing w:after="0" w:line="201" w:lineRule="exact"/>
        <w:rPr>
          <w:sz w:val="20"/>
          <w:szCs w:val="20"/>
          <w:color w:val="auto"/>
        </w:rPr>
      </w:pPr>
    </w:p>
    <w:p>
      <w:pPr>
        <w:ind w:right="140" w:firstLine="405"/>
        <w:spacing w:after="0" w:line="273" w:lineRule="auto"/>
        <w:rPr>
          <w:sz w:val="20"/>
          <w:szCs w:val="20"/>
          <w:color w:val="auto"/>
        </w:rPr>
      </w:pPr>
      <w:r>
        <w:rPr>
          <w:rFonts w:ascii="Arial" w:cs="Arial" w:eastAsia="Arial" w:hAnsi="Arial"/>
          <w:sz w:val="17"/>
          <w:szCs w:val="17"/>
          <w:color w:val="auto"/>
        </w:rPr>
        <w:t>Prior to her employment with the Company, Ms. Pinto, age 45, was with Tizona Therapeutics, Inc. from July 2016 to April 2021, where she served most recently as Vice President of Finance and Operation from October 2020 to April 2021 and Vice President of Finance and Controller from January 2019 to October 2020. Ms. Pinto was the Controller at InSite Vision Inc. from December 2008 to July 2016, the Assistant Controller at Bare Escentuals, Inc. from May 2007 to November 2008, and Director of Corporate Accounting and Financial Reporting at Dreyer’s Grand Ice Cream Holdings, Inc. from March 2002 to May 2007. Ms. Pinto started her career within the audit practice at Deloitte and Touche LLP after graduating with a Bachelor of Science in Business Administration with a major in Accounting from Montana State University.</w:t>
      </w:r>
    </w:p>
    <w:p>
      <w:pPr>
        <w:spacing w:after="0" w:line="191"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In connection with the appointment, the Company and Ms. Pinto will enter into a confirmatory employment letter, effective May 3, 2021. Ms. Pinto’s annual base salary will be $340,000, and she will be eligible for an annual target cash incentive payment equal to 40% of her annual base salary. In addition, the Company agreed to pay Ms. Pinto a one-time signing bonus of $75,000 (the “Signing Bonus”), payable at a mutually agreed-upon time after Ms. Pinto’s date of hire, provided that Ms. Pinto is required to repay all of the Signing Bonus to the Company if she voluntarily terminates her employment with the Company within 12 months of her date of hire. The employment letter also provides for an option to purchase 125,000 shares of the Company’s common stock under the Company’s Amended and Restated 2020 Equity Incentive Plan. She will also be entitled to receive other employee benefits generally available to all employees of the Company.</w:t>
      </w:r>
    </w:p>
    <w:p>
      <w:pPr>
        <w:spacing w:after="0" w:line="208" w:lineRule="exact"/>
        <w:rPr>
          <w:sz w:val="20"/>
          <w:szCs w:val="20"/>
          <w:color w:val="auto"/>
        </w:rPr>
      </w:pPr>
    </w:p>
    <w:p>
      <w:pPr>
        <w:ind w:right="140" w:firstLine="405"/>
        <w:spacing w:after="0" w:line="342" w:lineRule="auto"/>
        <w:rPr>
          <w:sz w:val="20"/>
          <w:szCs w:val="20"/>
          <w:color w:val="auto"/>
        </w:rPr>
      </w:pPr>
      <w:r>
        <w:rPr>
          <w:rFonts w:ascii="Arial" w:cs="Arial" w:eastAsia="Arial" w:hAnsi="Arial"/>
          <w:sz w:val="16"/>
          <w:szCs w:val="16"/>
          <w:color w:val="auto"/>
        </w:rPr>
        <w:t>The Company and Ms. Pinto also will enter into a change of control and severance agreement on the Company’s standard form, a copy of which has been filed as Exhibit 10.11 to the Company’s Registration Statement on Form S-1 (File No. 333-239490) filed with the Company on July 13, 2020.</w:t>
      </w:r>
    </w:p>
    <w:p>
      <w:pPr>
        <w:spacing w:after="0" w:line="13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Ms. Pinto does not have any family relationships with any directors or officers of the Company. Ms. Pinto is not a party to any transaction, or series of transactions, required to be disclosed pursuant to Item 404(a)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7560"/>
        <w:spacing w:after="0"/>
        <w:rPr>
          <w:sz w:val="20"/>
          <w:szCs w:val="20"/>
          <w:color w:val="auto"/>
        </w:rPr>
      </w:pPr>
      <w:r>
        <w:rPr>
          <w:rFonts w:ascii="Arial" w:cs="Arial" w:eastAsia="Arial" w:hAnsi="Arial"/>
          <w:sz w:val="18"/>
          <w:szCs w:val="18"/>
          <w:b w:val="1"/>
          <w:bCs w:val="1"/>
          <w:color w:val="auto"/>
        </w:rPr>
        <w:t>ALX ONCOLOGY HOLDINGS INC.</w:t>
      </w:r>
    </w:p>
    <w:p>
      <w:pPr>
        <w:spacing w:after="0" w:line="256" w:lineRule="exact"/>
        <w:rPr>
          <w:sz w:val="20"/>
          <w:szCs w:val="20"/>
          <w:color w:val="auto"/>
        </w:rPr>
      </w:pPr>
    </w:p>
    <w:p>
      <w:pPr>
        <w:spacing w:after="0"/>
        <w:tabs>
          <w:tab w:leader="none" w:pos="7540" w:val="left"/>
        </w:tabs>
        <w:rPr>
          <w:sz w:val="20"/>
          <w:szCs w:val="20"/>
          <w:color w:val="auto"/>
        </w:rPr>
      </w:pPr>
      <w:r>
        <w:rPr>
          <w:rFonts w:ascii="Arial" w:cs="Arial" w:eastAsia="Arial" w:hAnsi="Arial"/>
          <w:sz w:val="18"/>
          <w:szCs w:val="18"/>
          <w:color w:val="auto"/>
        </w:rPr>
        <w:t>Date: May 4, 2021</w:t>
      </w:r>
      <w:r>
        <w:rPr>
          <w:sz w:val="20"/>
          <w:szCs w:val="20"/>
          <w:color w:val="auto"/>
        </w:rPr>
        <w:tab/>
      </w:r>
      <w:r>
        <w:rPr>
          <w:rFonts w:ascii="Arial" w:cs="Arial" w:eastAsia="Arial" w:hAnsi="Arial"/>
          <w:sz w:val="16"/>
          <w:szCs w:val="16"/>
          <w:color w:val="auto"/>
        </w:rPr>
        <w:t>By: /s/ Peter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14605</wp:posOffset>
            </wp:positionV>
            <wp:extent cx="21342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12" w:lineRule="exact"/>
        <w:rPr>
          <w:sz w:val="20"/>
          <w:szCs w:val="20"/>
          <w:color w:val="auto"/>
        </w:rPr>
      </w:pPr>
    </w:p>
    <w:p>
      <w:pPr>
        <w:ind w:left="7880"/>
        <w:spacing w:after="0"/>
        <w:rPr>
          <w:sz w:val="20"/>
          <w:szCs w:val="20"/>
          <w:color w:val="auto"/>
        </w:rPr>
      </w:pPr>
      <w:r>
        <w:rPr>
          <w:rFonts w:ascii="Arial" w:cs="Arial" w:eastAsia="Arial" w:hAnsi="Arial"/>
          <w:sz w:val="18"/>
          <w:szCs w:val="18"/>
          <w:b w:val="1"/>
          <w:bCs w:val="1"/>
          <w:color w:val="auto"/>
        </w:rPr>
        <w:t>Peter Garcia</w:t>
      </w:r>
    </w:p>
    <w:p>
      <w:pPr>
        <w:spacing w:after="0" w:line="27" w:lineRule="exact"/>
        <w:rPr>
          <w:sz w:val="20"/>
          <w:szCs w:val="20"/>
          <w:color w:val="auto"/>
        </w:rPr>
      </w:pPr>
    </w:p>
    <w:p>
      <w:pPr>
        <w:ind w:left="7880"/>
        <w:spacing w:after="0"/>
        <w:rPr>
          <w:sz w:val="20"/>
          <w:szCs w:val="20"/>
          <w:color w:val="auto"/>
        </w:rPr>
      </w:pPr>
      <w:r>
        <w:rPr>
          <w:rFonts w:ascii="Arial" w:cs="Arial" w:eastAsia="Arial" w:hAnsi="Arial"/>
          <w:sz w:val="18"/>
          <w:szCs w:val="18"/>
          <w:b w:val="1"/>
          <w:bCs w:val="1"/>
          <w:color w:val="auto"/>
        </w:rPr>
        <w:t>Chief Financial Officer</w:t>
      </w:r>
    </w:p>
    <w:sectPr>
      <w:pgSz w:w="11900" w:h="16838" w:orient="portrait"/>
      <w:cols w:equalWidth="0" w:num="1">
        <w:col w:w="10680"/>
      </w:cols>
      <w:pgMar w:left="320" w:top="351"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2021-05-04T16:32:32Z</dcterms:created>
  <dcterms:modified xsi:type="dcterms:W3CDTF">2021-05-04T16:32:32Z</dcterms:modified>
</cp:coreProperties>
</file>