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26670</wp:posOffset>
            </wp:positionH>
            <wp:positionV relativeFrom="page">
              <wp:posOffset>0</wp:posOffset>
            </wp:positionV>
            <wp:extent cx="7719695" cy="10057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19695" cy="10057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rPr>
          <w:sz w:val="20"/>
          <w:szCs w:val="20"/>
          <w:color w:val="auto"/>
        </w:rPr>
      </w:pPr>
      <w:r>
        <w:rPr>
          <w:rFonts w:ascii="Arial" w:cs="Arial" w:eastAsia="Arial" w:hAnsi="Arial"/>
          <w:sz w:val="75"/>
          <w:szCs w:val="75"/>
          <w:color w:val="FFFFFF"/>
        </w:rPr>
        <w:t>Annual Report</w:t>
      </w:r>
    </w:p>
    <w:p>
      <w:pPr>
        <w:sectPr>
          <w:pgSz w:w="12240" w:h="15840" w:orient="portrait"/>
          <w:cols w:equalWidth="0" w:num="1">
            <w:col w:w="10020"/>
          </w:cols>
          <w:pgMar w:left="780" w:top="1440" w:right="1440" w:bottom="1440" w:gutter="0" w:footer="0" w:header="0"/>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4"/>
          <w:szCs w:val="24"/>
          <w:b w:val="1"/>
          <w:bCs w:val="1"/>
          <w:color w:val="auto"/>
        </w:rPr>
        <w:t>Dear Fellow Shareholders,</w:t>
      </w:r>
    </w:p>
    <w:p>
      <w:pPr>
        <w:spacing w:after="0" w:line="16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4"/>
          <w:szCs w:val="24"/>
          <w:color w:val="auto"/>
        </w:rPr>
        <w:t>2025 was a year of strong execution and meaningful scientific progress for ALX across both of our programs. I am pleased to report that our clinical development timelines remain firmly on track and that we are entering the next 12-18 months with more confidence in where our science is headed, and what it can do for patients. The recent financing in Q1 ’26 also gives us strength in our balance sheet to execute on our ongoing clinical trials and move towards key milestones across both our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Evorpacept: Strong Confidence Built Over 800+ Patient Experience</w:t>
      </w:r>
    </w:p>
    <w:p>
      <w:pPr>
        <w:spacing w:after="0" w:line="16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4"/>
          <w:szCs w:val="24"/>
          <w:color w:val="auto"/>
        </w:rPr>
        <w:t>Based on our learnings from over 800 patients across more than a dozen clinical trials we are prioritizing evorpacept development in combination with anti-cancer antibodies that directly induce antibody-dependent cellular phagocytosis (ADCP), the primary proposed mechanism of action for evorpacept. The mechanism of combining evorpacept with Fc active antibodies has been validated across 5 different cohorts in multiple tumor settings. This data validates our approach and will continue to anchor our go-forward strategy.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CD47 as Biomarker: Two Datasets, One Consistent Story</w:t>
      </w:r>
    </w:p>
    <w:p>
      <w:pPr>
        <w:spacing w:after="0" w:line="162"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24"/>
          <w:szCs w:val="24"/>
          <w:color w:val="auto"/>
        </w:rPr>
        <w:t>In November 2025 at the Society for Immunotherapy of Cancer conference, we shared biomarker data from our HER2 positive gastric study, showing a compelling clinical response across all efficacy measures in HER2+ gastric cancer patients with high CD47 expression. Shortly after, top-line data from the Phase 1 study of evorpacept and zanidatamab breast cancer trial delivered a second independent validation, where responders were largely restricted to CD47 over expressers. Across two datasets, there is one consistent biomarker story.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ASPEN-Breast Ph2 Trial: On Track for Mid 2027 Readout</w:t>
      </w:r>
    </w:p>
    <w:p>
      <w:pPr>
        <w:spacing w:after="0" w:line="162"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4"/>
          <w:szCs w:val="24"/>
          <w:color w:val="auto"/>
        </w:rPr>
        <w:t>These findings sharpen our conviction in ASPEN-Breast, our Phase 2 trial in HER2-positive breast cancer evaluating patient responses by CD47 level. Site activations are progressing globally at a strong pace and enrollment is tracking to plan. We continue to expect top line data for 80 patients in mid 2027. With over 50,000 patients in this setting, Evorpacept has the potential to be both a best in class and first-class option – and the only therapy designed to directly address CD47 expression in this population to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ALX2004: Progressing Per Plan</w:t>
      </w:r>
    </w:p>
    <w:p>
      <w:pPr>
        <w:spacing w:after="0" w:line="15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3"/>
          <w:szCs w:val="23"/>
          <w:color w:val="auto"/>
        </w:rPr>
        <w:t>Our novel Epidermal Growth Factor Receptor (EGFR) targeted Antibody-Drug Conjugate (ADC), ALX2004 is also advancing well and on track. We have cleared the first two dose cohorts in our phase 1 dose escalation study targeting EGFR over expressing tumors in Lung, Head &amp; Neck, Colorectal and Esophageal cancers.</w:t>
      </w:r>
    </w:p>
    <w:p>
      <w:pPr>
        <w:ind w:right="300"/>
        <w:spacing w:after="0"/>
        <w:rPr>
          <w:sz w:val="20"/>
          <w:szCs w:val="20"/>
          <w:color w:val="auto"/>
        </w:rPr>
      </w:pPr>
      <w:r>
        <w:rPr>
          <w:rFonts w:ascii="Times New Roman" w:cs="Times New Roman" w:eastAsia="Times New Roman" w:hAnsi="Times New Roman"/>
          <w:sz w:val="24"/>
          <w:szCs w:val="24"/>
          <w:color w:val="auto"/>
        </w:rPr>
        <w:t>We expect full safety data from the dose escalation cohort in the second half of 2026. Given the differentiated design built to overcome some of the traditional EGFR toxicities that have constrained prior EGFR ADCs, we believe ALX2004 has the potential to address significant gaps in the standard of care in multiple cancers.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b w:val="1"/>
          <w:bCs w:val="1"/>
          <w:color w:val="auto"/>
        </w:rPr>
        <w:t>What It All Means for Patients</w:t>
      </w:r>
    </w:p>
    <w:p>
      <w:pPr>
        <w:spacing w:after="0" w:line="162"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24"/>
          <w:szCs w:val="24"/>
          <w:color w:val="auto"/>
        </w:rPr>
        <w:t>The patients our programs target have often exhausted standard options. We are excited with the potential that both our programs have to offer for these patients.</w:t>
      </w:r>
    </w:p>
    <w:p>
      <w:pPr>
        <w:spacing w:after="0" w:line="73" w:lineRule="exact"/>
        <w:rPr>
          <w:sz w:val="20"/>
          <w:szCs w:val="20"/>
          <w:color w:val="auto"/>
        </w:rPr>
      </w:pPr>
    </w:p>
    <w:p>
      <w:pPr>
        <w:ind w:right="400"/>
        <w:spacing w:after="0" w:line="275" w:lineRule="auto"/>
        <w:rPr>
          <w:sz w:val="20"/>
          <w:szCs w:val="20"/>
          <w:color w:val="auto"/>
        </w:rPr>
      </w:pPr>
      <w:r>
        <w:rPr>
          <w:rFonts w:ascii="Times New Roman" w:cs="Times New Roman" w:eastAsia="Times New Roman" w:hAnsi="Times New Roman"/>
          <w:sz w:val="24"/>
          <w:szCs w:val="24"/>
          <w:color w:val="auto"/>
        </w:rPr>
        <w:t>I look forward to sharing more at our annual Investor Meeting and am deeply grateful for your continued support and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1456690" cy="334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6690" cy="334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Jason Lettmann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Chief Executive Officer</w:t>
      </w:r>
    </w:p>
    <w:p>
      <w:pPr>
        <w:sectPr>
          <w:pgSz w:w="12240" w:h="15840" w:orient="portrait"/>
          <w:cols w:equalWidth="0" w:num="1">
            <w:col w:w="10420"/>
          </w:cols>
          <w:pgMar w:left="900" w:top="740" w:right="920" w:bottom="537" w:gutter="0" w:footer="0" w:header="0"/>
        </w:sectPr>
      </w:pPr>
    </w:p>
    <w:bookmarkStart w:id="3" w:name="page4"/>
    <w:bookmarkEnd w:id="3"/>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4" w:name="page5"/>
    <w:bookmarkEnd w:id="4"/>
    <w:p>
      <w:pPr>
        <w:jc w:val="center"/>
        <w:ind w:right="-2"/>
        <w:spacing w:after="0"/>
        <w:rPr>
          <w:sz w:val="20"/>
          <w:szCs w:val="20"/>
          <w:color w:val="auto"/>
        </w:rPr>
      </w:pPr>
      <w:r>
        <w:rPr>
          <w:rFonts w:ascii="Times New Roman" w:cs="Times New Roman" w:eastAsia="Times New Roman" w:hAnsi="Times New Roman"/>
          <w:sz w:val="30"/>
          <w:szCs w:val="30"/>
          <w:b w:val="1"/>
          <w:bCs w:val="1"/>
          <w:color w:val="auto"/>
        </w:rPr>
        <mc:AlternateContent>
          <mc:Choice Requires="wps">
            <w:drawing>
              <wp:anchor simplePos="0" relativeHeight="251657728" behindDoc="1" locked="0" layoutInCell="0" allowOverlap="1">
                <wp:simplePos x="0" y="0"/>
                <wp:positionH relativeFrom="page">
                  <wp:posOffset>480060</wp:posOffset>
                </wp:positionH>
                <wp:positionV relativeFrom="page">
                  <wp:posOffset>666750</wp:posOffset>
                </wp:positionV>
                <wp:extent cx="681164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9461">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8pt,52.5pt" to="574.15pt,52.5pt" o:allowincell="f" strokecolor="#000000" strokeweight="0.745pt">
                <w10:wrap anchorx="page" anchory="page"/>
              </v:line>
            </w:pict>
          </mc:Fallback>
        </mc:AlternateContent>
        <mc:AlternateContent>
          <mc:Choice Requires="wps">
            <w:drawing>
              <wp:anchor simplePos="0" relativeHeight="251657728" behindDoc="1" locked="0" layoutInCell="0" allowOverlap="1">
                <wp:simplePos x="0" y="0"/>
                <wp:positionH relativeFrom="page">
                  <wp:posOffset>480060</wp:posOffset>
                </wp:positionH>
                <wp:positionV relativeFrom="page">
                  <wp:posOffset>685800</wp:posOffset>
                </wp:positionV>
                <wp:extent cx="681164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645" cy="4763"/>
                        </a:xfrm>
                        <a:prstGeom prst="line">
                          <a:avLst/>
                        </a:prstGeom>
                        <a:solidFill>
                          <a:srgbClr val="FFFFFF"/>
                        </a:solidFill>
                        <a:ln w="9461">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7.8pt,54pt" to="574.15pt,54pt" o:allowincell="f" strokecolor="#000000" strokeweight="0.745pt">
                <w10:wrap anchorx="page" anchory="page"/>
              </v:line>
            </w:pict>
          </mc:Fallback>
        </mc:AlternateContent>
        <w:t>UNITED STATES</w:t>
      </w:r>
    </w:p>
    <w:p>
      <w:pPr>
        <w:jc w:val="center"/>
        <w:ind w:right="-2"/>
        <w:spacing w:after="0" w:line="234" w:lineRule="auto"/>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-247015</wp:posOffset>
                </wp:positionV>
                <wp:extent cx="136207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19.4499pt" to="321.75pt,-19.4499pt" o:allowincell="f" strokecolor="#000000" strokeweight="0.4969pt"/>
            </w:pict>
          </mc:Fallback>
        </mc:AlternateContent>
        <mc:AlternateContent>
          <mc:Choice Requires="wps">
            <w:drawing>
              <wp:anchor simplePos="0" relativeHeight="251657728" behindDoc="1" locked="0" layoutInCell="0" allowOverlap="1">
                <wp:simplePos x="0" y="0"/>
                <wp:positionH relativeFrom="column">
                  <wp:posOffset>2724150</wp:posOffset>
                </wp:positionH>
                <wp:positionV relativeFrom="paragraph">
                  <wp:posOffset>63500</wp:posOffset>
                </wp:positionV>
                <wp:extent cx="136207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5pt" to="321.75pt,5pt" o:allowincell="f" strokecolor="#000000" strokeweight="0.4969pt"/>
            </w:pict>
          </mc:Fallback>
        </mc:AlternateContent>
      </w:r>
    </w:p>
    <w:p>
      <w:pPr>
        <w:spacing w:after="0" w:line="87"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(Mark One)</w:t>
      </w:r>
    </w:p>
    <w:p>
      <w:pPr>
        <w:ind w:left="423" w:hanging="423"/>
        <w:spacing w:after="0" w:line="233" w:lineRule="auto"/>
        <w:tabs>
          <w:tab w:leader="none" w:pos="423" w:val="left"/>
        </w:tabs>
        <w:numPr>
          <w:ilvl w:val="0"/>
          <w:numId w:val="1"/>
        </w:numPr>
        <w:rPr>
          <w:rFonts w:ascii="Segoe UI" w:cs="Segoe UI" w:eastAsia="Segoe UI" w:hAnsi="Segoe UI"/>
          <w:sz w:val="16"/>
          <w:szCs w:val="16"/>
          <w:b w:val="1"/>
          <w:bCs w:val="1"/>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For the fiscal year ended December 31, 2025</w:t>
      </w:r>
    </w:p>
    <w:p>
      <w:pPr>
        <w:spacing w:after="0" w:line="1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OR</w:t>
      </w:r>
    </w:p>
    <w:p>
      <w:pPr>
        <w:ind w:left="423" w:hanging="423"/>
        <w:spacing w:after="0" w:line="188" w:lineRule="auto"/>
        <w:tabs>
          <w:tab w:leader="none" w:pos="423" w:val="left"/>
        </w:tabs>
        <w:numPr>
          <w:ilvl w:val="0"/>
          <w:numId w:val="2"/>
        </w:numPr>
        <w:rPr>
          <w:rFonts w:ascii="Segoe UI" w:cs="Segoe UI" w:eastAsia="Segoe UI" w:hAnsi="Segoe UI"/>
          <w:sz w:val="19"/>
          <w:szCs w:val="19"/>
          <w:b w:val="1"/>
          <w:bCs w:val="1"/>
          <w:color w:val="auto"/>
          <w:vertAlign w:val="subscript"/>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w:t>
      </w:r>
    </w:p>
    <w:p>
      <w:pPr>
        <w:ind w:left="423"/>
        <w:spacing w:after="0"/>
        <w:rPr>
          <w:rFonts w:ascii="Segoe UI" w:cs="Segoe UI" w:eastAsia="Segoe UI" w:hAnsi="Segoe UI"/>
          <w:sz w:val="19"/>
          <w:szCs w:val="19"/>
          <w:b w:val="1"/>
          <w:bCs w:val="1"/>
          <w:color w:val="auto"/>
          <w:vertAlign w:val="subscript"/>
        </w:rPr>
      </w:pPr>
      <w:r>
        <w:rPr>
          <w:rFonts w:ascii="Times New Roman" w:cs="Times New Roman" w:eastAsia="Times New Roman" w:hAnsi="Times New Roman"/>
          <w:sz w:val="16"/>
          <w:szCs w:val="16"/>
          <w:b w:val="1"/>
          <w:bCs w:val="1"/>
          <w:color w:val="auto"/>
        </w:rPr>
        <w:t>PERIOD FROMTO</w:t>
      </w:r>
    </w:p>
    <w:p>
      <w:pPr>
        <w:spacing w:after="0" w:line="10" w:lineRule="exact"/>
        <w:rPr>
          <w:sz w:val="20"/>
          <w:szCs w:val="20"/>
          <w:color w:val="auto"/>
        </w:rPr>
      </w:pPr>
    </w:p>
    <w:p>
      <w:pPr>
        <w:ind w:left="3823"/>
        <w:spacing w:after="0"/>
        <w:rPr>
          <w:sz w:val="20"/>
          <w:szCs w:val="20"/>
          <w:color w:val="auto"/>
        </w:rPr>
      </w:pPr>
      <w:r>
        <w:rPr>
          <w:rFonts w:ascii="Times New Roman" w:cs="Times New Roman" w:eastAsia="Times New Roman" w:hAnsi="Times New Roman"/>
          <w:sz w:val="20"/>
          <w:szCs w:val="20"/>
          <w:b w:val="1"/>
          <w:bCs w:val="1"/>
          <w:color w:val="auto"/>
        </w:rPr>
        <w:t>Commission File Number 001-39386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41910</wp:posOffset>
                </wp:positionV>
                <wp:extent cx="1362075"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3.3pt" to="321.75pt,3.3pt" o:allowincell="f" strokecolor="#000000" strokeweight="0.4969pt"/>
            </w:pict>
          </mc:Fallback>
        </mc:AlternateContent>
      </w:r>
    </w:p>
    <w:p>
      <w:pPr>
        <w:spacing w:after="0" w:line="53" w:lineRule="exact"/>
        <w:rPr>
          <w:sz w:val="20"/>
          <w:szCs w:val="20"/>
          <w:color w:val="auto"/>
        </w:rPr>
      </w:pPr>
    </w:p>
    <w:p>
      <w:pPr>
        <w:ind w:left="3743"/>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1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33655</wp:posOffset>
                </wp:positionV>
                <wp:extent cx="136207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2.65pt" to="321.75pt,2.65pt" o:allowincell="f" strokecolor="#000000" strokeweight="0.4969pt"/>
            </w:pict>
          </mc:Fallback>
        </mc:AlternateContent>
      </w:r>
    </w:p>
    <w:p>
      <w:pPr>
        <w:spacing w:after="0" w:line="30" w:lineRule="exact"/>
        <w:rPr>
          <w:sz w:val="20"/>
          <w:szCs w:val="20"/>
          <w:color w:val="auto"/>
        </w:rPr>
      </w:pPr>
    </w:p>
    <w:tbl>
      <w:tblPr>
        <w:tblLayout w:type="fixed"/>
        <w:tblInd w:w="1323" w:type="dxa"/>
        <w:tblCellMar>
          <w:top w:w="0" w:type="dxa"/>
          <w:left w:w="0" w:type="dxa"/>
          <w:bottom w:w="0" w:type="dxa"/>
          <w:right w:w="0" w:type="dxa"/>
        </w:tblCellMar>
      </w:tblPr>
      <w:tr>
        <w:trPr>
          <w:trHeight w:val="230"/>
        </w:trPr>
        <w:tc>
          <w:tcPr>
            <w:tcW w:w="4400" w:type="dxa"/>
            <w:vAlign w:val="bottom"/>
          </w:tcPr>
          <w:p>
            <w:pPr>
              <w:jc w:val="center"/>
              <w:ind w:right="1591"/>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2940" w:type="dxa"/>
            <w:vAlign w:val="bottom"/>
          </w:tcPr>
          <w:p>
            <w:pPr>
              <w:jc w:val="right"/>
              <w:ind w:right="53"/>
              <w:spacing w:after="0"/>
              <w:rPr>
                <w:sz w:val="20"/>
                <w:szCs w:val="20"/>
                <w:color w:val="auto"/>
              </w:rPr>
            </w:pPr>
            <w:r>
              <w:rPr>
                <w:rFonts w:ascii="Times New Roman" w:cs="Times New Roman" w:eastAsia="Times New Roman" w:hAnsi="Times New Roman"/>
                <w:sz w:val="20"/>
                <w:szCs w:val="20"/>
                <w:b w:val="1"/>
                <w:bCs w:val="1"/>
                <w:color w:val="auto"/>
              </w:rPr>
              <w:t>85-0642577</w:t>
            </w:r>
          </w:p>
        </w:tc>
      </w:tr>
      <w:tr>
        <w:trPr>
          <w:trHeight w:val="168"/>
        </w:trPr>
        <w:tc>
          <w:tcPr>
            <w:tcW w:w="4400" w:type="dxa"/>
            <w:vAlign w:val="bottom"/>
          </w:tcPr>
          <w:p>
            <w:pPr>
              <w:jc w:val="center"/>
              <w:ind w:right="1591"/>
              <w:spacing w:after="0" w:line="168" w:lineRule="exact"/>
              <w:rPr>
                <w:sz w:val="20"/>
                <w:szCs w:val="20"/>
                <w:color w:val="auto"/>
              </w:rPr>
            </w:pPr>
            <w:r>
              <w:rPr>
                <w:rFonts w:ascii="Times New Roman" w:cs="Times New Roman" w:eastAsia="Times New Roman" w:hAnsi="Times New Roman"/>
                <w:sz w:val="16"/>
                <w:szCs w:val="16"/>
                <w:b w:val="1"/>
                <w:bCs w:val="1"/>
                <w:color w:val="auto"/>
                <w:w w:val="99"/>
              </w:rPr>
              <w:t>(State or other jurisdiction of</w:t>
            </w:r>
          </w:p>
        </w:tc>
        <w:tc>
          <w:tcPr>
            <w:tcW w:w="2940" w:type="dxa"/>
            <w:vAlign w:val="bottom"/>
          </w:tcPr>
          <w:p>
            <w:pPr>
              <w:jc w:val="center"/>
              <w:ind w:left="1613"/>
              <w:spacing w:after="0" w:line="168" w:lineRule="exact"/>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01"/>
        </w:trPr>
        <w:tc>
          <w:tcPr>
            <w:tcW w:w="4400" w:type="dxa"/>
            <w:vAlign w:val="bottom"/>
          </w:tcPr>
          <w:p>
            <w:pPr>
              <w:jc w:val="center"/>
              <w:ind w:right="1591"/>
              <w:spacing w:after="0"/>
              <w:rPr>
                <w:sz w:val="20"/>
                <w:szCs w:val="20"/>
                <w:color w:val="auto"/>
              </w:rPr>
            </w:pPr>
            <w:r>
              <w:rPr>
                <w:rFonts w:ascii="Times New Roman" w:cs="Times New Roman" w:eastAsia="Times New Roman" w:hAnsi="Times New Roman"/>
                <w:sz w:val="16"/>
                <w:szCs w:val="16"/>
                <w:b w:val="1"/>
                <w:bCs w:val="1"/>
                <w:color w:val="auto"/>
                <w:w w:val="99"/>
              </w:rPr>
              <w:t>incorporation or organization)</w:t>
            </w:r>
          </w:p>
        </w:tc>
        <w:tc>
          <w:tcPr>
            <w:tcW w:w="2940" w:type="dxa"/>
            <w:vAlign w:val="bottom"/>
          </w:tcPr>
          <w:p>
            <w:pPr>
              <w:jc w:val="center"/>
              <w:ind w:left="1613"/>
              <w:spacing w:after="0"/>
              <w:rPr>
                <w:sz w:val="20"/>
                <w:szCs w:val="20"/>
                <w:color w:val="auto"/>
              </w:rPr>
            </w:pPr>
            <w:r>
              <w:rPr>
                <w:rFonts w:ascii="Times New Roman" w:cs="Times New Roman" w:eastAsia="Times New Roman" w:hAnsi="Times New Roman"/>
                <w:sz w:val="16"/>
                <w:szCs w:val="16"/>
                <w:b w:val="1"/>
                <w:bCs w:val="1"/>
                <w:color w:val="auto"/>
                <w:w w:val="98"/>
              </w:rPr>
              <w:t>Identification No.)</w:t>
            </w:r>
          </w:p>
        </w:tc>
      </w:tr>
      <w:tr>
        <w:trPr>
          <w:trHeight w:val="250"/>
        </w:trPr>
        <w:tc>
          <w:tcPr>
            <w:tcW w:w="4400" w:type="dxa"/>
            <w:vAlign w:val="bottom"/>
          </w:tcPr>
          <w:p>
            <w:pPr>
              <w:jc w:val="center"/>
              <w:ind w:right="1591"/>
              <w:spacing w:after="0"/>
              <w:rPr>
                <w:sz w:val="20"/>
                <w:szCs w:val="20"/>
                <w:color w:val="auto"/>
              </w:rPr>
            </w:pPr>
            <w:r>
              <w:rPr>
                <w:rFonts w:ascii="Times New Roman" w:cs="Times New Roman" w:eastAsia="Times New Roman" w:hAnsi="Times New Roman"/>
                <w:sz w:val="20"/>
                <w:szCs w:val="20"/>
                <w:b w:val="1"/>
                <w:bCs w:val="1"/>
                <w:color w:val="auto"/>
              </w:rPr>
              <w:t>323 Allerton Avenue</w:t>
            </w:r>
          </w:p>
        </w:tc>
        <w:tc>
          <w:tcPr>
            <w:tcW w:w="2940" w:type="dxa"/>
            <w:vAlign w:val="bottom"/>
          </w:tcPr>
          <w:p>
            <w:pPr>
              <w:spacing w:after="0"/>
              <w:rPr>
                <w:sz w:val="21"/>
                <w:szCs w:val="21"/>
                <w:color w:val="auto"/>
              </w:rPr>
            </w:pPr>
          </w:p>
        </w:tc>
      </w:tr>
      <w:tr>
        <w:trPr>
          <w:trHeight w:val="218"/>
        </w:trPr>
        <w:tc>
          <w:tcPr>
            <w:tcW w:w="4400" w:type="dxa"/>
            <w:vAlign w:val="bottom"/>
          </w:tcPr>
          <w:p>
            <w:pPr>
              <w:jc w:val="center"/>
              <w:ind w:right="1591"/>
              <w:spacing w:after="0" w:line="218" w:lineRule="exact"/>
              <w:rPr>
                <w:sz w:val="20"/>
                <w:szCs w:val="20"/>
                <w:color w:val="auto"/>
              </w:rPr>
            </w:pPr>
            <w:r>
              <w:rPr>
                <w:rFonts w:ascii="Times New Roman" w:cs="Times New Roman" w:eastAsia="Times New Roman" w:hAnsi="Times New Roman"/>
                <w:sz w:val="20"/>
                <w:szCs w:val="20"/>
                <w:b w:val="1"/>
                <w:bCs w:val="1"/>
                <w:color w:val="auto"/>
                <w:w w:val="99"/>
              </w:rPr>
              <w:t>South San Francisco, California</w:t>
            </w:r>
          </w:p>
        </w:tc>
        <w:tc>
          <w:tcPr>
            <w:tcW w:w="2940" w:type="dxa"/>
            <w:vAlign w:val="bottom"/>
          </w:tcPr>
          <w:p>
            <w:pPr>
              <w:jc w:val="right"/>
              <w:ind w:right="293"/>
              <w:spacing w:after="0" w:line="218" w:lineRule="exact"/>
              <w:rPr>
                <w:sz w:val="20"/>
                <w:szCs w:val="20"/>
                <w:color w:val="auto"/>
              </w:rPr>
            </w:pPr>
            <w:r>
              <w:rPr>
                <w:rFonts w:ascii="Times New Roman" w:cs="Times New Roman" w:eastAsia="Times New Roman" w:hAnsi="Times New Roman"/>
                <w:sz w:val="20"/>
                <w:szCs w:val="20"/>
                <w:b w:val="1"/>
                <w:bCs w:val="1"/>
                <w:color w:val="auto"/>
              </w:rPr>
              <w:t>94080</w:t>
            </w:r>
          </w:p>
        </w:tc>
      </w:tr>
      <w:tr>
        <w:trPr>
          <w:trHeight w:val="220"/>
        </w:trPr>
        <w:tc>
          <w:tcPr>
            <w:tcW w:w="4400" w:type="dxa"/>
            <w:vAlign w:val="bottom"/>
          </w:tcPr>
          <w:p>
            <w:pPr>
              <w:jc w:val="center"/>
              <w:ind w:right="1591"/>
              <w:spacing w:after="0"/>
              <w:rPr>
                <w:sz w:val="20"/>
                <w:szCs w:val="20"/>
                <w:color w:val="auto"/>
              </w:rPr>
            </w:pPr>
            <w:r>
              <w:rPr>
                <w:rFonts w:ascii="Times New Roman" w:cs="Times New Roman" w:eastAsia="Times New Roman" w:hAnsi="Times New Roman"/>
                <w:sz w:val="16"/>
                <w:szCs w:val="16"/>
                <w:b w:val="1"/>
                <w:bCs w:val="1"/>
                <w:color w:val="auto"/>
                <w:w w:val="99"/>
              </w:rPr>
              <w:t>(Address of principal executive offices)</w:t>
            </w:r>
          </w:p>
        </w:tc>
        <w:tc>
          <w:tcPr>
            <w:tcW w:w="2940" w:type="dxa"/>
            <w:vAlign w:val="bottom"/>
          </w:tcPr>
          <w:p>
            <w:pPr>
              <w:jc w:val="center"/>
              <w:ind w:left="1633"/>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650-466-7125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2724150</wp:posOffset>
                </wp:positionH>
                <wp:positionV relativeFrom="paragraph">
                  <wp:posOffset>41910</wp:posOffset>
                </wp:positionV>
                <wp:extent cx="136207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62075"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5pt,3.3pt" to="321.75pt,3.3pt" o:allowincell="f" strokecolor="#000000" strokeweight="0.4969pt"/>
            </w:pict>
          </mc:Fallback>
        </mc:AlternateContent>
      </w:r>
    </w:p>
    <w:p>
      <w:pPr>
        <w:spacing w:after="0" w:line="64" w:lineRule="exact"/>
        <w:rPr>
          <w:sz w:val="20"/>
          <w:szCs w:val="20"/>
          <w:color w:val="auto"/>
        </w:rPr>
      </w:pPr>
    </w:p>
    <w:tbl>
      <w:tblPr>
        <w:tblLayout w:type="fixed"/>
        <w:tblInd w:w="3" w:type="dxa"/>
        <w:tblCellMar>
          <w:top w:w="0" w:type="dxa"/>
          <w:left w:w="0" w:type="dxa"/>
          <w:bottom w:w="0" w:type="dxa"/>
          <w:right w:w="0" w:type="dxa"/>
        </w:tblCellMar>
      </w:tblPr>
      <w:tr>
        <w:trPr>
          <w:trHeight w:val="212"/>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00" w:type="dxa"/>
            <w:vAlign w:val="bottom"/>
          </w:tcPr>
          <w:p>
            <w:pPr>
              <w:spacing w:after="0"/>
              <w:rPr>
                <w:sz w:val="18"/>
                <w:szCs w:val="18"/>
                <w:color w:val="auto"/>
              </w:rPr>
            </w:pPr>
          </w:p>
        </w:tc>
        <w:tc>
          <w:tcPr>
            <w:tcW w:w="21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1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41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c>
          <w:tcPr>
            <w:tcW w:w="0" w:type="dxa"/>
            <w:vAlign w:val="bottom"/>
          </w:tcPr>
          <w:p>
            <w:pPr>
              <w:spacing w:after="0"/>
              <w:rPr>
                <w:sz w:val="1"/>
                <w:szCs w:val="1"/>
                <w:color w:val="auto"/>
              </w:rPr>
            </w:pPr>
          </w:p>
        </w:tc>
      </w:tr>
      <w:tr>
        <w:trPr>
          <w:trHeight w:val="199"/>
        </w:trPr>
        <w:tc>
          <w:tcPr>
            <w:tcW w:w="4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17"/>
                <w:szCs w:val="17"/>
                <w:color w:val="auto"/>
              </w:rPr>
            </w:pPr>
          </w:p>
        </w:tc>
        <w:tc>
          <w:tcPr>
            <w:tcW w:w="41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1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100" w:type="dxa"/>
            <w:vAlign w:val="bottom"/>
          </w:tcPr>
          <w:p>
            <w:pPr>
              <w:spacing w:after="0"/>
              <w:rPr>
                <w:sz w:val="14"/>
                <w:szCs w:val="14"/>
                <w:color w:val="auto"/>
              </w:rPr>
            </w:pPr>
          </w:p>
        </w:tc>
        <w:tc>
          <w:tcPr>
            <w:tcW w:w="216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8"/>
              </w:rPr>
              <w:t>ALXO</w:t>
            </w:r>
          </w:p>
        </w:tc>
        <w:tc>
          <w:tcPr>
            <w:tcW w:w="100" w:type="dxa"/>
            <w:vAlign w:val="bottom"/>
          </w:tcPr>
          <w:p>
            <w:pPr>
              <w:spacing w:after="0"/>
              <w:rPr>
                <w:sz w:val="14"/>
                <w:szCs w:val="14"/>
                <w:color w:val="auto"/>
              </w:rPr>
            </w:pPr>
          </w:p>
        </w:tc>
        <w:tc>
          <w:tcPr>
            <w:tcW w:w="4180" w:type="dxa"/>
            <w:vAlign w:val="bottom"/>
          </w:tcPr>
          <w:p>
            <w:pPr>
              <w:jc w:val="center"/>
              <w:spacing w:after="0" w:line="167" w:lineRule="exact"/>
              <w:rPr>
                <w:sz w:val="20"/>
                <w:szCs w:val="20"/>
                <w:color w:val="auto"/>
              </w:rPr>
            </w:pPr>
            <w:r>
              <w:rPr>
                <w:rFonts w:ascii="Times New Roman" w:cs="Times New Roman" w:eastAsia="Times New Roman" w:hAnsi="Times New Roman"/>
                <w:sz w:val="16"/>
                <w:szCs w:val="16"/>
                <w:color w:val="auto"/>
                <w:w w:val="99"/>
              </w:rPr>
              <w:t>The Nasdaq Global Select Market</w:t>
            </w:r>
          </w:p>
        </w:tc>
        <w:tc>
          <w:tcPr>
            <w:tcW w:w="0" w:type="dxa"/>
            <w:vAlign w:val="bottom"/>
          </w:tcPr>
          <w:p>
            <w:pPr>
              <w:spacing w:after="0"/>
              <w:rPr>
                <w:sz w:val="1"/>
                <w:szCs w:val="1"/>
                <w:color w:val="auto"/>
              </w:rPr>
            </w:pPr>
          </w:p>
        </w:tc>
      </w:tr>
      <w:tr>
        <w:trPr>
          <w:trHeight w:val="220"/>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Securities registered pursuant to Section 12(g) of the Act: </w:t>
            </w:r>
            <w:r>
              <w:rPr>
                <w:rFonts w:ascii="Times New Roman" w:cs="Times New Roman" w:eastAsia="Times New Roman" w:hAnsi="Times New Roman"/>
                <w:sz w:val="16"/>
                <w:szCs w:val="16"/>
                <w:b w:val="1"/>
                <w:bCs w:val="1"/>
                <w:color w:val="auto"/>
              </w:rPr>
              <w:t>None</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 w:right="2300"/>
        <w:spacing w:after="0" w:line="271"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Indicate by check mark if the registrant is not required to file reports pursuant to Section 13 or 15(d) of the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p>
      <w:pPr>
        <w:spacing w:after="0" w:line="1" w:lineRule="exact"/>
        <w:rPr>
          <w:sz w:val="20"/>
          <w:szCs w:val="20"/>
          <w:color w:val="auto"/>
        </w:rPr>
      </w:pPr>
    </w:p>
    <w:p>
      <w:pPr>
        <w:ind w:left="3" w:right="80"/>
        <w:spacing w:after="0" w:line="229"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ind w:left="3"/>
        <w:spacing w:after="0"/>
        <w:rPr>
          <w:sz w:val="20"/>
          <w:szCs w:val="20"/>
          <w:color w:val="auto"/>
        </w:rPr>
      </w:pPr>
      <w:r>
        <w:rPr>
          <w:rFonts w:ascii="Times New Roman" w:cs="Times New Roman" w:eastAsia="Times New Roman" w:hAnsi="Times New Roman"/>
          <w:sz w:val="16"/>
          <w:szCs w:val="16"/>
          <w:color w:val="auto"/>
        </w:rPr>
        <w:t xml:space="preserve">days.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p>
    <w:p>
      <w:pPr>
        <w:spacing w:after="0" w:line="29" w:lineRule="exact"/>
        <w:rPr>
          <w:sz w:val="20"/>
          <w:szCs w:val="20"/>
          <w:color w:val="auto"/>
        </w:rPr>
      </w:pPr>
    </w:p>
    <w:p>
      <w:pPr>
        <w:ind w:left="3" w:right="100"/>
        <w:spacing w:after="0" w:line="24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auto"/>
        </w:rPr>
        <w:t>շ</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ն</w:t>
      </w:r>
    </w:p>
    <w:p>
      <w:pPr>
        <w:spacing w:after="0" w:line="1" w:lineRule="exact"/>
        <w:rPr>
          <w:sz w:val="20"/>
          <w:szCs w:val="20"/>
          <w:color w:val="auto"/>
        </w:rPr>
      </w:pPr>
    </w:p>
    <w:p>
      <w:pPr>
        <w:ind w:left="3" w:right="200"/>
        <w:spacing w:after="0" w:line="22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 w:lineRule="exact"/>
        <w:rPr>
          <w:sz w:val="20"/>
          <w:szCs w:val="20"/>
          <w:color w:val="auto"/>
        </w:rPr>
      </w:pPr>
    </w:p>
    <w:tbl>
      <w:tblPr>
        <w:tblLayout w:type="fixed"/>
        <w:tblInd w:w="3" w:type="dxa"/>
        <w:tblCellMar>
          <w:top w:w="0" w:type="dxa"/>
          <w:left w:w="0" w:type="dxa"/>
          <w:bottom w:w="0" w:type="dxa"/>
          <w:right w:w="0" w:type="dxa"/>
        </w:tblCellMar>
      </w:tblPr>
      <w:tr>
        <w:trPr>
          <w:trHeight w:val="259"/>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20" w:type="dxa"/>
            <w:vAlign w:val="bottom"/>
          </w:tcPr>
          <w:p>
            <w:pPr>
              <w:ind w:left="220"/>
              <w:spacing w:after="0"/>
              <w:rPr>
                <w:sz w:val="20"/>
                <w:szCs w:val="20"/>
                <w:color w:val="auto"/>
              </w:rPr>
            </w:pPr>
            <w:r>
              <w:rPr>
                <w:rFonts w:ascii="Segoe UI" w:cs="Segoe UI" w:eastAsia="Segoe UI" w:hAnsi="Segoe UI"/>
                <w:sz w:val="16"/>
                <w:szCs w:val="16"/>
                <w:color w:val="auto"/>
              </w:rPr>
              <w:t>ն</w:t>
            </w:r>
          </w:p>
        </w:tc>
        <w:tc>
          <w:tcPr>
            <w:tcW w:w="496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Accelerated filer</w:t>
            </w:r>
          </w:p>
        </w:tc>
        <w:tc>
          <w:tcPr>
            <w:tcW w:w="420" w:type="dxa"/>
            <w:vAlign w:val="bottom"/>
          </w:tcPr>
          <w:p>
            <w:pPr>
              <w:ind w:left="280"/>
              <w:spacing w:after="0"/>
              <w:rPr>
                <w:sz w:val="20"/>
                <w:szCs w:val="20"/>
                <w:color w:val="auto"/>
              </w:rPr>
            </w:pPr>
            <w:r>
              <w:rPr>
                <w:rFonts w:ascii="Segoe UI" w:cs="Segoe UI" w:eastAsia="Segoe UI" w:hAnsi="Segoe UI"/>
                <w:sz w:val="16"/>
                <w:szCs w:val="16"/>
                <w:color w:val="auto"/>
              </w:rPr>
              <w:t>ն</w:t>
            </w:r>
          </w:p>
        </w:tc>
      </w:tr>
      <w:tr>
        <w:trPr>
          <w:trHeight w:val="285"/>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20" w:type="dxa"/>
            <w:vAlign w:val="bottom"/>
          </w:tcPr>
          <w:p>
            <w:pPr>
              <w:ind w:left="220"/>
              <w:spacing w:after="0"/>
              <w:rPr>
                <w:sz w:val="20"/>
                <w:szCs w:val="20"/>
                <w:color w:val="auto"/>
              </w:rPr>
            </w:pPr>
            <w:r>
              <w:rPr>
                <w:rFonts w:ascii="Segoe UI" w:cs="Segoe UI" w:eastAsia="Segoe UI" w:hAnsi="Segoe UI"/>
                <w:sz w:val="16"/>
                <w:szCs w:val="16"/>
                <w:color w:val="auto"/>
              </w:rPr>
              <w:t>շ</w:t>
            </w:r>
          </w:p>
        </w:tc>
        <w:tc>
          <w:tcPr>
            <w:tcW w:w="4960" w:type="dxa"/>
            <w:vAlign w:val="bottom"/>
          </w:tcPr>
          <w:p>
            <w:pPr>
              <w:ind w:left="29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20" w:type="dxa"/>
            <w:vAlign w:val="bottom"/>
          </w:tcPr>
          <w:p>
            <w:pPr>
              <w:ind w:left="280"/>
              <w:spacing w:after="0"/>
              <w:rPr>
                <w:sz w:val="20"/>
                <w:szCs w:val="20"/>
                <w:color w:val="auto"/>
              </w:rPr>
            </w:pPr>
            <w:r>
              <w:rPr>
                <w:rFonts w:ascii="Segoe UI" w:cs="Segoe UI" w:eastAsia="Segoe UI" w:hAnsi="Segoe UI"/>
                <w:sz w:val="16"/>
                <w:szCs w:val="16"/>
                <w:color w:val="auto"/>
              </w:rPr>
              <w:t>շ</w:t>
            </w:r>
          </w:p>
        </w:tc>
      </w:tr>
      <w:tr>
        <w:trPr>
          <w:trHeight w:val="265"/>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20" w:type="dxa"/>
            <w:vAlign w:val="bottom"/>
          </w:tcPr>
          <w:p>
            <w:pPr>
              <w:ind w:left="220"/>
              <w:spacing w:after="0"/>
              <w:rPr>
                <w:sz w:val="20"/>
                <w:szCs w:val="20"/>
                <w:color w:val="auto"/>
              </w:rPr>
            </w:pPr>
            <w:r>
              <w:rPr>
                <w:rFonts w:ascii="Segoe UI" w:cs="Segoe UI" w:eastAsia="Segoe UI" w:hAnsi="Segoe UI"/>
                <w:sz w:val="16"/>
                <w:szCs w:val="16"/>
                <w:color w:val="auto"/>
              </w:rPr>
              <w:t>ն</w:t>
            </w:r>
          </w:p>
        </w:tc>
        <w:tc>
          <w:tcPr>
            <w:tcW w:w="496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ind w:left="3" w:right="260"/>
        <w:spacing w:after="0" w:line="244"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auto"/>
        </w:rPr>
        <w:t>ն</w:t>
      </w:r>
    </w:p>
    <w:p>
      <w:pPr>
        <w:spacing w:after="0" w:line="2" w:lineRule="exact"/>
        <w:rPr>
          <w:sz w:val="20"/>
          <w:szCs w:val="20"/>
          <w:color w:val="auto"/>
        </w:rPr>
      </w:pPr>
    </w:p>
    <w:p>
      <w:pPr>
        <w:ind w:left="3" w:right="160"/>
        <w:spacing w:after="0" w:line="24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its internal control over financial reporting under Section 404(b) of the Sarbanes-Oxley Act (15 U.S.C. 7262(b)) by the registered public accounting firm that prepared or issued its audit report. </w:t>
      </w:r>
      <w:r>
        <w:rPr>
          <w:rFonts w:ascii="Segoe UI" w:cs="Segoe UI" w:eastAsia="Segoe UI" w:hAnsi="Segoe UI"/>
          <w:sz w:val="16"/>
          <w:szCs w:val="16"/>
          <w:color w:val="auto"/>
        </w:rPr>
        <w:t>ն</w:t>
      </w:r>
    </w:p>
    <w:p>
      <w:pPr>
        <w:spacing w:after="0" w:line="1" w:lineRule="exact"/>
        <w:rPr>
          <w:sz w:val="20"/>
          <w:szCs w:val="20"/>
          <w:color w:val="auto"/>
        </w:rPr>
      </w:pPr>
    </w:p>
    <w:p>
      <w:pPr>
        <w:ind w:left="3"/>
        <w:spacing w:after="0" w:line="243"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auto"/>
        </w:rPr>
        <w:t>ն</w:t>
      </w:r>
    </w:p>
    <w:p>
      <w:pPr>
        <w:spacing w:after="0" w:line="1" w:lineRule="exact"/>
        <w:rPr>
          <w:sz w:val="20"/>
          <w:szCs w:val="20"/>
          <w:color w:val="auto"/>
        </w:rPr>
      </w:pPr>
    </w:p>
    <w:p>
      <w:pPr>
        <w:ind w:left="3" w:right="20"/>
        <w:spacing w:after="0" w:line="239"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auto"/>
        </w:rPr>
        <w:t>ն</w:t>
      </w:r>
    </w:p>
    <w:p>
      <w:pPr>
        <w:ind w:left="3"/>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Segoe UI" w:cs="Segoe UI" w:eastAsia="Segoe UI" w:hAnsi="Segoe UI"/>
          <w:sz w:val="16"/>
          <w:szCs w:val="16"/>
          <w:color w:val="auto"/>
        </w:rPr>
        <w:t>ն</w:t>
      </w:r>
      <w:r>
        <w:rPr>
          <w:rFonts w:ascii="Times New Roman" w:cs="Times New Roman" w:eastAsia="Times New Roman" w:hAnsi="Times New Roman"/>
          <w:sz w:val="16"/>
          <w:szCs w:val="16"/>
          <w:color w:val="auto"/>
        </w:rPr>
        <w:t xml:space="preserve"> NO </w:t>
      </w:r>
      <w:r>
        <w:rPr>
          <w:rFonts w:ascii="Segoe UI" w:cs="Segoe UI" w:eastAsia="Segoe UI" w:hAnsi="Segoe UI"/>
          <w:sz w:val="16"/>
          <w:szCs w:val="16"/>
          <w:color w:val="auto"/>
        </w:rPr>
        <w:t>շ</w:t>
      </w:r>
    </w:p>
    <w:p>
      <w:pPr>
        <w:spacing w:after="0" w:line="29" w:lineRule="exact"/>
        <w:rPr>
          <w:sz w:val="20"/>
          <w:szCs w:val="20"/>
          <w:color w:val="auto"/>
        </w:rPr>
      </w:pPr>
    </w:p>
    <w:p>
      <w:pPr>
        <w:ind w:left="3" w:right="600"/>
        <w:spacing w:after="0" w:line="234" w:lineRule="auto"/>
        <w:rPr>
          <w:sz w:val="20"/>
          <w:szCs w:val="20"/>
          <w:color w:val="auto"/>
        </w:rPr>
      </w:pPr>
      <w:r>
        <w:rPr>
          <w:rFonts w:ascii="Times New Roman" w:cs="Times New Roman" w:eastAsia="Times New Roman" w:hAnsi="Times New Roman"/>
          <w:sz w:val="16"/>
          <w:szCs w:val="16"/>
          <w:color w:val="auto"/>
        </w:rPr>
        <w:t>The aggregate market value of the registrant’s common stock held by non-affiliates of the registrant on June 30, 2025, the last business day of its most recently completed second fiscal quarter, was $18.0 million based on the closing sales price of the registrant’s common stock on that date.</w:t>
      </w:r>
    </w:p>
    <w:p>
      <w:pPr>
        <w:spacing w:after="0" w:line="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6"/>
          <w:szCs w:val="16"/>
          <w:color w:val="auto"/>
        </w:rPr>
        <w:t>The number of shares of registrant’s Common Stock outstanding as of March 2, 2026 was 131,608,278.</w:t>
      </w:r>
    </w:p>
    <w:p>
      <w:pPr>
        <w:spacing w:after="0" w:line="24" w:lineRule="exact"/>
        <w:rPr>
          <w:sz w:val="20"/>
          <w:szCs w:val="20"/>
          <w:color w:val="auto"/>
        </w:rPr>
      </w:pPr>
    </w:p>
    <w:p>
      <w:pPr>
        <w:ind w:left="3623"/>
        <w:spacing w:after="0"/>
        <w:rPr>
          <w:sz w:val="20"/>
          <w:szCs w:val="20"/>
          <w:color w:val="auto"/>
        </w:rPr>
      </w:pPr>
      <w:r>
        <w:rPr>
          <w:rFonts w:ascii="Times New Roman" w:cs="Times New Roman" w:eastAsia="Times New Roman" w:hAnsi="Times New Roman"/>
          <w:sz w:val="16"/>
          <w:szCs w:val="16"/>
          <w:color w:val="auto"/>
        </w:rPr>
        <w:t>DOCUMENTS INCORPORATED BY REFERENCE</w:t>
      </w:r>
    </w:p>
    <w:p>
      <w:pPr>
        <w:spacing w:after="0" w:line="24" w:lineRule="exact"/>
        <w:rPr>
          <w:sz w:val="20"/>
          <w:szCs w:val="20"/>
          <w:color w:val="auto"/>
        </w:rPr>
      </w:pPr>
    </w:p>
    <w:p>
      <w:pPr>
        <w:ind w:left="3" w:right="280"/>
        <w:spacing w:after="0" w:line="236" w:lineRule="auto"/>
        <w:rPr>
          <w:sz w:val="20"/>
          <w:szCs w:val="20"/>
          <w:color w:val="auto"/>
        </w:rPr>
      </w:pPr>
      <w:r>
        <w:rPr>
          <w:rFonts w:ascii="Times New Roman" w:cs="Times New Roman" w:eastAsia="Times New Roman" w:hAnsi="Times New Roman"/>
          <w:sz w:val="16"/>
          <w:szCs w:val="16"/>
          <w:color w:val="auto"/>
        </w:rPr>
        <w:t>Certain portions of the registrant’s definitive proxy statement relating to the Company’s 2024 Annual Meeting of Stockholders, to be filed with the Securities and Exchange Commission within 120 days of the registrant’s fiscal year ended December 31, 2025, are incorporated by reference into Part III of this Annual Report on Form 10-K where indicated.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47625</wp:posOffset>
                </wp:positionV>
                <wp:extent cx="681101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010" cy="4763"/>
                        </a:xfrm>
                        <a:prstGeom prst="line">
                          <a:avLst/>
                        </a:prstGeom>
                        <a:solidFill>
                          <a:srgbClr val="FFFFFF"/>
                        </a:solidFill>
                        <a:ln w="9461">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75pt" to="536.3pt,3.75pt" o:allowincell="f" strokecolor="#000000" strokeweight="0.74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66675</wp:posOffset>
                </wp:positionV>
                <wp:extent cx="681101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11010" cy="4763"/>
                        </a:xfrm>
                        <a:prstGeom prst="line">
                          <a:avLst/>
                        </a:prstGeom>
                        <a:solidFill>
                          <a:srgbClr val="FFFFFF"/>
                        </a:solidFill>
                        <a:ln w="9461">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25pt" to="536.3pt,5.25pt" o:allowincell="f" strokecolor="#000000" strokeweight="0.745pt"/>
            </w:pict>
          </mc:Fallback>
        </mc:AlternateContent>
      </w:r>
    </w:p>
    <w:p>
      <w:pPr>
        <w:sectPr>
          <w:pgSz w:w="12240" w:h="15840" w:orient="portrait"/>
          <w:cols w:equalWidth="0" w:num="1">
            <w:col w:w="10723"/>
          </w:cols>
          <w:pgMar w:left="757" w:top="1092" w:right="760"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80"/>
        <w:spacing w:after="0"/>
        <w:rPr>
          <w:sz w:val="20"/>
          <w:szCs w:val="20"/>
          <w:color w:val="auto"/>
        </w:rPr>
      </w:pPr>
      <w:r>
        <w:rPr>
          <w:rFonts w:ascii="PMingLiU" w:cs="PMingLiU" w:eastAsia="PMingLiU" w:hAnsi="PMingLiU"/>
          <w:sz w:val="14"/>
          <w:szCs w:val="14"/>
          <w:color w:val="auto"/>
        </w:rPr>
        <w:t>&gt;7KLVSDJHLQWHQWLRQDOO\OHIWEODQN@</w:t>
      </w:r>
    </w:p>
    <w:p>
      <w:pPr>
        <w:sectPr>
          <w:pgSz w:w="12240" w:h="15840" w:orient="portrait"/>
          <w:cols w:equalWidth="0" w:num="1">
            <w:col w:w="9360"/>
          </w:cols>
          <w:pgMar w:left="1440" w:top="1440" w:right="14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SPECIAL NOTE REGARDING FORWARD-LOOKING STATEMENTS</w:t>
      </w:r>
    </w:p>
    <w:p>
      <w:pPr>
        <w:spacing w:after="0" w:line="241" w:lineRule="exact"/>
        <w:rPr>
          <w:sz w:val="20"/>
          <w:szCs w:val="20"/>
          <w:color w:val="auto"/>
        </w:rPr>
      </w:pPr>
    </w:p>
    <w:p>
      <w:pPr>
        <w:ind w:right="80" w:firstLine="487"/>
        <w:spacing w:after="0" w:line="244" w:lineRule="auto"/>
        <w:rPr>
          <w:sz w:val="20"/>
          <w:szCs w:val="20"/>
          <w:color w:val="auto"/>
        </w:rPr>
      </w:pPr>
      <w:r>
        <w:rPr>
          <w:rFonts w:ascii="Times New Roman" w:cs="Times New Roman" w:eastAsia="Times New Roman" w:hAnsi="Times New Roman"/>
          <w:sz w:val="20"/>
          <w:szCs w:val="20"/>
          <w:color w:val="auto"/>
        </w:rPr>
        <w:t>This Annual Report on Form 10-K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201" w:lineRule="exact"/>
        <w:rPr>
          <w:sz w:val="20"/>
          <w:szCs w:val="20"/>
          <w:color w:val="auto"/>
        </w:rPr>
      </w:pPr>
    </w:p>
    <w:p>
      <w:pPr>
        <w:ind w:right="100" w:firstLine="487"/>
        <w:spacing w:after="0" w:line="250" w:lineRule="auto"/>
        <w:rPr>
          <w:sz w:val="20"/>
          <w:szCs w:val="20"/>
          <w:color w:val="auto"/>
        </w:rPr>
      </w:pPr>
      <w:r>
        <w:rPr>
          <w:rFonts w:ascii="Times New Roman" w:cs="Times New Roman" w:eastAsia="Times New Roman" w:hAnsi="Times New Roman"/>
          <w:sz w:val="20"/>
          <w:szCs w:val="20"/>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Annual Report include, but are not limited to, statements about:</w:t>
      </w:r>
    </w:p>
    <w:p>
      <w:pPr>
        <w:spacing w:after="0" w:line="212" w:lineRule="exact"/>
        <w:rPr>
          <w:sz w:val="20"/>
          <w:szCs w:val="20"/>
          <w:color w:val="auto"/>
        </w:rPr>
      </w:pPr>
    </w:p>
    <w:p>
      <w:pPr>
        <w:ind w:left="1200" w:hanging="359"/>
        <w:spacing w:after="0"/>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financial performance;</w:t>
      </w:r>
    </w:p>
    <w:p>
      <w:pPr>
        <w:spacing w:after="0" w:line="104" w:lineRule="exact"/>
        <w:rPr>
          <w:rFonts w:ascii="PMingLiU" w:cs="PMingLiU" w:eastAsia="PMingLiU" w:hAnsi="PMingLiU"/>
          <w:sz w:val="20"/>
          <w:szCs w:val="20"/>
          <w:color w:val="auto"/>
        </w:rPr>
      </w:pPr>
    </w:p>
    <w:p>
      <w:pPr>
        <w:ind w:left="1200" w:hanging="359"/>
        <w:spacing w:after="0"/>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sufficiency of our existing cash to fund our future operating expenses and capital expenditure requirements;</w:t>
      </w:r>
    </w:p>
    <w:p>
      <w:pPr>
        <w:spacing w:after="0" w:line="104" w:lineRule="exact"/>
        <w:rPr>
          <w:rFonts w:ascii="PMingLiU" w:cs="PMingLiU" w:eastAsia="PMingLiU" w:hAnsi="PMingLiU"/>
          <w:sz w:val="20"/>
          <w:szCs w:val="20"/>
          <w:color w:val="auto"/>
        </w:rPr>
      </w:pPr>
    </w:p>
    <w:p>
      <w:pPr>
        <w:ind w:left="1200" w:right="62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accuracy of our estimates regarding expenses, future revenue, capital requirements, and needs for additional financing;</w:t>
      </w:r>
    </w:p>
    <w:p>
      <w:pPr>
        <w:spacing w:after="0" w:line="61" w:lineRule="exact"/>
        <w:rPr>
          <w:rFonts w:ascii="PMingLiU" w:cs="PMingLiU" w:eastAsia="PMingLiU" w:hAnsi="PMingLiU"/>
          <w:sz w:val="20"/>
          <w:szCs w:val="20"/>
          <w:color w:val="auto"/>
        </w:rPr>
      </w:pPr>
    </w:p>
    <w:p>
      <w:pPr>
        <w:ind w:left="1200" w:right="8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plans relating to commercializing our product candidates, if approved, including the geographic areas of focus and our ability to grow a sales team;</w:t>
      </w:r>
    </w:p>
    <w:p>
      <w:pPr>
        <w:spacing w:after="0" w:line="61" w:lineRule="exact"/>
        <w:rPr>
          <w:rFonts w:ascii="PMingLiU" w:cs="PMingLiU" w:eastAsia="PMingLiU" w:hAnsi="PMingLiU"/>
          <w:sz w:val="20"/>
          <w:szCs w:val="20"/>
          <w:color w:val="auto"/>
        </w:rPr>
      </w:pPr>
    </w:p>
    <w:p>
      <w:pPr>
        <w:ind w:left="1200" w:hanging="359"/>
        <w:spacing w:after="0"/>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implementation of our strategic plans for our business and product candidates;</w:t>
      </w:r>
    </w:p>
    <w:p>
      <w:pPr>
        <w:spacing w:after="0" w:line="104" w:lineRule="exact"/>
        <w:rPr>
          <w:rFonts w:ascii="PMingLiU" w:cs="PMingLiU" w:eastAsia="PMingLiU" w:hAnsi="PMingLiU"/>
          <w:sz w:val="20"/>
          <w:szCs w:val="20"/>
          <w:color w:val="auto"/>
        </w:rPr>
      </w:pPr>
    </w:p>
    <w:p>
      <w:pPr>
        <w:ind w:left="1200" w:right="680" w:hanging="359"/>
        <w:spacing w:after="0" w:line="249"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74" w:lineRule="exact"/>
        <w:rPr>
          <w:rFonts w:ascii="PMingLiU" w:cs="PMingLiU" w:eastAsia="PMingLiU" w:hAnsi="PMingLiU"/>
          <w:sz w:val="20"/>
          <w:szCs w:val="20"/>
          <w:color w:val="auto"/>
        </w:rPr>
      </w:pPr>
    </w:p>
    <w:p>
      <w:pPr>
        <w:ind w:left="1200" w:right="86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reliance on third parties to conduct preclinical research activities, and for the manufacture of our product candidates;</w:t>
      </w:r>
    </w:p>
    <w:p>
      <w:pPr>
        <w:spacing w:after="0" w:line="61" w:lineRule="exact"/>
        <w:rPr>
          <w:rFonts w:ascii="PMingLiU" w:cs="PMingLiU" w:eastAsia="PMingLiU" w:hAnsi="PMingLiU"/>
          <w:sz w:val="20"/>
          <w:szCs w:val="20"/>
          <w:color w:val="auto"/>
        </w:rPr>
      </w:pPr>
    </w:p>
    <w:p>
      <w:pPr>
        <w:ind w:left="1200" w:right="48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beneficial characteristics, mechanisms of action, safety profile, efficacy and therapeutic effects of our product candidates;</w:t>
      </w:r>
    </w:p>
    <w:p>
      <w:pPr>
        <w:spacing w:after="0" w:line="61" w:lineRule="exact"/>
        <w:rPr>
          <w:rFonts w:ascii="PMingLiU" w:cs="PMingLiU" w:eastAsia="PMingLiU" w:hAnsi="PMingLiU"/>
          <w:sz w:val="20"/>
          <w:szCs w:val="20"/>
          <w:color w:val="auto"/>
        </w:rPr>
      </w:pPr>
    </w:p>
    <w:p>
      <w:pPr>
        <w:ind w:left="1200" w:hanging="359"/>
        <w:spacing w:after="0"/>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progress and focus of our current and future clinical trials, and the reporting of data from those trials;</w:t>
      </w:r>
    </w:p>
    <w:p>
      <w:pPr>
        <w:spacing w:after="0" w:line="104" w:lineRule="exact"/>
        <w:rPr>
          <w:rFonts w:ascii="PMingLiU" w:cs="PMingLiU" w:eastAsia="PMingLiU" w:hAnsi="PMingLiU"/>
          <w:sz w:val="20"/>
          <w:szCs w:val="20"/>
          <w:color w:val="auto"/>
        </w:rPr>
      </w:pPr>
    </w:p>
    <w:p>
      <w:pPr>
        <w:ind w:left="1200" w:hanging="359"/>
        <w:spacing w:after="0"/>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advance product candidates into and successfully complete clinical trials;</w:t>
      </w:r>
    </w:p>
    <w:p>
      <w:pPr>
        <w:spacing w:after="0" w:line="104" w:lineRule="exact"/>
        <w:rPr>
          <w:rFonts w:ascii="PMingLiU" w:cs="PMingLiU" w:eastAsia="PMingLiU" w:hAnsi="PMingLiU"/>
          <w:sz w:val="20"/>
          <w:szCs w:val="20"/>
          <w:color w:val="auto"/>
        </w:rPr>
      </w:pPr>
    </w:p>
    <w:p>
      <w:pPr>
        <w:ind w:left="120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ability of our clinical trials, including collaborations and investigator sponsored trials, to demonstrate the safety and efficacy of our product candidates, and other positive results;</w:t>
      </w:r>
    </w:p>
    <w:p>
      <w:pPr>
        <w:spacing w:after="0" w:line="61" w:lineRule="exact"/>
        <w:rPr>
          <w:rFonts w:ascii="PMingLiU" w:cs="PMingLiU" w:eastAsia="PMingLiU" w:hAnsi="PMingLiU"/>
          <w:sz w:val="20"/>
          <w:szCs w:val="20"/>
          <w:color w:val="auto"/>
        </w:rPr>
      </w:pPr>
    </w:p>
    <w:p>
      <w:pPr>
        <w:ind w:left="1200" w:hanging="359"/>
        <w:spacing w:after="0"/>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success of competing therapies that are or may become available;</w:t>
      </w:r>
    </w:p>
    <w:p>
      <w:pPr>
        <w:spacing w:after="0" w:line="104" w:lineRule="exact"/>
        <w:rPr>
          <w:rFonts w:ascii="PMingLiU" w:cs="PMingLiU" w:eastAsia="PMingLiU" w:hAnsi="PMingLiU"/>
          <w:sz w:val="20"/>
          <w:szCs w:val="20"/>
          <w:color w:val="auto"/>
        </w:rPr>
      </w:pPr>
    </w:p>
    <w:p>
      <w:pPr>
        <w:ind w:left="1200" w:hanging="359"/>
        <w:spacing w:after="0"/>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developments relating to our competitors and our industry, including competing product candidates and therapies;</w:t>
      </w:r>
    </w:p>
    <w:p>
      <w:pPr>
        <w:spacing w:after="0" w:line="104" w:lineRule="exact"/>
        <w:rPr>
          <w:rFonts w:ascii="PMingLiU" w:cs="PMingLiU" w:eastAsia="PMingLiU" w:hAnsi="PMingLiU"/>
          <w:sz w:val="20"/>
          <w:szCs w:val="20"/>
          <w:color w:val="auto"/>
        </w:rPr>
      </w:pPr>
    </w:p>
    <w:p>
      <w:pPr>
        <w:ind w:left="1200" w:right="64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plans relating to the further development and manufacturing of our product candidates, including additional indications that we may pursue;</w:t>
      </w:r>
    </w:p>
    <w:p>
      <w:pPr>
        <w:spacing w:after="0" w:line="61" w:lineRule="exact"/>
        <w:rPr>
          <w:rFonts w:ascii="PMingLiU" w:cs="PMingLiU" w:eastAsia="PMingLiU" w:hAnsi="PMingLiU"/>
          <w:sz w:val="20"/>
          <w:szCs w:val="20"/>
          <w:color w:val="auto"/>
        </w:rPr>
      </w:pPr>
    </w:p>
    <w:p>
      <w:pPr>
        <w:ind w:left="1200" w:hanging="359"/>
        <w:spacing w:after="0"/>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existing regulations and regulatory developments in the United States and other jurisdictions;</w:t>
      </w:r>
    </w:p>
    <w:p>
      <w:pPr>
        <w:spacing w:after="0" w:line="104" w:lineRule="exact"/>
        <w:rPr>
          <w:rFonts w:ascii="PMingLiU" w:cs="PMingLiU" w:eastAsia="PMingLiU" w:hAnsi="PMingLiU"/>
          <w:sz w:val="20"/>
          <w:szCs w:val="20"/>
          <w:color w:val="auto"/>
        </w:rPr>
      </w:pPr>
    </w:p>
    <w:p>
      <w:pPr>
        <w:ind w:left="1200" w:right="58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potential and ability to successfully manufacture and supply our product candidates for clinical trials and for commercial use, if approved;</w:t>
      </w:r>
    </w:p>
    <w:p>
      <w:pPr>
        <w:spacing w:after="0" w:line="61" w:lineRule="exact"/>
        <w:rPr>
          <w:rFonts w:ascii="PMingLiU" w:cs="PMingLiU" w:eastAsia="PMingLiU" w:hAnsi="PMingLiU"/>
          <w:sz w:val="20"/>
          <w:szCs w:val="20"/>
          <w:color w:val="auto"/>
        </w:rPr>
      </w:pPr>
    </w:p>
    <w:p>
      <w:pPr>
        <w:ind w:left="1200" w:right="22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continued reliance on third parties to conduct clinical trials of our product candidates, and for the manufacture of our product candidates;</w:t>
      </w:r>
    </w:p>
    <w:p>
      <w:pPr>
        <w:spacing w:after="0" w:line="61" w:lineRule="exact"/>
        <w:rPr>
          <w:rFonts w:ascii="PMingLiU" w:cs="PMingLiU" w:eastAsia="PMingLiU" w:hAnsi="PMingLiU"/>
          <w:sz w:val="20"/>
          <w:szCs w:val="20"/>
          <w:color w:val="auto"/>
        </w:rPr>
      </w:pPr>
    </w:p>
    <w:p>
      <w:pPr>
        <w:ind w:left="1200" w:right="48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plans and ability to obtain or protect intellectual property rights, including extensions of existing patent terms where available;</w:t>
      </w:r>
    </w:p>
    <w:p>
      <w:pPr>
        <w:spacing w:after="0" w:line="61" w:lineRule="exact"/>
        <w:rPr>
          <w:rFonts w:ascii="PMingLiU" w:cs="PMingLiU" w:eastAsia="PMingLiU" w:hAnsi="PMingLiU"/>
          <w:sz w:val="20"/>
          <w:szCs w:val="20"/>
          <w:color w:val="auto"/>
        </w:rPr>
      </w:pPr>
    </w:p>
    <w:p>
      <w:pPr>
        <w:ind w:left="1200" w:right="16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scope of protection we are able to establish and maintain for intellectual property rights, including our technology platform and product candidates;</w:t>
      </w:r>
    </w:p>
    <w:p>
      <w:pPr>
        <w:spacing w:after="0" w:line="61" w:lineRule="exact"/>
        <w:rPr>
          <w:rFonts w:ascii="PMingLiU" w:cs="PMingLiU" w:eastAsia="PMingLiU" w:hAnsi="PMingLiU"/>
          <w:sz w:val="20"/>
          <w:szCs w:val="20"/>
          <w:color w:val="auto"/>
        </w:rPr>
      </w:pPr>
    </w:p>
    <w:p>
      <w:pPr>
        <w:ind w:left="1200" w:right="320" w:hanging="359"/>
        <w:spacing w:after="0" w:line="261" w:lineRule="auto"/>
        <w:tabs>
          <w:tab w:leader="none" w:pos="1200" w:val="left"/>
        </w:tabs>
        <w:numPr>
          <w:ilvl w:val="0"/>
          <w:numId w:val="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retain the continued service of our key personnel, the impacts of any executive officer changes, and to identify, hire, and then retain additional qualified personnel;</w:t>
      </w:r>
    </w:p>
    <w:p>
      <w:pPr>
        <w:sectPr>
          <w:pgSz w:w="12240" w:h="15840" w:orient="portrait"/>
          <w:cols w:equalWidth="0" w:num="1">
            <w:col w:w="10700"/>
          </w:cols>
          <w:pgMar w:left="760" w:top="974" w:right="780" w:bottom="292"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ectPr>
          <w:pgSz w:w="12240" w:h="15840" w:orient="portrait"/>
          <w:cols w:equalWidth="0" w:num="1">
            <w:col w:w="10700"/>
          </w:cols>
          <w:pgMar w:left="760" w:top="974" w:right="780" w:bottom="292" w:gutter="0" w:footer="0" w:header="0"/>
          <w:type w:val="continuous"/>
        </w:sectPr>
      </w:pPr>
    </w:p>
    <w:bookmarkStart w:id="7" w:name="page8"/>
    <w:bookmarkEnd w:id="7"/>
    <w:p>
      <w:pPr>
        <w:ind w:left="1200" w:right="20" w:hanging="359"/>
        <w:spacing w:after="0" w:line="245" w:lineRule="auto"/>
        <w:tabs>
          <w:tab w:leader="none" w:pos="120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impact of 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w:t>
      </w:r>
    </w:p>
    <w:p>
      <w:pPr>
        <w:spacing w:after="0" w:line="80" w:lineRule="exact"/>
        <w:rPr>
          <w:rFonts w:ascii="PMingLiU" w:cs="PMingLiU" w:eastAsia="PMingLiU" w:hAnsi="PMingLiU"/>
          <w:sz w:val="20"/>
          <w:szCs w:val="20"/>
          <w:color w:val="auto"/>
        </w:rPr>
      </w:pPr>
    </w:p>
    <w:p>
      <w:pPr>
        <w:ind w:left="1200" w:hanging="359"/>
        <w:spacing w:after="0" w:line="261" w:lineRule="auto"/>
        <w:tabs>
          <w:tab w:leader="none" w:pos="120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plans for and prospects of our acquisitions and other business development activities, and our ability to successfully capitalize on these opportunities;</w:t>
      </w:r>
    </w:p>
    <w:p>
      <w:pPr>
        <w:spacing w:after="0" w:line="61" w:lineRule="exact"/>
        <w:rPr>
          <w:rFonts w:ascii="PMingLiU" w:cs="PMingLiU" w:eastAsia="PMingLiU" w:hAnsi="PMingLiU"/>
          <w:sz w:val="20"/>
          <w:szCs w:val="20"/>
          <w:color w:val="auto"/>
        </w:rPr>
      </w:pPr>
    </w:p>
    <w:p>
      <w:pPr>
        <w:ind w:left="1200" w:hanging="359"/>
        <w:spacing w:after="0"/>
        <w:tabs>
          <w:tab w:leader="none" w:pos="120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changes in our financial and internal controls; and</w:t>
      </w:r>
    </w:p>
    <w:p>
      <w:pPr>
        <w:spacing w:after="0" w:line="104" w:lineRule="exact"/>
        <w:rPr>
          <w:rFonts w:ascii="PMingLiU" w:cs="PMingLiU" w:eastAsia="PMingLiU" w:hAnsi="PMingLiU"/>
          <w:sz w:val="20"/>
          <w:szCs w:val="20"/>
          <w:color w:val="auto"/>
        </w:rPr>
      </w:pPr>
    </w:p>
    <w:p>
      <w:pPr>
        <w:ind w:left="1200" w:right="440" w:hanging="359"/>
        <w:spacing w:after="0" w:line="261" w:lineRule="auto"/>
        <w:tabs>
          <w:tab w:leader="none" w:pos="1200" w:val="left"/>
        </w:tabs>
        <w:numPr>
          <w:ilvl w:val="0"/>
          <w:numId w:val="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anticipated use of our existing cash and cash equivalents, short-term and long-term investments, and the funds available from our term loan.</w:t>
      </w:r>
    </w:p>
    <w:p>
      <w:pPr>
        <w:spacing w:after="0" w:line="181" w:lineRule="exact"/>
        <w:rPr>
          <w:sz w:val="20"/>
          <w:szCs w:val="20"/>
          <w:color w:val="auto"/>
        </w:rPr>
      </w:pPr>
    </w:p>
    <w:p>
      <w:pPr>
        <w:ind w:right="20" w:firstLine="487"/>
        <w:spacing w:after="0" w:line="242" w:lineRule="auto"/>
        <w:rPr>
          <w:sz w:val="20"/>
          <w:szCs w:val="20"/>
          <w:color w:val="auto"/>
        </w:rPr>
      </w:pPr>
      <w:r>
        <w:rPr>
          <w:rFonts w:ascii="Times New Roman" w:cs="Times New Roman" w:eastAsia="Times New Roman" w:hAnsi="Times New Roman"/>
          <w:sz w:val="20"/>
          <w:szCs w:val="20"/>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204" w:lineRule="exact"/>
        <w:rPr>
          <w:sz w:val="20"/>
          <w:szCs w:val="20"/>
          <w:color w:val="auto"/>
        </w:rPr>
      </w:pPr>
    </w:p>
    <w:p>
      <w:pPr>
        <w:ind w:right="40" w:firstLine="487"/>
        <w:spacing w:after="0" w:line="247" w:lineRule="auto"/>
        <w:rPr>
          <w:sz w:val="20"/>
          <w:szCs w:val="20"/>
          <w:color w:val="auto"/>
        </w:rPr>
      </w:pPr>
      <w:r>
        <w:rPr>
          <w:rFonts w:ascii="Times New Roman" w:cs="Times New Roman" w:eastAsia="Times New Roman" w:hAnsi="Times New Roman"/>
          <w:sz w:val="20"/>
          <w:szCs w:val="20"/>
          <w:color w:val="auto"/>
        </w:rPr>
        <w:t>In addition, statements that “we believe” and similar statements reflect our beliefs and opinions on the relevant subject. These statements are based upon information available to us as of the date of this Annual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ectPr>
          <w:pgSz w:w="12240" w:h="15840" w:orient="portrait"/>
          <w:cols w:equalWidth="0" w:num="1">
            <w:col w:w="10720"/>
          </w:cols>
          <w:pgMar w:left="760" w:top="978" w:right="760" w:bottom="223"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73"/>
        </w:trPr>
        <w:tc>
          <w:tcPr>
            <w:tcW w:w="940" w:type="dxa"/>
            <w:vAlign w:val="bottom"/>
          </w:tcPr>
          <w:p>
            <w:pPr>
              <w:spacing w:after="0"/>
              <w:rPr>
                <w:sz w:val="23"/>
                <w:szCs w:val="23"/>
                <w:color w:val="auto"/>
              </w:rPr>
            </w:pPr>
          </w:p>
        </w:tc>
        <w:tc>
          <w:tcPr>
            <w:tcW w:w="9080" w:type="dxa"/>
            <w:vAlign w:val="bottom"/>
          </w:tcPr>
          <w:p>
            <w:pPr>
              <w:ind w:left="366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9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PART I</w:t>
            </w:r>
          </w:p>
        </w:tc>
        <w:tc>
          <w:tcPr>
            <w:tcW w:w="9080" w:type="dxa"/>
            <w:vAlign w:val="bottom"/>
          </w:tcPr>
          <w:p>
            <w:pPr>
              <w:spacing w:after="0"/>
              <w:rPr>
                <w:sz w:val="24"/>
                <w:szCs w:val="24"/>
                <w:color w:val="auto"/>
              </w:rPr>
            </w:pPr>
          </w:p>
        </w:tc>
        <w:tc>
          <w:tcPr>
            <w:tcW w:w="7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24"/>
        </w:trPr>
        <w:tc>
          <w:tcPr>
            <w:tcW w:w="940" w:type="dxa"/>
            <w:vAlign w:val="bottom"/>
            <w:vMerge w:val="continue"/>
          </w:tcPr>
          <w:p>
            <w:pPr>
              <w:spacing w:after="0"/>
              <w:rPr>
                <w:sz w:val="19"/>
                <w:szCs w:val="19"/>
                <w:color w:val="auto"/>
              </w:rPr>
            </w:pPr>
          </w:p>
        </w:tc>
        <w:tc>
          <w:tcPr>
            <w:tcW w:w="9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Business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1A.</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1B.</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1C.</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Cybersecurity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2.</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3.</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26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4.</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9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5.</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Market for Registrant’s Common Equity, Related Stockholder Matters and Issuer Purchases of Equity Securities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6.</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[Reserved]</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7A.</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8.</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 Financial Disclosure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9A.</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9B.</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26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9C.</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w:t>
            </w:r>
          </w:p>
        </w:tc>
        <w:tc>
          <w:tcPr>
            <w:tcW w:w="0" w:type="dxa"/>
            <w:vAlign w:val="bottom"/>
          </w:tcPr>
          <w:p>
            <w:pPr>
              <w:spacing w:after="0"/>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9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10.</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11.</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12.</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 Related Stockholder Matters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13.</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 Independence</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26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14.</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0" w:type="dxa"/>
            <w:vAlign w:val="bottom"/>
          </w:tcPr>
          <w:p>
            <w:pPr>
              <w:spacing w:after="0"/>
              <w:rPr>
                <w:sz w:val="1"/>
                <w:szCs w:val="1"/>
                <w:color w:val="auto"/>
              </w:rPr>
            </w:pPr>
          </w:p>
        </w:tc>
      </w:tr>
      <w:tr>
        <w:trPr>
          <w:trHeight w:val="465"/>
        </w:trPr>
        <w:tc>
          <w:tcPr>
            <w:tcW w:w="9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 IV</w:t>
            </w:r>
          </w:p>
        </w:tc>
        <w:tc>
          <w:tcPr>
            <w:tcW w:w="9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15.</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Exhibits, Financial Statement Schedules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w:t>
            </w:r>
          </w:p>
        </w:tc>
        <w:tc>
          <w:tcPr>
            <w:tcW w:w="0" w:type="dxa"/>
            <w:vAlign w:val="bottom"/>
          </w:tcPr>
          <w:p>
            <w:pPr>
              <w:spacing w:after="0"/>
              <w:rPr>
                <w:sz w:val="1"/>
                <w:szCs w:val="1"/>
                <w:color w:val="auto"/>
              </w:rPr>
            </w:pPr>
          </w:p>
        </w:tc>
      </w:tr>
      <w:tr>
        <w:trPr>
          <w:trHeight w:val="265"/>
        </w:trPr>
        <w:tc>
          <w:tcPr>
            <w:tcW w:w="94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Item 16.</w:t>
            </w:r>
          </w:p>
        </w:tc>
        <w:tc>
          <w:tcPr>
            <w:tcW w:w="90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10-K Summary</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w:t>
            </w:r>
          </w:p>
        </w:tc>
        <w:tc>
          <w:tcPr>
            <w:tcW w:w="0" w:type="dxa"/>
            <w:vAlign w:val="bottom"/>
          </w:tcPr>
          <w:p>
            <w:pPr>
              <w:spacing w:after="0"/>
              <w:rPr>
                <w:sz w:val="1"/>
                <w:szCs w:val="1"/>
                <w:color w:val="auto"/>
              </w:rPr>
            </w:pPr>
          </w:p>
        </w:tc>
      </w:tr>
      <w:tr>
        <w:trPr>
          <w:trHeight w:val="491"/>
        </w:trPr>
        <w:tc>
          <w:tcPr>
            <w:tcW w:w="100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SIGNATURES</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760" w:top="974" w:right="760" w:bottom="2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iii</w:t>
      </w:r>
    </w:p>
    <w:p>
      <w:pPr>
        <w:sectPr>
          <w:pgSz w:w="12240" w:h="15840" w:orient="portrait"/>
          <w:cols w:equalWidth="0" w:num="1">
            <w:col w:w="10720"/>
          </w:cols>
          <w:pgMar w:left="760" w:top="974" w:right="760" w:bottom="234"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80"/>
        <w:spacing w:after="0"/>
        <w:rPr>
          <w:sz w:val="20"/>
          <w:szCs w:val="20"/>
          <w:color w:val="auto"/>
        </w:rPr>
      </w:pPr>
      <w:r>
        <w:rPr>
          <w:rFonts w:ascii="PMingLiU" w:cs="PMingLiU" w:eastAsia="PMingLiU" w:hAnsi="PMingLiU"/>
          <w:sz w:val="14"/>
          <w:szCs w:val="14"/>
          <w:color w:val="auto"/>
        </w:rPr>
        <w:t>&gt;7KLVSDJHLQWHQWLRQDOO\OHIWEODQN@</w:t>
      </w:r>
    </w:p>
    <w:p>
      <w:pPr>
        <w:sectPr>
          <w:pgSz w:w="12240" w:h="15840" w:orient="portrait"/>
          <w:cols w:equalWidth="0" w:num="1">
            <w:col w:w="9360"/>
          </w:cols>
          <w:pgMar w:left="1440" w:top="1440"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2"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20"/>
          <w:szCs w:val="20"/>
          <w:color w:val="auto"/>
        </w:rPr>
        <w:t>We are a clinical-stage biotechnology company advancing a pipeline of novel therapies designed to treat cancer and extend patients’ lives. Our clinical pipeline includes two clinical-stage product candidates, the CD47 blocker evorpacept and an epidermal growth factor receptor (EGFR)-targeted antibody drug candidate (ADC) ALX2004. Our lead product candidate, evorpacept, has demonstrated potential to serve as a cornerstone therapy upon which the future of immuno-oncology can be built for patients whose cancer over-expresses CD47. Evorpacept is currently being evaluated in combination with trastuzumab and chemotherapy in patients with metastatic HER2-positive breast cancer in the Phase 2 ASPEN-09-Breast clinical trial and is also being studied in clinical trials with other targeted anti-cancer antibodies. Cancer cells leverage CD47, a cell surface protein, as a “don’t eat me” signal to evade macrophage phagocytosis. We are developing evorpacept to be a next-generation checkpoint inhibitor designed to have a high affinity for CD47 and to avoid the limitations caused by hematologic toxicities inherent in other CD47 blocking approaches. Our second pipeline candidate, ALX2004, is a novel EGFR-targeted antibody-drug conjugate with a differentiated mechanism of action entered into a Phase 1 clinical trial in August 2025.</w:t>
      </w:r>
    </w:p>
    <w:p>
      <w:pPr>
        <w:spacing w:after="0" w:line="81"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20"/>
          <w:szCs w:val="20"/>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89"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20"/>
          <w:szCs w:val="20"/>
          <w:color w:val="auto"/>
        </w:rPr>
        <w:t>ALX Oncology was founded to address fundamental challenges in blocking CD47 and to realize the full potential of this therapeutic target. Clinical data on competing CD47 blockers to date have come from molecules that incorporate an active antibody Fc region in addition to a CD47 blocking region. The Fc region provides a positive, pro- 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81" w:lineRule="exact"/>
        <w:rPr>
          <w:sz w:val="20"/>
          <w:szCs w:val="20"/>
          <w:color w:val="auto"/>
        </w:rPr>
      </w:pPr>
    </w:p>
    <w:p>
      <w:pPr>
        <w:ind w:right="140" w:firstLine="486"/>
        <w:spacing w:after="0" w:line="244" w:lineRule="auto"/>
        <w:rPr>
          <w:sz w:val="20"/>
          <w:szCs w:val="20"/>
          <w:color w:val="auto"/>
        </w:rPr>
      </w:pPr>
      <w:r>
        <w:rPr>
          <w:rFonts w:ascii="Times New Roman" w:cs="Times New Roman" w:eastAsia="Times New Roman" w:hAnsi="Times New Roman"/>
          <w:sz w:val="20"/>
          <w:szCs w:val="20"/>
          <w:color w:val="auto"/>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6,53Į  a protein found on myeloid cells such as macrophages, that is the natural receptor to CD47.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82" w:lineRule="exact"/>
        <w:rPr>
          <w:sz w:val="20"/>
          <w:szCs w:val="20"/>
          <w:color w:val="auto"/>
        </w:rPr>
      </w:pPr>
    </w:p>
    <w:p>
      <w:pPr>
        <w:ind w:right="100" w:firstLine="486"/>
        <w:spacing w:after="0" w:line="259" w:lineRule="auto"/>
        <w:rPr>
          <w:sz w:val="20"/>
          <w:szCs w:val="20"/>
          <w:color w:val="auto"/>
        </w:rPr>
      </w:pPr>
      <w:r>
        <w:rPr>
          <w:rFonts w:ascii="Times New Roman" w:cs="Times New Roman" w:eastAsia="Times New Roman" w:hAnsi="Times New Roman"/>
          <w:sz w:val="19"/>
          <w:szCs w:val="19"/>
          <w:color w:val="auto"/>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increased tumor penetration, and greater combination potential with other leading anti-cancer agents. Additionally, the molecular weight of evorpacept is half that of a typical antibody, therefore allowing for higher dosing (10 mg/kg of evorpacept is equivalent to 20 mg/kg of a regular antibody). The relatively smaller size of our molecule may facilitate increased penetrance into the tumor microenvironment. We believe these properties may enable evorpacept to provide superior therapeutic benefits.</w:t>
      </w:r>
    </w:p>
    <w:p>
      <w:pPr>
        <w:spacing w:after="0" w:line="68"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20"/>
          <w:szCs w:val="20"/>
          <w:color w:val="auto"/>
        </w:rPr>
        <w:t>Clinical data to date in evorpacept have not shown the dose-dependent hematologic toxicities characteristic of other CD47 blockers that incorporate an active Fc domain. Approximately 800 subjects have been treated with evorpacept in combination with targeted anti-cancer agents, small molecules, and checkpoint inhibitors to date. Evorpacept has not reached a maximum tolerated dose in any of the combinations evaluated to date.</w:t>
      </w:r>
    </w:p>
    <w:p>
      <w:pPr>
        <w:sectPr>
          <w:pgSz w:w="12240" w:h="15840" w:orient="portrait"/>
          <w:cols w:equalWidth="0" w:num="1">
            <w:col w:w="10720"/>
          </w:cols>
          <w:pgMar w:left="760" w:top="974" w:right="760" w:bottom="2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ectPr>
          <w:pgSz w:w="12240" w:h="15840" w:orient="portrait"/>
          <w:cols w:equalWidth="0" w:num="1">
            <w:col w:w="10720"/>
          </w:cols>
          <w:pgMar w:left="760" w:top="974" w:right="760" w:bottom="280" w:gutter="0" w:footer="0" w:header="0"/>
          <w:type w:val="continuous"/>
        </w:sectPr>
      </w:pPr>
    </w:p>
    <w:bookmarkStart w:id="11" w:name="page12"/>
    <w:bookmarkEnd w:id="11"/>
    <w:p>
      <w:pPr>
        <w:jc w:val="both"/>
        <w:ind w:right="500" w:firstLine="486"/>
        <w:spacing w:after="0" w:line="276" w:lineRule="auto"/>
        <w:rPr>
          <w:sz w:val="20"/>
          <w:szCs w:val="20"/>
          <w:color w:val="auto"/>
        </w:rPr>
      </w:pPr>
      <w:r>
        <w:rPr>
          <w:rFonts w:ascii="Times New Roman" w:cs="Times New Roman" w:eastAsia="Times New Roman" w:hAnsi="Times New Roman"/>
          <w:sz w:val="19"/>
          <w:szCs w:val="19"/>
          <w:color w:val="auto"/>
        </w:rPr>
        <w:t>We are focused on evorpacept development with the standard-of-care agents that provide a stimulatory signal to the innate immune system. We are combining evorpacept with anti-cancer targeted antibodies with an active Fc domain, where evorpacept enables the Fc-mediated antibody dependent phagocytosis that is impaired by the expression of CD47 on cancer cells.</w:t>
      </w:r>
    </w:p>
    <w:p>
      <w:pPr>
        <w:spacing w:after="0" w:line="51" w:lineRule="exact"/>
        <w:rPr>
          <w:sz w:val="20"/>
          <w:szCs w:val="20"/>
          <w:color w:val="auto"/>
        </w:rPr>
      </w:pPr>
    </w:p>
    <w:p>
      <w:pPr>
        <w:ind w:right="220" w:firstLine="486"/>
        <w:spacing w:after="0" w:line="234" w:lineRule="auto"/>
        <w:rPr>
          <w:sz w:val="20"/>
          <w:szCs w:val="20"/>
          <w:color w:val="auto"/>
        </w:rPr>
      </w:pPr>
      <w:r>
        <w:rPr>
          <w:rFonts w:ascii="Times New Roman" w:cs="Times New Roman" w:eastAsia="Times New Roman" w:hAnsi="Times New Roman"/>
          <w:sz w:val="20"/>
          <w:szCs w:val="20"/>
          <w:color w:val="auto"/>
        </w:rPr>
        <w:t>Data from the randomized ASPEN-06 Phase 2 clinical trial supports the clinical validation of this mechanism of action. ASPEN-06 evaluates the contribution of evorpacept to HERCEPTIN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(trastuzumab) plus standard of care (CYRAMZA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The full data set was previously presented. Results from a pre-planned exploratory analysis were presented at the Society for Immunotherapy of Cancer (SITC) Annual Meeting:</w:t>
      </w:r>
    </w:p>
    <w:p>
      <w:pPr>
        <w:spacing w:after="0" w:line="88" w:lineRule="exact"/>
        <w:rPr>
          <w:sz w:val="20"/>
          <w:szCs w:val="20"/>
          <w:color w:val="auto"/>
        </w:rPr>
      </w:pPr>
    </w:p>
    <w:p>
      <w:pPr>
        <w:ind w:left="960" w:right="260" w:hanging="477"/>
        <w:spacing w:after="0" w:line="244" w:lineRule="auto"/>
        <w:tabs>
          <w:tab w:leader="none" w:pos="960" w:val="left"/>
        </w:tabs>
        <w:numPr>
          <w:ilvl w:val="0"/>
          <w:numId w:val="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 a pre-planned exploratory analysis of the ASPEN-06 clinical trial in gastric cancer, CD47 overexpression was identified as a key predictive biomarker for response and durable benefit in patients with retained HER2 expression. Retained HER2 expression is defined as patients who are HER-2 positive on a tumor biopsy after receiving a HER2-targeted treatment or by HER2 amplification by circulating tumor DNA (ctDNA). The data was highlighted as part of a poster presentation at the SITC Annual Meeting in November 2025.</w:t>
      </w:r>
    </w:p>
    <w:p>
      <w:pPr>
        <w:spacing w:after="0" w:line="93" w:lineRule="exact"/>
        <w:rPr>
          <w:rFonts w:ascii="PMingLiU" w:cs="PMingLiU" w:eastAsia="PMingLiU" w:hAnsi="PMingLiU"/>
          <w:sz w:val="20"/>
          <w:szCs w:val="20"/>
          <w:color w:val="auto"/>
        </w:rPr>
      </w:pPr>
    </w:p>
    <w:p>
      <w:pPr>
        <w:ind w:left="1560" w:right="320" w:hanging="490"/>
        <w:spacing w:after="0" w:line="256" w:lineRule="auto"/>
        <w:tabs>
          <w:tab w:leader="none" w:pos="1560" w:val="left"/>
        </w:tabs>
        <w:numPr>
          <w:ilvl w:val="1"/>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In patients with retained HER2-positive and CD47-high gastric cancer (n=43), Evo-TRP had a 65.0% objective response rate (ORR) versus 26.1% ORR for TRP, while patients with retained HER2-positive and CD47-low gastric cancer (n=47), Evo-TRP had a 37.5% ORR compared to 26.1% ORR for TRP.</w:t>
      </w:r>
    </w:p>
    <w:p>
      <w:pPr>
        <w:spacing w:after="0" w:line="81" w:lineRule="exact"/>
        <w:rPr>
          <w:rFonts w:ascii="Arial" w:cs="Arial" w:eastAsia="Arial" w:hAnsi="Arial"/>
          <w:sz w:val="20"/>
          <w:szCs w:val="20"/>
          <w:color w:val="auto"/>
        </w:rPr>
      </w:pPr>
    </w:p>
    <w:p>
      <w:pPr>
        <w:ind w:left="1560" w:hanging="490"/>
        <w:spacing w:after="0" w:line="244" w:lineRule="auto"/>
        <w:tabs>
          <w:tab w:leader="none" w:pos="1560" w:val="left"/>
        </w:tabs>
        <w:numPr>
          <w:ilvl w:val="1"/>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The duration of response (DOR) was three times longer in the Evo-TRP arm relative to TRP in these patients. Evo-TRP had a median DOR (mDOR) of 25.5 months versus 8.4 months mDOR for TRP, while patients with retained HER2-positive and CD47-low gastric cancer, had an mDOR of 11.2 months for Evo-TRP compared to 12 months for TRP. Progression free survival (PFS) and overall survival (OS) data were evaluated in these patients. Treatment with Evo-TRP resulted in a median PFS (mPFS) of 18.4 months versus 7.0 months for TRP, hazard ratio (HR) of 0.39. Treatment with Evo-TRP resulted in a median OS (mOS) of 17 months versus 9.9 months for TRP, HR of 0.70.</w:t>
      </w:r>
    </w:p>
    <w:p>
      <w:pPr>
        <w:spacing w:after="0" w:line="81" w:lineRule="exact"/>
        <w:rPr>
          <w:sz w:val="20"/>
          <w:szCs w:val="20"/>
          <w:color w:val="auto"/>
        </w:rPr>
      </w:pPr>
    </w:p>
    <w:p>
      <w:pPr>
        <w:ind w:right="120" w:firstLine="486"/>
        <w:spacing w:after="0" w:line="244" w:lineRule="auto"/>
        <w:rPr>
          <w:sz w:val="20"/>
          <w:szCs w:val="20"/>
          <w:color w:val="auto"/>
        </w:rPr>
      </w:pPr>
      <w:r>
        <w:rPr>
          <w:rFonts w:ascii="Times New Roman" w:cs="Times New Roman" w:eastAsia="Times New Roman" w:hAnsi="Times New Roman"/>
          <w:sz w:val="20"/>
          <w:szCs w:val="20"/>
          <w:color w:val="auto"/>
        </w:rPr>
        <w:t>Evorpacept has been combined in clinical trials with multiple anti-cancer antibodies in addition to trastuzumab, including the CD20-targeted antibody rituximab, the CD38-targeted antibody isatuximab</w:t>
      </w:r>
      <w:r>
        <w:rPr>
          <w:rFonts w:ascii="Times New Roman" w:cs="Times New Roman" w:eastAsia="Times New Roman" w:hAnsi="Times New Roman"/>
          <w:sz w:val="20"/>
          <w:szCs w:val="20"/>
          <w:i w:val="1"/>
          <w:iCs w:val="1"/>
          <w:color w:val="auto"/>
        </w:rPr>
        <w:t>-irfc</w:t>
      </w:r>
      <w:r>
        <w:rPr>
          <w:rFonts w:ascii="Times New Roman" w:cs="Times New Roman" w:eastAsia="Times New Roman" w:hAnsi="Times New Roman"/>
          <w:sz w:val="20"/>
          <w:szCs w:val="20"/>
          <w:color w:val="auto"/>
        </w:rPr>
        <w:t>, and the HER2-targeted bispecific antibody zanidatamab. Our earlier ASPEN-01 Phase 1 positive data in combination with rituximab in non-Hodgkin lymphoma (NHL); the Phase 1/2 investigator-sponsored trial (IST) of evorpacept in combination with rituximab and lenalidomide in patients with relapsed refractory B-cell NHL (R/R B-NHL) and subsequently, in patients with newly diagnosed indolent B-cell NHL (iNHL); and the Phase 1b/2 trial of evorpacept with zanidatamab in patients with HER2-positive breast cancer provide additional support for the clinical validation of this mechanism of action and support exploring combinations of evorpacept with other anti-cancer antibodies.</w:t>
      </w:r>
    </w:p>
    <w:p>
      <w:pPr>
        <w:spacing w:after="0" w:line="82" w:lineRule="exact"/>
        <w:rPr>
          <w:sz w:val="20"/>
          <w:szCs w:val="20"/>
          <w:color w:val="auto"/>
        </w:rPr>
      </w:pPr>
    </w:p>
    <w:p>
      <w:pPr>
        <w:ind w:right="160" w:firstLine="486"/>
        <w:spacing w:after="0" w:line="244" w:lineRule="auto"/>
        <w:rPr>
          <w:sz w:val="20"/>
          <w:szCs w:val="20"/>
          <w:color w:val="auto"/>
        </w:rPr>
      </w:pPr>
      <w:r>
        <w:rPr>
          <w:rFonts w:ascii="Times New Roman" w:cs="Times New Roman" w:eastAsia="Times New Roman" w:hAnsi="Times New Roman"/>
          <w:sz w:val="20"/>
          <w:szCs w:val="20"/>
          <w:color w:val="auto"/>
        </w:rPr>
        <w:t>Our second product candidate is ALX2004, a novel EGFR-targeted ADC. ALX2004 was created from our proprietary linker-payload library and fully designed and developed in-house by our scientists. ALX2004 comprises a matuzumab-derived affinity-selected EGFR antibody backbone engineered for optimal activity as an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are engaged in the following clinical programs, collaborations, and investigator-sponsored trials: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Evorpacept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HER2-targeted antibody trastuzumab</w:t>
      </w:r>
    </w:p>
    <w:p>
      <w:pPr>
        <w:spacing w:after="0" w:line="116" w:lineRule="exact"/>
        <w:rPr>
          <w:sz w:val="20"/>
          <w:szCs w:val="20"/>
          <w:color w:val="auto"/>
        </w:rPr>
      </w:pPr>
    </w:p>
    <w:p>
      <w:pPr>
        <w:ind w:left="960" w:hanging="477"/>
        <w:spacing w:after="0"/>
        <w:tabs>
          <w:tab w:leader="none" w:pos="960" w:val="left"/>
        </w:tabs>
        <w:numPr>
          <w:ilvl w:val="0"/>
          <w:numId w:val="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ASPEN-09-Breast – HER2+ Breast Cancer</w:t>
      </w:r>
    </w:p>
    <w:p>
      <w:pPr>
        <w:spacing w:after="0" w:line="39" w:lineRule="exact"/>
        <w:rPr>
          <w:rFonts w:ascii="PMingLiU" w:cs="PMingLiU" w:eastAsia="PMingLiU" w:hAnsi="PMingLiU"/>
          <w:sz w:val="20"/>
          <w:szCs w:val="20"/>
          <w:color w:val="auto"/>
        </w:rPr>
      </w:pPr>
    </w:p>
    <w:p>
      <w:pPr>
        <w:ind w:left="1560" w:right="480" w:hanging="490"/>
        <w:spacing w:after="0" w:line="256" w:lineRule="auto"/>
        <w:tabs>
          <w:tab w:leader="none" w:pos="156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spacing w:after="0" w:line="2" w:lineRule="exact"/>
        <w:rPr>
          <w:rFonts w:ascii="Arial" w:cs="Arial" w:eastAsia="Arial" w:hAnsi="Arial"/>
          <w:sz w:val="20"/>
          <w:szCs w:val="20"/>
          <w:color w:val="auto"/>
        </w:rPr>
      </w:pPr>
    </w:p>
    <w:p>
      <w:pPr>
        <w:ind w:left="1560" w:right="140" w:hanging="490"/>
        <w:spacing w:after="0" w:line="250" w:lineRule="auto"/>
        <w:tabs>
          <w:tab w:leader="none" w:pos="156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2025, we announced that based on the magnitude of benefit in patients with high CD47 expression in HER2-positive gastric cancer, the ASPEN-09-Breast study in HER2-positive breast cancer evaluating evorpacept in combination with trastuzumab and chemotherapy has been amended to a single-arm design in all previously treated HER2 positive patients and will be evaluated by CD47 expression.</w:t>
      </w:r>
    </w:p>
    <w:p>
      <w:pPr>
        <w:spacing w:after="0" w:line="8" w:lineRule="exact"/>
        <w:rPr>
          <w:rFonts w:ascii="Arial" w:cs="Arial" w:eastAsia="Arial" w:hAnsi="Arial"/>
          <w:sz w:val="20"/>
          <w:szCs w:val="20"/>
          <w:color w:val="auto"/>
        </w:rPr>
      </w:pPr>
    </w:p>
    <w:p>
      <w:pPr>
        <w:ind w:left="1560" w:hanging="490"/>
        <w:spacing w:after="0"/>
        <w:tabs>
          <w:tab w:leader="none" w:pos="1560" w:val="left"/>
        </w:tabs>
        <w:numPr>
          <w:ilvl w:val="1"/>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2026, we announced that the first patient had been dosed in the trial.</w:t>
      </w:r>
    </w:p>
    <w:p>
      <w:pPr>
        <w:sectPr>
          <w:pgSz w:w="12240" w:h="15840" w:orient="portrait"/>
          <w:cols w:equalWidth="0" w:num="1">
            <w:col w:w="10720"/>
          </w:cols>
          <w:pgMar w:left="760" w:top="978" w:right="760" w:bottom="2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ectPr>
          <w:pgSz w:w="12240" w:h="15840" w:orient="portrait"/>
          <w:cols w:equalWidth="0" w:num="1">
            <w:col w:w="10720"/>
          </w:cols>
          <w:pgMar w:left="760" w:top="978" w:right="760" w:bottom="280" w:gutter="0" w:footer="0" w:header="0"/>
          <w:type w:val="continuous"/>
        </w:sectPr>
      </w:pPr>
    </w:p>
    <w:bookmarkStart w:id="12" w:name="page13"/>
    <w:bookmarkEnd w:id="12"/>
    <w:p>
      <w:pPr>
        <w:ind w:left="477" w:hanging="477"/>
        <w:spacing w:after="0"/>
        <w:tabs>
          <w:tab w:leader="none" w:pos="477" w:val="left"/>
        </w:tabs>
        <w:numPr>
          <w:ilvl w:val="0"/>
          <w:numId w:val="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ASPEN-06 – Gastric/GEJ Cancer</w:t>
      </w:r>
    </w:p>
    <w:p>
      <w:pPr>
        <w:spacing w:after="0" w:line="39" w:lineRule="exact"/>
        <w:rPr>
          <w:rFonts w:ascii="PMingLiU" w:cs="PMingLiU" w:eastAsia="PMingLiU" w:hAnsi="PMingLiU"/>
          <w:sz w:val="20"/>
          <w:szCs w:val="20"/>
          <w:color w:val="auto"/>
        </w:rPr>
      </w:pPr>
    </w:p>
    <w:p>
      <w:pPr>
        <w:ind w:left="1077" w:right="480" w:hanging="490"/>
        <w:spacing w:after="0" w:line="250"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spacing w:after="0" w:line="8" w:lineRule="exact"/>
        <w:rPr>
          <w:rFonts w:ascii="Arial" w:cs="Arial" w:eastAsia="Arial" w:hAnsi="Arial"/>
          <w:sz w:val="20"/>
          <w:szCs w:val="20"/>
          <w:color w:val="auto"/>
        </w:rPr>
      </w:pPr>
    </w:p>
    <w:p>
      <w:pPr>
        <w:ind w:left="1077" w:right="100" w:hanging="490"/>
        <w:spacing w:after="0" w:line="266"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2022, the FDA’s Office of Orphan Products Development granted Orphan Drug Designation (ODD) to evorpacept for the treatment of patients with gastric/GEJ cancer.</w:t>
      </w:r>
    </w:p>
    <w:p>
      <w:pPr>
        <w:jc w:val="both"/>
        <w:ind w:left="1077" w:right="280" w:hanging="490"/>
        <w:spacing w:after="0" w:line="250"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spacing w:after="0" w:line="8" w:lineRule="exact"/>
        <w:rPr>
          <w:rFonts w:ascii="Arial" w:cs="Arial" w:eastAsia="Arial" w:hAnsi="Arial"/>
          <w:sz w:val="20"/>
          <w:szCs w:val="20"/>
          <w:color w:val="auto"/>
        </w:rPr>
      </w:pPr>
    </w:p>
    <w:p>
      <w:pPr>
        <w:ind w:left="1077" w:right="40" w:hanging="490"/>
        <w:spacing w:after="0" w:line="266"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June 2023, the European Commission granted ODD to evorpacept for the treatment of patients with gastric/GEJ cancer.</w:t>
      </w:r>
    </w:p>
    <w:p>
      <w:pPr>
        <w:ind w:left="1077" w:right="120" w:hanging="490"/>
        <w:spacing w:after="0" w:line="260" w:lineRule="auto"/>
        <w:tabs>
          <w:tab w:leader="none" w:pos="1077" w:val="left"/>
        </w:tabs>
        <w:numPr>
          <w:ilvl w:val="1"/>
          <w:numId w:val="7"/>
        </w:numPr>
        <w:rPr>
          <w:rFonts w:ascii="Arial" w:cs="Arial" w:eastAsia="Arial" w:hAnsi="Arial"/>
          <w:sz w:val="19"/>
          <w:szCs w:val="19"/>
          <w:color w:val="auto"/>
        </w:rPr>
      </w:pPr>
      <w:r>
        <w:rPr>
          <w:rFonts w:ascii="Times New Roman" w:cs="Times New Roman" w:eastAsia="Times New Roman" w:hAnsi="Times New Roman"/>
          <w:sz w:val="19"/>
          <w:szCs w:val="19"/>
          <w:color w:val="auto"/>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spacing w:after="0" w:line="3" w:lineRule="exact"/>
        <w:rPr>
          <w:rFonts w:ascii="Arial" w:cs="Arial" w:eastAsia="Arial" w:hAnsi="Arial"/>
          <w:sz w:val="19"/>
          <w:szCs w:val="19"/>
          <w:color w:val="auto"/>
        </w:rPr>
      </w:pPr>
    </w:p>
    <w:p>
      <w:pPr>
        <w:ind w:left="1077" w:hanging="490"/>
        <w:spacing w:after="0" w:line="235"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spacing w:after="0" w:line="22" w:lineRule="exact"/>
        <w:rPr>
          <w:rFonts w:ascii="Arial" w:cs="Arial" w:eastAsia="Arial" w:hAnsi="Arial"/>
          <w:sz w:val="20"/>
          <w:szCs w:val="20"/>
          <w:color w:val="auto"/>
        </w:rPr>
      </w:pPr>
    </w:p>
    <w:p>
      <w:pPr>
        <w:ind w:left="1077" w:right="140" w:hanging="490"/>
        <w:spacing w:after="0" w:line="252"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2025, we presented updated results from the ASPEN-06 Phase 2 clinical trial in an oral presentation at the 2025 American Society of Clinical Oncology Gastrointestinal Cancers Symposium. A confirmed ORR of</w:t>
      </w:r>
    </w:p>
    <w:p>
      <w:pPr>
        <w:ind w:left="1077" w:right="2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41.3% was demonstrated for the Evo-TRP treatment arm compared to 26.6% for the TRP control arm in the intent-to-treat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spacing w:after="0" w:line="18" w:lineRule="exact"/>
        <w:rPr>
          <w:rFonts w:ascii="Arial" w:cs="Arial" w:eastAsia="Arial" w:hAnsi="Arial"/>
          <w:sz w:val="20"/>
          <w:szCs w:val="20"/>
          <w:color w:val="auto"/>
        </w:rPr>
      </w:pPr>
    </w:p>
    <w:p>
      <w:pPr>
        <w:ind w:left="1077" w:hanging="490"/>
        <w:spacing w:after="0" w:line="245"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April 2025, we received guidance from the FDA that the ASPEN-06 Phase 2 trial data evaluating Evo-TRP was not eligible for submission for accelerated approval given the availability of ENHERTU. A Phase 3 versus ENHERTU trial would be needed to pursue a regulatory approval of evorpacept in the second-line setting for HER2-positive gastric and GEJ. Given our disciplined focus and the allocation of our resources, we will not pursue a U.S. registrational path with a Phase 3 trial in gastric cancer and will consider exploring development partnerships to advance this program in gastric cancer.</w:t>
      </w:r>
    </w:p>
    <w:p>
      <w:pPr>
        <w:spacing w:after="0" w:line="15" w:lineRule="exact"/>
        <w:rPr>
          <w:rFonts w:ascii="Arial" w:cs="Arial" w:eastAsia="Arial" w:hAnsi="Arial"/>
          <w:sz w:val="20"/>
          <w:szCs w:val="20"/>
          <w:color w:val="auto"/>
        </w:rPr>
      </w:pPr>
    </w:p>
    <w:p>
      <w:pPr>
        <w:ind w:left="1077" w:right="120" w:hanging="490"/>
        <w:spacing w:after="0" w:line="256"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2025, we announced topline results from pre-planned exploratory analysis of the ASPEN-06 trial in gastric cancer, where CD47 overexpression was identified as a key predictive biomarker for response and durable benefit.</w:t>
      </w:r>
    </w:p>
    <w:p>
      <w:pPr>
        <w:spacing w:after="0" w:line="2" w:lineRule="exact"/>
        <w:rPr>
          <w:rFonts w:ascii="Arial" w:cs="Arial" w:eastAsia="Arial" w:hAnsi="Arial"/>
          <w:sz w:val="20"/>
          <w:szCs w:val="20"/>
          <w:color w:val="auto"/>
        </w:rPr>
      </w:pPr>
    </w:p>
    <w:p>
      <w:pPr>
        <w:jc w:val="both"/>
        <w:ind w:left="1077" w:right="500" w:hanging="490"/>
        <w:spacing w:after="0" w:line="256" w:lineRule="auto"/>
        <w:tabs>
          <w:tab w:leader="none" w:pos="1077"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November 2025, we presented a pre-planned exploratory analysis of the ASPEN-06 clinical trial in gastric cancer in which CD47 overexpression was identified as a key predictive biomarker for response and durable benefit in patients with retained HER2 expression.</w:t>
      </w:r>
    </w:p>
    <w:p>
      <w:pPr>
        <w:spacing w:after="0" w:line="2" w:lineRule="exact"/>
        <w:rPr>
          <w:rFonts w:ascii="Arial" w:cs="Arial" w:eastAsia="Arial" w:hAnsi="Arial"/>
          <w:sz w:val="20"/>
          <w:szCs w:val="20"/>
          <w:color w:val="auto"/>
        </w:rPr>
      </w:pPr>
    </w:p>
    <w:p>
      <w:pPr>
        <w:jc w:val="both"/>
        <w:ind w:left="1717" w:right="440" w:hanging="487"/>
        <w:spacing w:after="0" w:line="256" w:lineRule="auto"/>
        <w:tabs>
          <w:tab w:leader="none" w:pos="1717" w:val="left"/>
        </w:tabs>
        <w:numPr>
          <w:ilvl w:val="2"/>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 patients with retained HER2-positive and CD47-high gastric cancer (n=43), Evo-TRP had a 65.0% ORR versus 26.1% ORR for TRP, while patients with retained HER2-positive and CD47-low gastric cancer (n=47), Evo-TRP had a 37.5% ORR compared to 26.1% ORR for TRP.</w:t>
      </w:r>
    </w:p>
    <w:p>
      <w:pPr>
        <w:spacing w:after="0" w:line="2" w:lineRule="exact"/>
        <w:rPr>
          <w:rFonts w:ascii="Arial" w:cs="Arial" w:eastAsia="Arial" w:hAnsi="Arial"/>
          <w:sz w:val="20"/>
          <w:szCs w:val="20"/>
          <w:color w:val="auto"/>
        </w:rPr>
      </w:pPr>
    </w:p>
    <w:p>
      <w:pPr>
        <w:ind w:left="1717" w:right="20" w:hanging="487"/>
        <w:spacing w:after="0" w:line="245" w:lineRule="auto"/>
        <w:tabs>
          <w:tab w:leader="none" w:pos="1717" w:val="left"/>
        </w:tabs>
        <w:numPr>
          <w:ilvl w:val="2"/>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The DOR was three times longer in the Evo-TRP arm relative to TRP in these patients. Evo-TRP had an mDOR of 25.5 months versus 8.4 months mDOR for TRP, while patients with retained HER2-positive and CD47-low gastric cancer, had an mDOR of 11.2 months for Evo-TRP compared to 12 months for TRP. PFS and OS data were evaluated in these patients. Treatment with Evo-TRP resulted in an mPFS of 18.4 months versus 7.0 months for TRP, HR of 0.39. Treatment with Evo-TRP resulted in an mOS of 17 months versus 9.9 months for TRP, HR of 0.70.</w:t>
      </w:r>
    </w:p>
    <w:p>
      <w:pPr>
        <w:sectPr>
          <w:pgSz w:w="12240" w:h="15840" w:orient="portrait"/>
          <w:cols w:equalWidth="0" w:num="1">
            <w:col w:w="10237"/>
          </w:cols>
          <w:pgMar w:left="1243" w:top="978" w:right="760" w:bottom="28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483"/>
        <w:spacing w:after="0"/>
        <w:rPr>
          <w:sz w:val="20"/>
          <w:szCs w:val="20"/>
          <w:color w:val="auto"/>
        </w:rPr>
      </w:pPr>
      <w:r>
        <w:rPr>
          <w:rFonts w:ascii="Times New Roman" w:cs="Times New Roman" w:eastAsia="Times New Roman" w:hAnsi="Times New Roman"/>
          <w:sz w:val="15"/>
          <w:szCs w:val="15"/>
          <w:color w:val="auto"/>
        </w:rPr>
        <w:t>3</w:t>
      </w:r>
    </w:p>
    <w:p>
      <w:pPr>
        <w:sectPr>
          <w:pgSz w:w="12240" w:h="15840" w:orient="portrait"/>
          <w:cols w:equalWidth="0" w:num="1">
            <w:col w:w="10237"/>
          </w:cols>
          <w:pgMar w:left="1243" w:top="978" w:right="760" w:bottom="280" w:gutter="0" w:footer="0" w:header="0"/>
          <w:type w:val="continuous"/>
        </w:sectPr>
      </w:pPr>
    </w:p>
    <w:bookmarkStart w:id="13" w:name="page14"/>
    <w:bookmarkEnd w:id="13"/>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EGFR-targeted antibody cetuximab</w:t>
      </w:r>
    </w:p>
    <w:p>
      <w:pPr>
        <w:spacing w:after="0" w:line="116" w:lineRule="exact"/>
        <w:rPr>
          <w:sz w:val="20"/>
          <w:szCs w:val="20"/>
          <w:color w:val="auto"/>
        </w:rPr>
      </w:pPr>
    </w:p>
    <w:p>
      <w:pPr>
        <w:ind w:left="960" w:hanging="477"/>
        <w:spacing w:after="0"/>
        <w:tabs>
          <w:tab w:leader="none" w:pos="960" w:val="left"/>
        </w:tabs>
        <w:numPr>
          <w:ilvl w:val="0"/>
          <w:numId w:val="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ASPEN-CRC – Colorectal Cancer (CRC)</w:t>
      </w:r>
    </w:p>
    <w:p>
      <w:pPr>
        <w:spacing w:after="0" w:line="39" w:lineRule="exact"/>
        <w:rPr>
          <w:rFonts w:ascii="PMingLiU" w:cs="PMingLiU" w:eastAsia="PMingLiU" w:hAnsi="PMingLiU"/>
          <w:sz w:val="20"/>
          <w:szCs w:val="20"/>
          <w:color w:val="auto"/>
        </w:rPr>
      </w:pPr>
    </w:p>
    <w:p>
      <w:pPr>
        <w:ind w:left="1560" w:right="180" w:hanging="490"/>
        <w:spacing w:after="0" w:line="280" w:lineRule="auto"/>
        <w:tabs>
          <w:tab w:leader="none" w:pos="1560" w:val="left"/>
        </w:tabs>
        <w:numPr>
          <w:ilvl w:val="1"/>
          <w:numId w:val="8"/>
        </w:numPr>
        <w:rPr>
          <w:rFonts w:ascii="Arial" w:cs="Arial" w:eastAsia="Arial" w:hAnsi="Arial"/>
          <w:sz w:val="19"/>
          <w:szCs w:val="19"/>
          <w:color w:val="auto"/>
        </w:rPr>
      </w:pPr>
      <w:r>
        <w:rPr>
          <w:rFonts w:ascii="Times New Roman" w:cs="Times New Roman" w:eastAsia="Times New Roman" w:hAnsi="Times New Roman"/>
          <w:sz w:val="19"/>
          <w:szCs w:val="19"/>
          <w:color w:val="auto"/>
        </w:rPr>
        <w:t>In March 2025, we announced intent to initiate a Phase 1b study evaluating evorpacept in combination with the EGFR-targeted antibody cetuximab and FOLFIRI for the treatment of patients with second-line metastatic CRC.</w:t>
      </w:r>
    </w:p>
    <w:p>
      <w:pPr>
        <w:ind w:left="1560" w:hanging="490"/>
        <w:spacing w:after="0" w:line="273" w:lineRule="auto"/>
        <w:tabs>
          <w:tab w:leader="none" w:pos="1560" w:val="left"/>
        </w:tabs>
        <w:numPr>
          <w:ilvl w:val="1"/>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2025, we streamlined evorpacept development program to focus our resources on the ASPEN-09-Breast trial and paused the ASPEN-CRC study announced earlier in March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Collaborations and Investigator-Sponsored Trials (ISTs)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HER2-targeted bispecific, zanidatamab, and HER2-targeted ADC, fam-trastuzumab deruxtecan-nxki</w:t>
      </w:r>
    </w:p>
    <w:p>
      <w:pPr>
        <w:spacing w:after="0" w:line="116" w:lineRule="exact"/>
        <w:rPr>
          <w:sz w:val="20"/>
          <w:szCs w:val="20"/>
          <w:color w:val="auto"/>
        </w:rPr>
      </w:pPr>
    </w:p>
    <w:p>
      <w:pPr>
        <w:ind w:left="960" w:hanging="477"/>
        <w:spacing w:after="0"/>
        <w:tabs>
          <w:tab w:leader="none" w:pos="960" w:val="left"/>
        </w:tabs>
        <w:numPr>
          <w:ilvl w:val="0"/>
          <w:numId w:val="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Jazz Pharmaceuticals plc – Breast Cancer</w:t>
      </w:r>
    </w:p>
    <w:p>
      <w:pPr>
        <w:spacing w:after="0" w:line="39" w:lineRule="exact"/>
        <w:rPr>
          <w:rFonts w:ascii="PMingLiU" w:cs="PMingLiU" w:eastAsia="PMingLiU" w:hAnsi="PMingLiU"/>
          <w:sz w:val="20"/>
          <w:szCs w:val="20"/>
          <w:color w:val="auto"/>
        </w:rPr>
      </w:pPr>
    </w:p>
    <w:p>
      <w:pPr>
        <w:ind w:left="1560" w:right="20" w:hanging="490"/>
        <w:spacing w:after="0" w:line="250" w:lineRule="auto"/>
        <w:tabs>
          <w:tab w:leader="none" w:pos="15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collaborator, Jazz Pharmaceuticals plc (Jazz), sponsored and managed the Phase 1b/2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spacing w:after="0" w:line="8" w:lineRule="exact"/>
        <w:rPr>
          <w:rFonts w:ascii="Arial" w:cs="Arial" w:eastAsia="Arial" w:hAnsi="Arial"/>
          <w:sz w:val="20"/>
          <w:szCs w:val="20"/>
          <w:color w:val="auto"/>
        </w:rPr>
      </w:pPr>
    </w:p>
    <w:p>
      <w:pPr>
        <w:ind w:left="1560" w:right="40" w:hanging="490"/>
        <w:spacing w:after="0" w:line="250" w:lineRule="auto"/>
        <w:tabs>
          <w:tab w:leader="none" w:pos="15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spacing w:after="0" w:line="8" w:lineRule="exact"/>
        <w:rPr>
          <w:rFonts w:ascii="Arial" w:cs="Arial" w:eastAsia="Arial" w:hAnsi="Arial"/>
          <w:sz w:val="20"/>
          <w:szCs w:val="20"/>
          <w:color w:val="auto"/>
        </w:rPr>
      </w:pPr>
    </w:p>
    <w:p>
      <w:pPr>
        <w:ind w:left="1560" w:hanging="490"/>
        <w:spacing w:after="0" w:line="254" w:lineRule="auto"/>
        <w:tabs>
          <w:tab w:leader="none" w:pos="1560" w:val="left"/>
        </w:tabs>
        <w:numPr>
          <w:ilvl w:val="1"/>
          <w:numId w:val="9"/>
        </w:numPr>
        <w:rPr>
          <w:rFonts w:ascii="Arial" w:cs="Arial" w:eastAsia="Arial" w:hAnsi="Arial"/>
          <w:sz w:val="19"/>
          <w:szCs w:val="19"/>
          <w:color w:val="auto"/>
        </w:rPr>
      </w:pPr>
      <w:r>
        <w:rPr>
          <w:rFonts w:ascii="Times New Roman" w:cs="Times New Roman" w:eastAsia="Times New Roman" w:hAnsi="Times New Roman"/>
          <w:sz w:val="19"/>
          <w:szCs w:val="19"/>
          <w:color w:val="auto"/>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an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mDOR was not reached for Cohort 1 patients (range: 3.6-25.9 months) and was 5.5 months for Cohort 2 patients (range: 3.6-11.0 months), with responses ongoing, including the longest observed response, in each cohort. The combination therapy was well tolerated with a manageable safety profile that was consistent with prior experience of each agent.</w:t>
      </w:r>
    </w:p>
    <w:p>
      <w:pPr>
        <w:spacing w:after="0" w:line="11" w:lineRule="exact"/>
        <w:rPr>
          <w:rFonts w:ascii="Arial" w:cs="Arial" w:eastAsia="Arial" w:hAnsi="Arial"/>
          <w:sz w:val="19"/>
          <w:szCs w:val="19"/>
          <w:color w:val="auto"/>
        </w:rPr>
      </w:pPr>
    </w:p>
    <w:p>
      <w:pPr>
        <w:ind w:left="1560" w:right="120" w:hanging="490"/>
        <w:spacing w:after="0" w:line="273" w:lineRule="auto"/>
        <w:tabs>
          <w:tab w:leader="none" w:pos="1560" w:val="left"/>
        </w:tabs>
        <w:numPr>
          <w:ilvl w:val="1"/>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2026, we announced that an exploratory biomarker analysis showed responses in the trial were largely restricted to patients with higher CD47 expression.</w:t>
      </w:r>
    </w:p>
    <w:p>
      <w:pPr>
        <w:spacing w:after="0" w:line="11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CD20-targeted antibody rituximab</w:t>
      </w:r>
    </w:p>
    <w:p>
      <w:pPr>
        <w:spacing w:after="0" w:line="116" w:lineRule="exact"/>
        <w:rPr>
          <w:sz w:val="20"/>
          <w:szCs w:val="20"/>
          <w:color w:val="auto"/>
        </w:rPr>
      </w:pPr>
    </w:p>
    <w:p>
      <w:pPr>
        <w:ind w:left="960" w:hanging="477"/>
        <w:spacing w:after="0"/>
        <w:tabs>
          <w:tab w:leader="none" w:pos="960" w:val="left"/>
        </w:tabs>
        <w:numPr>
          <w:ilvl w:val="0"/>
          <w:numId w:val="1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MD Anderson Cancer Center – Non-Hodgkin Lymphoma</w:t>
      </w:r>
    </w:p>
    <w:p>
      <w:pPr>
        <w:spacing w:after="0" w:line="38" w:lineRule="exact"/>
        <w:rPr>
          <w:rFonts w:ascii="PMingLiU" w:cs="PMingLiU" w:eastAsia="PMingLiU" w:hAnsi="PMingLiU"/>
          <w:sz w:val="20"/>
          <w:szCs w:val="20"/>
          <w:color w:val="auto"/>
        </w:rPr>
      </w:pPr>
    </w:p>
    <w:p>
      <w:pPr>
        <w:ind w:left="1560" w:right="40" w:hanging="490"/>
        <w:spacing w:after="0" w:line="231" w:lineRule="auto"/>
        <w:tabs>
          <w:tab w:leader="none" w:pos="1560" w:val="left"/>
        </w:tabs>
        <w:numPr>
          <w:ilvl w:val="1"/>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 2021, an IST of evorpacept was initiated in combination with rituximab and lenalidomide (R</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for the treatment of patients with indolent and aggressive NHL, sponsored by MD Anderson Cancer Center in Texas. We announced the dosing of the first patient in September 2021.</w:t>
      </w:r>
    </w:p>
    <w:p>
      <w:pPr>
        <w:spacing w:after="0" w:line="19" w:lineRule="exact"/>
        <w:rPr>
          <w:rFonts w:ascii="Arial" w:cs="Arial" w:eastAsia="Arial" w:hAnsi="Arial"/>
          <w:sz w:val="20"/>
          <w:szCs w:val="20"/>
          <w:color w:val="auto"/>
        </w:rPr>
      </w:pPr>
    </w:p>
    <w:p>
      <w:pPr>
        <w:ind w:left="1560" w:right="120" w:hanging="490"/>
        <w:spacing w:after="0"/>
        <w:tabs>
          <w:tab w:leader="none" w:pos="1560" w:val="left"/>
        </w:tabs>
        <w:numPr>
          <w:ilvl w:val="1"/>
          <w:numId w:val="10"/>
        </w:numPr>
        <w:rPr>
          <w:rFonts w:ascii="Arial" w:cs="Arial" w:eastAsia="Arial" w:hAnsi="Arial"/>
          <w:sz w:val="19"/>
          <w:szCs w:val="19"/>
          <w:color w:val="auto"/>
        </w:rPr>
      </w:pPr>
      <w:r>
        <w:rPr>
          <w:rFonts w:ascii="Times New Roman" w:cs="Times New Roman" w:eastAsia="Times New Roman" w:hAnsi="Times New Roman"/>
          <w:sz w:val="19"/>
          <w:szCs w:val="19"/>
          <w:color w:val="auto"/>
        </w:rPr>
        <w:t>In April 2024, MD Anderson Cancer Center reported clinical data from the ongoing Phase 1/2 IST of evorpacept in combination with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treatment. The regimen was well tolerated, and there were no dose-limiting toxicities. Patients with indolent R/R B-NHL (n=18) had a best ORR of 94% and a complete response rate of 83%. The mDOR was not reached.</w:t>
      </w:r>
    </w:p>
    <w:p>
      <w:pPr>
        <w:spacing w:after="0" w:line="17" w:lineRule="exact"/>
        <w:rPr>
          <w:rFonts w:ascii="Arial" w:cs="Arial" w:eastAsia="Arial" w:hAnsi="Arial"/>
          <w:sz w:val="19"/>
          <w:szCs w:val="19"/>
          <w:color w:val="auto"/>
        </w:rPr>
      </w:pPr>
    </w:p>
    <w:p>
      <w:pPr>
        <w:ind w:left="1560" w:hanging="490"/>
        <w:spacing w:after="0" w:line="250" w:lineRule="auto"/>
        <w:tabs>
          <w:tab w:leader="none" w:pos="1560" w:val="left"/>
        </w:tabs>
        <w:numPr>
          <w:ilvl w:val="1"/>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In April 2025, final data for the Phase 1 portion of the MD Anderson Cancer Center IST was presented at the 2025 AACR Annual Meeting. In the total population (n=20), after a median follow-up of 28 months (95% CI, 18-28 months) the two-year PFS rate was 69% and two-year OS rate was 84%. The Phase 2 portion of the clinical trial in patients with previously untreated indolent NHL is ongoing and has completed enrollment.</w:t>
      </w:r>
    </w:p>
    <w:p>
      <w:pPr>
        <w:sectPr>
          <w:pgSz w:w="12240" w:h="15840" w:orient="portrait"/>
          <w:cols w:equalWidth="0" w:num="1">
            <w:col w:w="10680"/>
          </w:cols>
          <w:pgMar w:left="760" w:top="980" w:right="800" w:bottom="2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w:t>
      </w:r>
    </w:p>
    <w:p>
      <w:pPr>
        <w:sectPr>
          <w:pgSz w:w="12240" w:h="15840" w:orient="portrait"/>
          <w:cols w:equalWidth="0" w:num="1">
            <w:col w:w="10680"/>
          </w:cols>
          <w:pgMar w:left="760" w:top="980" w:right="800" w:bottom="280" w:gutter="0" w:footer="0" w:header="0"/>
          <w:type w:val="continuous"/>
        </w:sectPr>
      </w:pPr>
    </w:p>
    <w:bookmarkStart w:id="14" w:name="page15"/>
    <w:bookmarkEnd w:id="14"/>
    <w:p>
      <w:pPr>
        <w:ind w:left="1560" w:hanging="490"/>
        <w:spacing w:after="0" w:line="238" w:lineRule="auto"/>
        <w:tabs>
          <w:tab w:leader="none" w:pos="156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In December 2025, data for the Phase 2 portion of this trial, which enrolled patients with untreated indolent NHL was presented at the 2025 American Society of Hematology Annual Meeting. The combination of evorpacept with R</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generated complete responses in 92% of patients comparing favorably to an approximate 50% historical complete response rate for R</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alone.</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CD38-targeted antibody isatuximab-irfc</w:t>
      </w:r>
    </w:p>
    <w:p>
      <w:pPr>
        <w:spacing w:after="0" w:line="116" w:lineRule="exact"/>
        <w:rPr>
          <w:sz w:val="20"/>
          <w:szCs w:val="20"/>
          <w:color w:val="auto"/>
        </w:rPr>
      </w:pPr>
    </w:p>
    <w:p>
      <w:pPr>
        <w:ind w:left="960" w:hanging="477"/>
        <w:spacing w:after="0"/>
        <w:tabs>
          <w:tab w:leader="none" w:pos="960" w:val="left"/>
        </w:tabs>
        <w:numPr>
          <w:ilvl w:val="0"/>
          <w:numId w:val="1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Sanofi – Multiple Myeloma</w:t>
      </w:r>
    </w:p>
    <w:p>
      <w:pPr>
        <w:spacing w:after="0" w:line="39" w:lineRule="exact"/>
        <w:rPr>
          <w:rFonts w:ascii="PMingLiU" w:cs="PMingLiU" w:eastAsia="PMingLiU" w:hAnsi="PMingLiU"/>
          <w:sz w:val="20"/>
          <w:szCs w:val="20"/>
          <w:color w:val="auto"/>
        </w:rPr>
      </w:pPr>
    </w:p>
    <w:p>
      <w:pPr>
        <w:ind w:left="1560" w:right="200" w:hanging="490"/>
        <w:spacing w:after="0" w:line="233" w:lineRule="auto"/>
        <w:tabs>
          <w:tab w:leader="none" w:pos="1560" w:val="left"/>
        </w:tabs>
        <w:numPr>
          <w:ilvl w:val="1"/>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In April 2023, we announced a collaboration with Sanofi who will sponsor and manage a Phase 1/2 trial of SARCLISA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(isatuximab-irfc), an anti-cancer antibody, and dexamethasone in combination with evorpacept for the treatment of patients with relapsed or refractory multiple myeloma. We announced the dosing of the first patients in September 2024.</w:t>
      </w:r>
    </w:p>
    <w:p>
      <w:pPr>
        <w:spacing w:after="0" w:line="17" w:lineRule="exact"/>
        <w:rPr>
          <w:rFonts w:ascii="Arial" w:cs="Arial" w:eastAsia="Arial" w:hAnsi="Arial"/>
          <w:sz w:val="20"/>
          <w:szCs w:val="20"/>
          <w:color w:val="auto"/>
        </w:rPr>
      </w:pPr>
    </w:p>
    <w:p>
      <w:pPr>
        <w:ind w:left="1560" w:hanging="490"/>
        <w:spacing w:after="0" w:line="274" w:lineRule="auto"/>
        <w:tabs>
          <w:tab w:leader="none" w:pos="1560" w:val="left"/>
        </w:tabs>
        <w:numPr>
          <w:ilvl w:val="1"/>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2025, we announced that the dose escalation portion of this trial was complete and Sanofi had begun the dose optimization portion of the trial.</w:t>
      </w:r>
    </w:p>
    <w:p>
      <w:pPr>
        <w:spacing w:after="0" w:line="110" w:lineRule="exact"/>
        <w:rPr>
          <w:sz w:val="20"/>
          <w:szCs w:val="20"/>
          <w:color w:val="auto"/>
        </w:rPr>
      </w:pPr>
    </w:p>
    <w:p>
      <w:pPr>
        <w:jc w:val="both"/>
        <w:ind w:right="40" w:firstLine="486"/>
        <w:spacing w:after="0" w:line="256" w:lineRule="auto"/>
        <w:rPr>
          <w:sz w:val="20"/>
          <w:szCs w:val="20"/>
          <w:color w:val="auto"/>
        </w:rPr>
      </w:pPr>
      <w:r>
        <w:rPr>
          <w:rFonts w:ascii="Times New Roman" w:cs="Times New Roman" w:eastAsia="Times New Roman" w:hAnsi="Times New Roman"/>
          <w:sz w:val="20"/>
          <w:szCs w:val="20"/>
          <w:color w:val="auto"/>
        </w:rPr>
        <w:t>Based on our clinical results to date in multiple oncology indications that show encouraging anti-tumor activity and tolerability, our strategy is to pursue evorpacept as a potentially critical component of future oncology treatments in combination with anticancer antibodies.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ALX2004</w:t>
      </w:r>
    </w:p>
    <w:p>
      <w:pPr>
        <w:spacing w:after="0" w:line="38" w:lineRule="exact"/>
        <w:rPr>
          <w:sz w:val="20"/>
          <w:szCs w:val="20"/>
          <w:color w:val="auto"/>
        </w:rPr>
      </w:pPr>
    </w:p>
    <w:p>
      <w:pPr>
        <w:ind w:left="960" w:hanging="477"/>
        <w:spacing w:after="0" w:line="247" w:lineRule="auto"/>
        <w:tabs>
          <w:tab w:leader="none" w:pos="960" w:val="left"/>
        </w:tabs>
        <w:numPr>
          <w:ilvl w:val="0"/>
          <w:numId w:val="1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 March 2025, we filed an investigational new drug (IND) application for our first ADC program, ALX2004 and in April 2025, the FDA cleared the IND to evaluate ALX2004 in a Phase 1 clinical trial for patients with EGFR-expressing solid tumors.</w:t>
      </w:r>
    </w:p>
    <w:p>
      <w:pPr>
        <w:spacing w:after="0" w:line="1" w:lineRule="exact"/>
        <w:rPr>
          <w:rFonts w:ascii="PMingLiU" w:cs="PMingLiU" w:eastAsia="PMingLiU" w:hAnsi="PMingLiU"/>
          <w:sz w:val="20"/>
          <w:szCs w:val="20"/>
          <w:color w:val="auto"/>
        </w:rPr>
      </w:pPr>
    </w:p>
    <w:p>
      <w:pPr>
        <w:ind w:left="960" w:right="580" w:hanging="477"/>
        <w:spacing w:after="0" w:line="251" w:lineRule="auto"/>
        <w:tabs>
          <w:tab w:leader="none" w:pos="960" w:val="left"/>
        </w:tabs>
        <w:numPr>
          <w:ilvl w:val="0"/>
          <w:numId w:val="1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 August 2025, we announced the dosing of the first patient in the first-in-human, open-label multi-center Phase 1 clinical trial of ALX2004 for the treatment of advanced or metastatic select EGFR-expressing solid tumors.</w:t>
      </w:r>
    </w:p>
    <w:p>
      <w:pPr>
        <w:spacing w:after="0" w:line="1" w:lineRule="exact"/>
        <w:rPr>
          <w:rFonts w:ascii="PMingLiU" w:cs="PMingLiU" w:eastAsia="PMingLiU" w:hAnsi="PMingLiU"/>
          <w:sz w:val="20"/>
          <w:szCs w:val="20"/>
          <w:color w:val="auto"/>
        </w:rPr>
      </w:pPr>
    </w:p>
    <w:p>
      <w:pPr>
        <w:ind w:left="960" w:right="440" w:hanging="477"/>
        <w:spacing w:after="0" w:line="288" w:lineRule="auto"/>
        <w:tabs>
          <w:tab w:leader="none" w:pos="960" w:val="left"/>
        </w:tabs>
        <w:numPr>
          <w:ilvl w:val="0"/>
          <w:numId w:val="13"/>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In January 2026, we announced that the trial had begun enrolling patients in the third dose cohort at 4 mg/kg after successfully clearing the second dose cohort. No dose-limiting toxicities were observed in the first two dose cohorts.</w:t>
      </w:r>
    </w:p>
    <w:p>
      <w:pPr>
        <w:spacing w:after="0" w:line="96"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20"/>
          <w:szCs w:val="20"/>
          <w:color w:val="auto"/>
        </w:rPr>
        <w:t>Our team of industry veterans plans to continue to advance a broad development plan for evorpacept that balances speed to market, scale of unmet need and existing clinical evidence for evorpacept’s combination mechanisms. Members of our management team have brought multiple drugs to the FDA approval. Our Chief Executive Officer, Jason Lettmann, brings a broad suite of expertise as an institutional healthcare investor, most recently at Lightstone Ventures, and has been involved with ALX Oncology for nearly a decade since its founding, having co-led the Company’s first institutional financing and serving as a member of the Company’s Board of Directors. He also previously served as Chief Executive Officer of Promedior, Inc. During his tenure, Promedior was acquired by Roche in 2020 for up to $1.39 billion. Our Chief Medical Officer, Barbara Klencke, M.D., brings more than 30 years of experience in patient care, academic and scientific research and clinical drug development in hematology and oncology. She has served in various executive leadership roles at a range of small, mid-sized, and large biotech companies including Sierra Oncology, Inc., Onyx Pharmaceuticals and Genentech, a member of the Roche Group. Our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Harish Shantharam, has over 20 years of experience guiding public life science companies. Most recently, he was Chief Financial Officer of Cymabay Therapeutics, and prior to this role he was Vice President and Head of Global Commercial Finance at Gilead Sciences. We have funded our operations to date primarily through the issuance and sale of our convertible preferred stock, the issuance and sale of our common stock through an initial public offering in July 2020 and a registered offering in December 2020, a term loan facility in October 2022, a registered offering in October 2023, a registered offering in February 2026, and sales under our ATM offering program.</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2" w:lineRule="exact"/>
        <w:rPr>
          <w:sz w:val="20"/>
          <w:szCs w:val="20"/>
          <w:color w:val="auto"/>
        </w:rPr>
      </w:pPr>
    </w:p>
    <w:p>
      <w:pPr>
        <w:ind w:right="500" w:firstLine="487"/>
        <w:spacing w:after="0" w:line="274" w:lineRule="auto"/>
        <w:rPr>
          <w:sz w:val="20"/>
          <w:szCs w:val="20"/>
          <w:color w:val="auto"/>
        </w:rPr>
      </w:pPr>
      <w:r>
        <w:rPr>
          <w:rFonts w:ascii="Times New Roman" w:cs="Times New Roman" w:eastAsia="Times New Roman" w:hAnsi="Times New Roman"/>
          <w:sz w:val="20"/>
          <w:szCs w:val="20"/>
          <w:color w:val="auto"/>
        </w:rPr>
        <w:t>Our goal is to transform treatment options for patients with cancer by developing evorpacept as a foundational checkpoint immunotherapy.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Key elements of our strategy to support this goal include:</w:t>
      </w:r>
    </w:p>
    <w:p>
      <w:pPr>
        <w:spacing w:after="0" w:line="114" w:lineRule="exact"/>
        <w:rPr>
          <w:sz w:val="20"/>
          <w:szCs w:val="20"/>
          <w:color w:val="auto"/>
        </w:rPr>
      </w:pPr>
    </w:p>
    <w:p>
      <w:pPr>
        <w:ind w:left="980" w:right="480" w:hanging="496"/>
        <w:spacing w:after="0" w:line="265" w:lineRule="auto"/>
        <w:tabs>
          <w:tab w:leader="none" w:pos="98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 xml:space="preserve">Expanding the therapeutic potential of CD47 blockade by combining with anti-cancer antibodies. </w:t>
      </w:r>
      <w:r>
        <w:rPr>
          <w:rFonts w:ascii="Times New Roman" w:cs="Times New Roman" w:eastAsia="Times New Roman" w:hAnsi="Times New Roman"/>
          <w:sz w:val="20"/>
          <w:szCs w:val="20"/>
          <w:color w:val="auto"/>
        </w:rPr>
        <w:t>We believe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evorpacept can overcome the limitations of other CD47 blocking approaches.</w:t>
      </w:r>
    </w:p>
    <w:p>
      <w:pPr>
        <w:spacing w:after="0" w:line="53" w:lineRule="exact"/>
        <w:rPr>
          <w:rFonts w:ascii="PMingLiU" w:cs="PMingLiU" w:eastAsia="PMingLiU" w:hAnsi="PMingLiU"/>
          <w:sz w:val="20"/>
          <w:szCs w:val="20"/>
          <w:color w:val="auto"/>
        </w:rPr>
      </w:pPr>
    </w:p>
    <w:p>
      <w:pPr>
        <w:ind w:left="980" w:right="360" w:hanging="496"/>
        <w:spacing w:after="0" w:line="251" w:lineRule="auto"/>
        <w:tabs>
          <w:tab w:leader="none" w:pos="980" w:val="left"/>
        </w:tabs>
        <w:numPr>
          <w:ilvl w:val="0"/>
          <w:numId w:val="14"/>
        </w:numPr>
        <w:rPr>
          <w:rFonts w:ascii="PMingLiU" w:cs="PMingLiU" w:eastAsia="PMingLiU" w:hAnsi="PMingLiU"/>
          <w:sz w:val="20"/>
          <w:szCs w:val="20"/>
          <w:color w:val="auto"/>
        </w:rPr>
      </w:pPr>
      <w:r>
        <w:rPr>
          <w:rFonts w:ascii="Times New Roman" w:cs="Times New Roman" w:eastAsia="Times New Roman" w:hAnsi="Times New Roman"/>
          <w:sz w:val="20"/>
          <w:szCs w:val="20"/>
          <w:b w:val="1"/>
          <w:bCs w:val="1"/>
          <w:color w:val="auto"/>
        </w:rPr>
        <w:t xml:space="preserve">Developing a best- and first-in-class EGFR-targeted ADC. </w:t>
      </w:r>
      <w:r>
        <w:rPr>
          <w:rFonts w:ascii="Times New Roman" w:cs="Times New Roman" w:eastAsia="Times New Roman" w:hAnsi="Times New Roman"/>
          <w:sz w:val="20"/>
          <w:szCs w:val="20"/>
          <w:color w:val="auto"/>
        </w:rPr>
        <w:t>We believe that our differentiated design of ALX2004</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on an affinity-selected matuzumab-derived antibody can overcome the toxicity challenges that limited the therapeutic window of earlier generation EGFR-targeted ADCs.</w:t>
      </w:r>
    </w:p>
    <w:p>
      <w:pPr>
        <w:sectPr>
          <w:pgSz w:w="12240" w:h="15840" w:orient="portrait"/>
          <w:cols w:equalWidth="0" w:num="1">
            <w:col w:w="10680"/>
          </w:cols>
          <w:pgMar w:left="760" w:top="992" w:right="800" w:bottom="280" w:gutter="0" w:footer="0" w:header="0"/>
        </w:sect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ectPr>
          <w:pgSz w:w="12240" w:h="15840" w:orient="portrait"/>
          <w:cols w:equalWidth="0" w:num="1">
            <w:col w:w="10680"/>
          </w:cols>
          <w:pgMar w:left="760" w:top="992" w:right="800" w:bottom="280" w:gutter="0" w:footer="0" w:header="0"/>
          <w:type w:val="continuous"/>
        </w:sectPr>
      </w:pPr>
    </w:p>
    <w:bookmarkStart w:id="15" w:name="page16"/>
    <w:bookmarkEnd w:id="15"/>
    <w:p>
      <w:pPr>
        <w:ind w:left="980"/>
        <w:spacing w:after="0"/>
        <w:rPr>
          <w:sz w:val="20"/>
          <w:szCs w:val="20"/>
          <w:color w:val="auto"/>
        </w:rPr>
      </w:pPr>
      <w:r>
        <w:rPr>
          <w:rFonts w:ascii="Times New Roman" w:cs="Times New Roman" w:eastAsia="Times New Roman" w:hAnsi="Times New Roman"/>
          <w:sz w:val="20"/>
          <w:szCs w:val="20"/>
          <w:b w:val="1"/>
          <w:bCs w:val="1"/>
          <w:color w:val="auto"/>
        </w:rPr>
        <w:t>Continuing to develop strategic partnerships to broaden the potential impact of our current and future product</w:t>
      </w:r>
    </w:p>
    <w:p>
      <w:pPr>
        <w:spacing w:after="0" w:line="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b w:val="1"/>
          <w:bCs w:val="1"/>
          <w:color w:val="auto"/>
        </w:rPr>
        <w:t xml:space="preserve">candidates across patient populations. </w:t>
      </w:r>
      <w:r>
        <w:rPr>
          <w:rFonts w:ascii="Times New Roman" w:cs="Times New Roman" w:eastAsia="Times New Roman" w:hAnsi="Times New Roman"/>
          <w:sz w:val="20"/>
          <w:szCs w:val="20"/>
          <w:color w:val="auto"/>
        </w:rPr>
        <w:t>In order to advance treatment options for the most patients, we have in the past</w:t>
      </w:r>
    </w:p>
    <w:p>
      <w:pPr>
        <w:ind w:left="960"/>
        <w:spacing w:after="0" w:line="238" w:lineRule="auto"/>
        <w:rPr>
          <w:sz w:val="20"/>
          <w:szCs w:val="20"/>
          <w:color w:val="auto"/>
        </w:rPr>
      </w:pPr>
      <w:r>
        <w:rPr>
          <w:rFonts w:ascii="Times New Roman" w:cs="Times New Roman" w:eastAsia="Times New Roman" w:hAnsi="Times New Roman"/>
          <w:sz w:val="20"/>
          <w:szCs w:val="20"/>
          <w:color w:val="auto"/>
        </w:rPr>
        <w:t>and may in the future partner with other companies with complementary resources that will maximize the value of our</w:t>
      </w:r>
    </w:p>
    <w:p>
      <w:pPr>
        <w:ind w:left="980"/>
        <w:spacing w:after="0" w:line="238" w:lineRule="auto"/>
        <w:rPr>
          <w:sz w:val="20"/>
          <w:szCs w:val="20"/>
          <w:color w:val="auto"/>
        </w:rPr>
      </w:pPr>
      <w:r>
        <w:rPr>
          <w:rFonts w:ascii="Times New Roman" w:cs="Times New Roman" w:eastAsia="Times New Roman" w:hAnsi="Times New Roman"/>
          <w:sz w:val="20"/>
          <w:szCs w:val="20"/>
          <w:color w:val="auto"/>
        </w:rPr>
        <w:t>current and future product candidates. Such partnerships may allow us to pair evorpacept and any future product</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candidates with other novel agents owned fully or in part by strategic partners. Partnerships may and will also help realize</w:t>
      </w:r>
    </w:p>
    <w:p>
      <w:pPr>
        <w:spacing w:after="0" w:line="1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the full potential of our product candidates in markets where we are unlikely to pursue development or commercialization</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on our own. We intend to maintain significant economic interests in our product candidates and selectively consider</w:t>
      </w:r>
    </w:p>
    <w:p>
      <w:pPr>
        <w:ind w:left="960"/>
        <w:spacing w:after="0"/>
        <w:rPr>
          <w:sz w:val="20"/>
          <w:szCs w:val="20"/>
          <w:color w:val="auto"/>
        </w:rPr>
      </w:pPr>
      <w:r>
        <w:rPr>
          <w:rFonts w:ascii="Times New Roman" w:cs="Times New Roman" w:eastAsia="Times New Roman" w:hAnsi="Times New Roman"/>
          <w:sz w:val="20"/>
          <w:szCs w:val="20"/>
          <w:color w:val="auto"/>
        </w:rPr>
        <w:t>partnership opportunities.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Pipeline</w:t>
      </w:r>
    </w:p>
    <w:p>
      <w:pPr>
        <w:spacing w:after="0" w:line="24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chart below summarizes the development status of our product candidates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6811010" cy="34245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extLst>
                    </a:blip>
                    <a:srcRect/>
                    <a:stretch>
                      <a:fillRect/>
                    </a:stretch>
                  </pic:blipFill>
                  <pic:spPr bwMode="auto">
                    <a:xfrm>
                      <a:off x="0" y="0"/>
                      <a:ext cx="6811010" cy="3424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CD47 Scientific Background</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Cancer immunotherapies targeting adaptive immune system checkpoints, notably those related to T cells, have transformed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standard of care in oncology across multiple cancer types. Initial clinical successes in this area have focused on stimulating the</w:t>
      </w:r>
    </w:p>
    <w:p>
      <w:pPr>
        <w:spacing w:after="0" w:line="238" w:lineRule="auto"/>
        <w:rPr>
          <w:sz w:val="20"/>
          <w:szCs w:val="20"/>
          <w:color w:val="auto"/>
        </w:rPr>
      </w:pPr>
      <w:r>
        <w:rPr>
          <w:rFonts w:ascii="Times New Roman" w:cs="Times New Roman" w:eastAsia="Times New Roman" w:hAnsi="Times New Roman"/>
          <w:sz w:val="20"/>
          <w:szCs w:val="20"/>
          <w:color w:val="auto"/>
        </w:rPr>
        <w:t>adaptive immune system. However, emerging evidence demonstrates that the innate immune system plays a crucial role in the first</w:t>
      </w:r>
    </w:p>
    <w:p>
      <w:pPr>
        <w:spacing w:after="0" w:line="238" w:lineRule="auto"/>
        <w:rPr>
          <w:sz w:val="20"/>
          <w:szCs w:val="20"/>
          <w:color w:val="auto"/>
        </w:rPr>
      </w:pPr>
      <w:r>
        <w:rPr>
          <w:rFonts w:ascii="Times New Roman" w:cs="Times New Roman" w:eastAsia="Times New Roman" w:hAnsi="Times New Roman"/>
          <w:sz w:val="20"/>
          <w:szCs w:val="20"/>
          <w:color w:val="auto"/>
        </w:rPr>
        <w:t>line of defense to eliminate transformed malignant cells and the subsequent activation of the adaptive immune system. Dendritic cells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and macrophages are a type of myeloid cell and are important parts of the innate immune system. These cells eliminate cancer cells by</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phagocytosis and present tumor-derived antigens to T cells, a process known as cross-priming, which activates the adaptive immune</w:t>
      </w:r>
    </w:p>
    <w:p>
      <w:pPr>
        <w:spacing w:after="0"/>
        <w:rPr>
          <w:sz w:val="20"/>
          <w:szCs w:val="20"/>
          <w:color w:val="auto"/>
        </w:rPr>
      </w:pPr>
      <w:r>
        <w:rPr>
          <w:rFonts w:ascii="Times New Roman" w:cs="Times New Roman" w:eastAsia="Times New Roman" w:hAnsi="Times New Roman"/>
          <w:sz w:val="20"/>
          <w:szCs w:val="20"/>
          <w:color w:val="auto"/>
        </w:rPr>
        <w:t>system</w:t>
      </w:r>
    </w:p>
    <w:p>
      <w:pPr>
        <w:spacing w:after="0" w:line="89" w:lineRule="exact"/>
        <w:rPr>
          <w:sz w:val="20"/>
          <w:szCs w:val="20"/>
          <w:color w:val="auto"/>
        </w:rPr>
      </w:pPr>
    </w:p>
    <w:p>
      <w:pPr>
        <w:ind w:right="200" w:firstLine="494"/>
        <w:spacing w:after="0" w:line="244" w:lineRule="auto"/>
        <w:rPr>
          <w:sz w:val="20"/>
          <w:szCs w:val="20"/>
          <w:color w:val="auto"/>
        </w:rPr>
      </w:pPr>
      <w:r>
        <w:rPr>
          <w:rFonts w:ascii="Times New Roman" w:cs="Times New Roman" w:eastAsia="Times New Roman" w:hAnsi="Times New Roman"/>
          <w:sz w:val="20"/>
          <w:szCs w:val="20"/>
          <w:color w:val="auto"/>
        </w:rPr>
        <w:t>Cancer cells evade phagocytosis by up-regulating CD47, a transmembrane protein that mainly functions as an anti-phagocytic “don’t eat me” signal for healthy cells. CD47 interacts with its cognate receptor 6,53Į</w:t>
      </w:r>
      <w:r>
        <w:rPr>
          <w:rFonts w:ascii="PMingLiU" w:cs="PMingLiU" w:eastAsia="PMingLiU" w:hAnsi="PMingLiU"/>
          <w:sz w:val="20"/>
          <w:szCs w:val="20"/>
          <w:color w:val="auto"/>
        </w:rPr>
        <w:t/>
      </w:r>
      <w:r>
        <w:rPr>
          <w:rFonts w:ascii="Times New Roman" w:cs="Times New Roman" w:eastAsia="Times New Roman" w:hAnsi="Times New Roman"/>
          <w:sz w:val="20"/>
          <w:szCs w:val="20"/>
          <w:color w:val="auto"/>
        </w:rPr>
        <w:t xml:space="preserve"> a regulatory membrane glycoprotein, that is expressed on macrophages and other myeloid cells and serves to prevent phagocytosis (“don’t eat me”) and cross-priming of the adaptive immune system (“don’t activate T cells”) when bound to CD47. By overexpressing CD47, cancer cells are able to avoid phagocytosis by macrophages and thereby evade subsequent detection by the adaptive immune system.</w:t>
      </w:r>
    </w:p>
    <w:p>
      <w:pPr>
        <w:sectPr>
          <w:pgSz w:w="12240" w:h="15840" w:orient="portrait"/>
          <w:cols w:equalWidth="0" w:num="1">
            <w:col w:w="10700"/>
          </w:cols>
          <w:pgMar w:left="760" w:top="974" w:right="780" w:bottom="2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ectPr>
          <w:pgSz w:w="12240" w:h="15840" w:orient="portrait"/>
          <w:cols w:equalWidth="0" w:num="1">
            <w:col w:w="10700"/>
          </w:cols>
          <w:pgMar w:left="760" w:top="974" w:right="780" w:bottom="282"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480695</wp:posOffset>
            </wp:positionH>
            <wp:positionV relativeFrom="page">
              <wp:posOffset>633730</wp:posOffset>
            </wp:positionV>
            <wp:extent cx="6811010" cy="20243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6811010" cy="202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20" w:firstLine="486"/>
        <w:spacing w:after="0" w:line="247" w:lineRule="auto"/>
        <w:rPr>
          <w:sz w:val="20"/>
          <w:szCs w:val="20"/>
          <w:color w:val="auto"/>
        </w:rPr>
      </w:pPr>
      <w:r>
        <w:rPr>
          <w:rFonts w:ascii="Times New Roman" w:cs="Times New Roman" w:eastAsia="Times New Roman" w:hAnsi="Times New Roman"/>
          <w:sz w:val="20"/>
          <w:szCs w:val="20"/>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795655</wp:posOffset>
            </wp:positionH>
            <wp:positionV relativeFrom="paragraph">
              <wp:posOffset>139065</wp:posOffset>
            </wp:positionV>
            <wp:extent cx="5212080" cy="2932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extLst>
                    </a:blip>
                    <a:srcRect/>
                    <a:stretch>
                      <a:fillRect/>
                    </a:stretch>
                  </pic:blipFill>
                  <pic:spPr bwMode="auto">
                    <a:xfrm>
                      <a:off x="0" y="0"/>
                      <a:ext cx="5212080" cy="293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560" w:hanging="12"/>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Evorpacept’s 1-2 Punch: Harnessing the Power of CD47 Blocking to Unmask and Directly Unleash Combination Agent on Cancer Cells</w:t>
      </w:r>
    </w:p>
    <w:p>
      <w:pPr>
        <w:spacing w:after="0" w:line="5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Data generated by our and other studies in the field have demonstrated that activating the immune system against cancer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requires both blocking phagocytosis checkpoints and inducing pro-phagocytic signals. This can be achieved by combining CD47</w:t>
      </w:r>
    </w:p>
    <w:p>
      <w:pPr>
        <w:spacing w:after="0" w:line="238" w:lineRule="auto"/>
        <w:rPr>
          <w:sz w:val="20"/>
          <w:szCs w:val="20"/>
          <w:color w:val="auto"/>
        </w:rPr>
      </w:pPr>
      <w:r>
        <w:rPr>
          <w:rFonts w:ascii="Times New Roman" w:cs="Times New Roman" w:eastAsia="Times New Roman" w:hAnsi="Times New Roman"/>
          <w:sz w:val="20"/>
          <w:szCs w:val="20"/>
          <w:color w:val="auto"/>
        </w:rPr>
        <w:t>blockade with either conventional chemotherapies or targeted therapies, which together promote phagocytosis by macrophages and</w:t>
      </w:r>
    </w:p>
    <w:p>
      <w:pPr>
        <w:spacing w:after="0"/>
        <w:rPr>
          <w:sz w:val="20"/>
          <w:szCs w:val="20"/>
          <w:color w:val="auto"/>
        </w:rPr>
      </w:pPr>
      <w:r>
        <w:rPr>
          <w:rFonts w:ascii="Times New Roman" w:cs="Times New Roman" w:eastAsia="Times New Roman" w:hAnsi="Times New Roman"/>
          <w:sz w:val="20"/>
          <w:szCs w:val="20"/>
          <w:color w:val="auto"/>
        </w:rPr>
        <w:t>maximize adaptive immune system response.</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Therapeutic antibodies that target tumor-specific antigens, such as the HER2 receptor, also induce cellular phagocytosis. These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antibodies direct macrophages to cancer cells by binding to the tumor-specific antigen and activating the macrophage by engaging the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)FȖ receptors to induce phagocytosis. However, if CD47 is not blocked, the “don’t eat me” signal can limit the activity of this</w:t>
      </w:r>
    </w:p>
    <w:p>
      <w:pPr>
        <w:spacing w:after="0" w:line="238" w:lineRule="auto"/>
        <w:rPr>
          <w:sz w:val="20"/>
          <w:szCs w:val="20"/>
          <w:color w:val="auto"/>
        </w:rPr>
      </w:pPr>
      <w:r>
        <w:rPr>
          <w:rFonts w:ascii="Times New Roman" w:cs="Times New Roman" w:eastAsia="Times New Roman" w:hAnsi="Times New Roman"/>
          <w:sz w:val="20"/>
          <w:szCs w:val="20"/>
          <w:color w:val="auto"/>
        </w:rPr>
        <w:t>mechanism. CD47 blocking therapies can therefore maximize a combination agent’s clinical efficacy by overcoming the “don’t eat</w:t>
      </w:r>
    </w:p>
    <w:p>
      <w:pPr>
        <w:spacing w:after="0"/>
        <w:rPr>
          <w:sz w:val="20"/>
          <w:szCs w:val="20"/>
          <w:color w:val="auto"/>
        </w:rPr>
      </w:pPr>
      <w:r>
        <w:rPr>
          <w:rFonts w:ascii="Times New Roman" w:cs="Times New Roman" w:eastAsia="Times New Roman" w:hAnsi="Times New Roman"/>
          <w:sz w:val="20"/>
          <w:szCs w:val="20"/>
          <w:color w:val="auto"/>
        </w:rPr>
        <w:t>me” signal that is co-opted by cancer cells.</w:t>
      </w:r>
    </w:p>
    <w:p>
      <w:pPr>
        <w:sectPr>
          <w:pgSz w:w="12240" w:h="15840" w:orient="portrait"/>
          <w:cols w:equalWidth="0" w:num="1">
            <w:col w:w="10640"/>
          </w:cols>
          <w:pgMar w:left="760" w:top="1440" w:right="840" w:bottom="2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7</w:t>
      </w:r>
    </w:p>
    <w:p>
      <w:pPr>
        <w:sectPr>
          <w:pgSz w:w="12240" w:h="15840" w:orient="portrait"/>
          <w:cols w:equalWidth="0" w:num="1">
            <w:col w:w="10640"/>
          </w:cols>
          <w:pgMar w:left="760" w:top="1440" w:right="840" w:bottom="281"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0"/>
          <w:szCs w:val="20"/>
          <w:b w:val="1"/>
          <w:bCs w:val="1"/>
          <w:color w:val="auto"/>
        </w:rPr>
        <w:t>Limitations of Prior Approaches to Blocking CD47 by Companies Other than ALX Oncology</w:t>
      </w:r>
    </w:p>
    <w:p>
      <w:pPr>
        <w:spacing w:after="0" w:line="122" w:lineRule="exact"/>
        <w:rPr>
          <w:sz w:val="20"/>
          <w:szCs w:val="20"/>
          <w:color w:val="auto"/>
        </w:rPr>
      </w:pPr>
    </w:p>
    <w:p>
      <w:pPr>
        <w:ind w:right="240" w:firstLine="487"/>
        <w:spacing w:after="0" w:line="256" w:lineRule="auto"/>
        <w:rPr>
          <w:sz w:val="20"/>
          <w:szCs w:val="20"/>
          <w:color w:val="auto"/>
        </w:rPr>
      </w:pPr>
      <w:r>
        <w:rPr>
          <w:rFonts w:ascii="Times New Roman" w:cs="Times New Roman" w:eastAsia="Times New Roman" w:hAnsi="Times New Roman"/>
          <w:sz w:val="20"/>
          <w:szCs w:val="20"/>
          <w:color w:val="auto"/>
        </w:rPr>
        <w:t>There have been a number of approaches to blocking CD47 by companies other than ALX Oncology, including monoclonal antibodies and fusion proteins that include an active Fc region. These approaches have encountered limitations that have challenged their ability to maximize the full potential of CD47 blockade.</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majority of clinical data to date from other CD47 blocking agents come from drug candidates that incorporate an active Fc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region that provides an “eat” me signal to macrophage. We believe that using an active Fc region in a CD47 inhibitor limits the</w:t>
      </w:r>
    </w:p>
    <w:p>
      <w:pPr>
        <w:spacing w:after="0" w:line="238" w:lineRule="auto"/>
        <w:rPr>
          <w:sz w:val="20"/>
          <w:szCs w:val="20"/>
          <w:color w:val="auto"/>
        </w:rPr>
      </w:pPr>
      <w:r>
        <w:rPr>
          <w:rFonts w:ascii="Times New Roman" w:cs="Times New Roman" w:eastAsia="Times New Roman" w:hAnsi="Times New Roman"/>
          <w:sz w:val="20"/>
          <w:szCs w:val="20"/>
          <w:color w:val="auto"/>
        </w:rPr>
        <w:t>therapeutic window of these approaches. Given that healthy blood cells express CD47, providing a pro-phagocytic “eat me” signal</w:t>
      </w:r>
    </w:p>
    <w:p>
      <w:pPr>
        <w:spacing w:after="0"/>
        <w:rPr>
          <w:sz w:val="20"/>
          <w:szCs w:val="20"/>
          <w:color w:val="auto"/>
        </w:rPr>
      </w:pPr>
      <w:r>
        <w:rPr>
          <w:rFonts w:ascii="Times New Roman" w:cs="Times New Roman" w:eastAsia="Times New Roman" w:hAnsi="Times New Roman"/>
          <w:sz w:val="19"/>
          <w:szCs w:val="19"/>
          <w:color w:val="auto"/>
        </w:rPr>
        <w:t>while simultaneously blocking CD47, it can lead to the destruction of healthy cells. Clinical trials of CD47 blocking agents with active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Fc domains have shown frequent occurrences of treatment-related cytopenias that we believe are caused by this drug design choice.</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majority of clinical data to date from other CD47 blocking agents have come from approaches that incorporate an active Fc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region that provides an “eat me” signal to macrophages. Given that healthy blood cells express CD47, the presence of an “eat me”</w:t>
      </w:r>
    </w:p>
    <w:p>
      <w:pPr>
        <w:spacing w:after="0" w:line="238" w:lineRule="auto"/>
        <w:rPr>
          <w:sz w:val="20"/>
          <w:szCs w:val="20"/>
          <w:color w:val="auto"/>
        </w:rPr>
      </w:pPr>
      <w:r>
        <w:rPr>
          <w:rFonts w:ascii="Times New Roman" w:cs="Times New Roman" w:eastAsia="Times New Roman" w:hAnsi="Times New Roman"/>
          <w:sz w:val="20"/>
          <w:szCs w:val="20"/>
          <w:color w:val="auto"/>
        </w:rPr>
        <w:t>signal coupled with CD47 binding in a single-agent leads to destruction of blood cells. This mechanism is illustrated in the figure</w:t>
      </w:r>
    </w:p>
    <w:p>
      <w:pPr>
        <w:spacing w:after="0" w:line="238" w:lineRule="auto"/>
        <w:rPr>
          <w:sz w:val="20"/>
          <w:szCs w:val="20"/>
          <w:color w:val="auto"/>
        </w:rPr>
      </w:pPr>
      <w:r>
        <w:rPr>
          <w:rFonts w:ascii="Times New Roman" w:cs="Times New Roman" w:eastAsia="Times New Roman" w:hAnsi="Times New Roman"/>
          <w:sz w:val="20"/>
          <w:szCs w:val="20"/>
          <w:color w:val="auto"/>
        </w:rPr>
        <w:t>below. The trials of these other CD47 blocking agents have resulted in frequent occurrence of treatment-related cytopenias that we</w:t>
      </w:r>
    </w:p>
    <w:p>
      <w:pPr>
        <w:spacing w:after="0"/>
        <w:rPr>
          <w:sz w:val="20"/>
          <w:szCs w:val="20"/>
          <w:color w:val="auto"/>
        </w:rPr>
      </w:pPr>
      <w:r>
        <w:rPr>
          <w:rFonts w:ascii="Times New Roman" w:cs="Times New Roman" w:eastAsia="Times New Roman" w:hAnsi="Times New Roman"/>
          <w:sz w:val="20"/>
          <w:szCs w:val="20"/>
          <w:color w:val="auto"/>
        </w:rPr>
        <w:t>believe limits the therapeutic window of these agents. In addition to limiting the dosing, cytopenias can be dangerous for patients</w:t>
      </w:r>
    </w:p>
    <w:p>
      <w:pPr>
        <w:spacing w:after="0"/>
        <w:rPr>
          <w:sz w:val="20"/>
          <w:szCs w:val="20"/>
          <w:color w:val="auto"/>
        </w:rPr>
      </w:pPr>
      <w:r>
        <w:rPr>
          <w:rFonts w:ascii="Times New Roman" w:cs="Times New Roman" w:eastAsia="Times New Roman" w:hAnsi="Times New Roman"/>
          <w:sz w:val="19"/>
          <w:szCs w:val="19"/>
          <w:color w:val="auto"/>
        </w:rPr>
        <w:t>undergoing treatment for cancer as they may already have a compromised immune system related to intensive treatment regimens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144780</wp:posOffset>
            </wp:positionV>
            <wp:extent cx="6811010" cy="1891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6811010" cy="1891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Advantages of ALX’s Approach to Blocking CD47</w:t>
      </w:r>
    </w:p>
    <w:p>
      <w:pPr>
        <w:spacing w:after="0" w:line="121" w:lineRule="exact"/>
        <w:rPr>
          <w:sz w:val="20"/>
          <w:szCs w:val="20"/>
          <w:color w:val="auto"/>
        </w:rPr>
      </w:pPr>
    </w:p>
    <w:p>
      <w:pPr>
        <w:jc w:val="both"/>
        <w:ind w:right="120" w:firstLine="489"/>
        <w:spacing w:after="0" w:line="250" w:lineRule="auto"/>
        <w:rPr>
          <w:sz w:val="20"/>
          <w:szCs w:val="20"/>
          <w:color w:val="auto"/>
        </w:rPr>
      </w:pPr>
      <w:r>
        <w:rPr>
          <w:rFonts w:ascii="Times New Roman" w:cs="Times New Roman" w:eastAsia="Times New Roman" w:hAnsi="Times New Roman"/>
          <w:sz w:val="20"/>
          <w:szCs w:val="20"/>
          <w:color w:val="auto"/>
        </w:rPr>
        <w:t>We founded ALX Oncology because we believed the limitations described above would prevent CD47 blockade from reaching its full potential as a therapy for patients with cancer. From our inception, we designed evorpacept to overcome these limitations and to maximize the utility of CD47 blockade as an effective anti-cancer therapeutic for a broad range of tumors. Specifically, we believe evorpacept may provide the following significant advantages:</w:t>
      </w:r>
    </w:p>
    <w:p>
      <w:pPr>
        <w:spacing w:after="0" w:line="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b w:val="1"/>
          <w:bCs w:val="1"/>
          <w:color w:val="auto"/>
        </w:rPr>
        <w:t>Broader therapeutic window</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We believe evorpacept’s broader therapeutic window will allow for greater drug exposure</w:t>
      </w:r>
    </w:p>
    <w:p>
      <w:pPr>
        <w:spacing w:after="0" w:line="4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than other CD47 blocking agents potentially translating into improved efficacy across a range of cancers compared to</w:t>
      </w:r>
    </w:p>
    <w:p>
      <w:pPr>
        <w:ind w:left="980"/>
        <w:spacing w:after="0" w:line="238" w:lineRule="auto"/>
        <w:rPr>
          <w:sz w:val="20"/>
          <w:szCs w:val="20"/>
          <w:color w:val="auto"/>
        </w:rPr>
      </w:pPr>
      <w:r>
        <w:rPr>
          <w:rFonts w:ascii="Times New Roman" w:cs="Times New Roman" w:eastAsia="Times New Roman" w:hAnsi="Times New Roman"/>
          <w:sz w:val="20"/>
          <w:szCs w:val="20"/>
          <w:color w:val="auto"/>
        </w:rPr>
        <w:t>other CD47 blocking agents. Furthermore, flexibility in dosing has allowed for several administration schedules (weekly,</w:t>
      </w:r>
    </w:p>
    <w:p>
      <w:pPr>
        <w:ind w:left="980"/>
        <w:spacing w:after="0"/>
        <w:rPr>
          <w:sz w:val="20"/>
          <w:szCs w:val="20"/>
          <w:color w:val="auto"/>
        </w:rPr>
      </w:pPr>
      <w:r>
        <w:rPr>
          <w:rFonts w:ascii="Times New Roman" w:cs="Times New Roman" w:eastAsia="Times New Roman" w:hAnsi="Times New Roman"/>
          <w:sz w:val="20"/>
          <w:szCs w:val="20"/>
          <w:color w:val="auto"/>
        </w:rPr>
        <w:t>bi-weekly, every three weeks, monthly) that are more amenable to combination therapy dosing schedules.</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b w:val="1"/>
          <w:bCs w:val="1"/>
          <w:color w:val="auto"/>
        </w:rPr>
        <w:t xml:space="preserve">Strong potential for combination with other anti-cancer agents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CD47 blocking agents are combined with other</w:t>
      </w:r>
    </w:p>
    <w:p>
      <w:pPr>
        <w:spacing w:after="0" w:line="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therapeutics in order to maximize their potential in treating patients with cancer. Unlike other CD47 blocking agents,</w:t>
      </w:r>
    </w:p>
    <w:p>
      <w:pPr>
        <w:ind w:left="980"/>
        <w:spacing w:after="0" w:line="238" w:lineRule="auto"/>
        <w:rPr>
          <w:sz w:val="20"/>
          <w:szCs w:val="20"/>
          <w:color w:val="auto"/>
        </w:rPr>
      </w:pPr>
      <w:r>
        <w:rPr>
          <w:rFonts w:ascii="Times New Roman" w:cs="Times New Roman" w:eastAsia="Times New Roman" w:hAnsi="Times New Roman"/>
          <w:sz w:val="20"/>
          <w:szCs w:val="20"/>
          <w:color w:val="auto"/>
        </w:rPr>
        <w:t>evorpacept was specifically designed to be combined with other anti-cancer agents. We believe evorpacept’s favorable</w:t>
      </w:r>
    </w:p>
    <w:p>
      <w:pPr>
        <w:ind w:left="980"/>
        <w:spacing w:after="0" w:line="238" w:lineRule="auto"/>
        <w:rPr>
          <w:sz w:val="20"/>
          <w:szCs w:val="20"/>
          <w:color w:val="auto"/>
        </w:rPr>
      </w:pPr>
      <w:r>
        <w:rPr>
          <w:rFonts w:ascii="Times New Roman" w:cs="Times New Roman" w:eastAsia="Times New Roman" w:hAnsi="Times New Roman"/>
          <w:sz w:val="20"/>
          <w:szCs w:val="20"/>
          <w:color w:val="auto"/>
        </w:rPr>
        <w:t>toxicity profile will enable it to be combined with a wider range of anti-cancer agents, including anti-cancer antibodies,</w:t>
      </w:r>
    </w:p>
    <w:p>
      <w:pPr>
        <w:spacing w:after="0" w:line="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9"/>
          <w:szCs w:val="19"/>
          <w:color w:val="auto"/>
        </w:rPr>
        <w:t>chemotherapy and cytotoxic containing regimens, compared to other CD47 blocking agents. Furthermore, we believe that</w:t>
      </w:r>
    </w:p>
    <w:p>
      <w:pPr>
        <w:spacing w:after="0" w:line="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evorpacept’s inactive Fc domain will neither compete with nor potentially limit the efficacy of anti-cancer antibodies</w:t>
      </w:r>
    </w:p>
    <w:p>
      <w:pPr>
        <w:ind w:left="980"/>
        <w:spacing w:after="0"/>
        <w:rPr>
          <w:sz w:val="20"/>
          <w:szCs w:val="20"/>
          <w:color w:val="auto"/>
        </w:rPr>
      </w:pPr>
      <w:r>
        <w:rPr>
          <w:rFonts w:ascii="Times New Roman" w:cs="Times New Roman" w:eastAsia="Times New Roman" w:hAnsi="Times New Roman"/>
          <w:sz w:val="20"/>
          <w:szCs w:val="20"/>
          <w:color w:val="auto"/>
        </w:rPr>
        <w:t>when used in combination treatments.</w:t>
      </w:r>
    </w:p>
    <w:p>
      <w:pPr>
        <w:spacing w:after="0" w:line="86" w:lineRule="exact"/>
        <w:rPr>
          <w:sz w:val="20"/>
          <w:szCs w:val="20"/>
          <w:color w:val="auto"/>
        </w:rPr>
      </w:pPr>
    </w:p>
    <w:p>
      <w:pPr>
        <w:ind w:left="980" w:right="120"/>
        <w:spacing w:after="0" w:line="251" w:lineRule="auto"/>
        <w:rPr>
          <w:sz w:val="20"/>
          <w:szCs w:val="20"/>
          <w:color w:val="auto"/>
        </w:rPr>
      </w:pPr>
      <w:r>
        <w:rPr>
          <w:rFonts w:ascii="Times New Roman" w:cs="Times New Roman" w:eastAsia="Times New Roman" w:hAnsi="Times New Roman"/>
          <w:sz w:val="20"/>
          <w:szCs w:val="20"/>
          <w:b w:val="1"/>
          <w:bCs w:val="1"/>
          <w:color w:val="auto"/>
        </w:rPr>
        <w:t xml:space="preserve">Targeted immune-oncology development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Biomarker analyses completed in 2025 and 2026 from clinical trials in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evorpacept combination treatments support the use of CD47 expression as a predictive biomarker for evorpacept activity. We believe that a biomarker-driven approach incorporating CD47 expression may optimize patient selection for evorpacept combinations in subsequent development.</w:t>
      </w:r>
    </w:p>
    <w:p>
      <w:pPr>
        <w:sectPr>
          <w:pgSz w:w="12240" w:h="15840" w:orient="portrait"/>
          <w:cols w:equalWidth="0" w:num="1">
            <w:col w:w="10720"/>
          </w:cols>
          <w:pgMar w:left="760" w:top="974" w:right="760" w:bottom="2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ectPr>
          <w:pgSz w:w="12240" w:h="15840" w:orient="portrait"/>
          <w:cols w:equalWidth="0" w:num="1">
            <w:col w:w="10720"/>
          </w:cols>
          <w:pgMar w:left="760" w:top="974" w:right="760" w:bottom="282" w:gutter="0" w:footer="0" w:header="0"/>
          <w:type w:val="continuous"/>
        </w:sectPr>
      </w:pPr>
    </w:p>
    <w:bookmarkStart w:id="18" w:name="page19"/>
    <w:bookmarkEnd w:id="18"/>
    <w:p>
      <w:pPr>
        <w:ind w:left="960" w:right="200" w:hanging="477"/>
        <w:spacing w:after="0" w:line="264" w:lineRule="auto"/>
        <w:tabs>
          <w:tab w:leader="none" w:pos="960" w:val="left"/>
        </w:tabs>
        <w:numPr>
          <w:ilvl w:val="0"/>
          <w:numId w:val="15"/>
        </w:numPr>
        <w:rPr>
          <w:rFonts w:ascii="PMingLiU" w:cs="PMingLiU" w:eastAsia="PMingLiU" w:hAnsi="PMingLiU"/>
          <w:sz w:val="19"/>
          <w:szCs w:val="19"/>
          <w:color w:val="auto"/>
        </w:rPr>
      </w:pPr>
      <w:r>
        <w:rPr>
          <w:rFonts w:ascii="Times New Roman" w:cs="Times New Roman" w:eastAsia="Times New Roman" w:hAnsi="Times New Roman"/>
          <w:sz w:val="19"/>
          <w:szCs w:val="19"/>
          <w:b w:val="1"/>
          <w:bCs w:val="1"/>
          <w:color w:val="auto"/>
        </w:rPr>
        <w:t>Broader potential indications</w:t>
      </w:r>
      <w:r>
        <w:rPr>
          <w:rFonts w:ascii="Times New Roman" w:cs="Times New Roman" w:eastAsia="Times New Roman" w:hAnsi="Times New Roman"/>
          <w:sz w:val="19"/>
          <w:szCs w:val="19"/>
          <w:color w:val="auto"/>
        </w:rPr>
        <w:t>: We believe evorpacept’s tolerability profile will allow for broad treatment of patient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populations in a wide range of oncology indications. Toxicities such as cytopenias associated with other CD47 blocking agents may potentially constrain their development strategies. We believe evorpacept is well positioned to expand the therapeutic potential of CD47 blockade across a broad spectrum of hematologic and solid tumor indications.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Evorpacept</w:t>
      </w:r>
    </w:p>
    <w:p>
      <w:pPr>
        <w:spacing w:after="0" w:line="122"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20"/>
          <w:szCs w:val="20"/>
          <w:color w:val="auto"/>
        </w:rPr>
        <w:t>Our lead product candidate, evorpacept, is a CD47 blocking biologic in development as a combination therapy with other anti-cancer agents for treatment of various oncology indications, including gastric/GEJ, breast cancer, multiple myeloma, and NHL. We engineered evorpacept to maximize CD47 blockade and to avoid hematologic toxicities. We believe evorpacept enhances the efficacy of both anti-cancer targeted antibodies, numerous small molecule drugs and T cell checkpoint inhibitors and exhibits no dose-dependent cytopenias. Evorpacept has demonstrated encouraging clinical responses in combination with multiple anti-cancer regimens for both hematologic and solid malignancies.</w:t>
      </w:r>
    </w:p>
    <w:p>
      <w:pPr>
        <w:spacing w:after="0" w:line="81" w:lineRule="exact"/>
        <w:rPr>
          <w:sz w:val="20"/>
          <w:szCs w:val="20"/>
          <w:color w:val="auto"/>
        </w:rPr>
      </w:pPr>
    </w:p>
    <w:p>
      <w:pPr>
        <w:ind w:right="80" w:firstLine="486"/>
        <w:spacing w:after="0" w:line="247" w:lineRule="auto"/>
        <w:rPr>
          <w:sz w:val="20"/>
          <w:szCs w:val="20"/>
          <w:color w:val="auto"/>
        </w:rPr>
      </w:pPr>
      <w:r>
        <w:rPr>
          <w:rFonts w:ascii="Times New Roman" w:cs="Times New Roman" w:eastAsia="Times New Roman" w:hAnsi="Times New Roman"/>
          <w:sz w:val="20"/>
          <w:szCs w:val="20"/>
          <w:color w:val="auto"/>
        </w:rPr>
        <w:t>Other companies have pursued CD47 blocking approaches that prioritize single-agent activity, albeit with limited success in efficacy and significant toxicity. Rather than designing a molecule for monotherapy activity that has been associated with cytopenias, we designed evorpacept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Fusion Protein Design</w:t>
      </w:r>
    </w:p>
    <w:p>
      <w:pPr>
        <w:spacing w:after="0" w:line="118" w:lineRule="exact"/>
        <w:rPr>
          <w:sz w:val="20"/>
          <w:szCs w:val="20"/>
          <w:color w:val="auto"/>
        </w:rPr>
      </w:pPr>
    </w:p>
    <w:p>
      <w:pPr>
        <w:jc w:val="both"/>
        <w:ind w:right="120" w:firstLine="487"/>
        <w:spacing w:after="0" w:line="256" w:lineRule="auto"/>
        <w:rPr>
          <w:sz w:val="20"/>
          <w:szCs w:val="20"/>
          <w:color w:val="auto"/>
        </w:rPr>
      </w:pPr>
      <w:r>
        <w:rPr>
          <w:rFonts w:ascii="Times New Roman" w:cs="Times New Roman" w:eastAsia="Times New Roman" w:hAnsi="Times New Roman"/>
          <w:sz w:val="20"/>
          <w:szCs w:val="20"/>
          <w:color w:val="auto"/>
        </w:rPr>
        <w:t>Evorpacept is a fusion protein designed to provide a high CD47 blocking potency while potentially eliminating any associated toxicities. Our fusion protein comprises an engineered CD47-binding domain of 6,53Į that has been genetically linked to a modified human immunoglobulin-derived Fc domain that does not bind to )FȖ receptors. We engineered evorpacept in two important ways:</w:t>
      </w:r>
    </w:p>
    <w:p>
      <w:pPr>
        <w:spacing w:after="0" w:line="69" w:lineRule="exact"/>
        <w:rPr>
          <w:sz w:val="20"/>
          <w:szCs w:val="20"/>
          <w:color w:val="auto"/>
        </w:rPr>
      </w:pPr>
    </w:p>
    <w:p>
      <w:pPr>
        <w:ind w:left="960" w:right="280" w:hanging="477"/>
        <w:spacing w:after="0" w:line="261" w:lineRule="auto"/>
        <w:tabs>
          <w:tab w:leader="none" w:pos="960" w:val="left"/>
        </w:tabs>
        <w:numPr>
          <w:ilvl w:val="0"/>
          <w:numId w:val="1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 xml:space="preserve">We mutated the binding domain to optimize CD47 affinity. Evorpacept binding domain demonstrates an affinity that is over 3,000 times stronger than wildtype 6,53Į </w:t>
      </w:r>
    </w:p>
    <w:p>
      <w:pPr>
        <w:spacing w:after="0" w:line="61" w:lineRule="exact"/>
        <w:rPr>
          <w:rFonts w:ascii="PMingLiU" w:cs="PMingLiU" w:eastAsia="PMingLiU" w:hAnsi="PMingLiU"/>
          <w:sz w:val="20"/>
          <w:szCs w:val="20"/>
          <w:color w:val="auto"/>
        </w:rPr>
      </w:pPr>
    </w:p>
    <w:p>
      <w:pPr>
        <w:ind w:left="980" w:right="60" w:hanging="496"/>
        <w:spacing w:after="0" w:line="249" w:lineRule="auto"/>
        <w:tabs>
          <w:tab w:leader="none" w:pos="980" w:val="left"/>
        </w:tabs>
        <w:numPr>
          <w:ilvl w:val="0"/>
          <w:numId w:val="1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fused the CD47-binding region of 6,53Į to an inactive Fc domain. Incorporating an inactive Fc domain was intended to eliminate single-agent activation of macrophages while still maintaining an antibody-like pharmacokinetic, or PK, profile.</w:t>
      </w:r>
    </w:p>
    <w:p>
      <w:pPr>
        <w:spacing w:after="0" w:line="75" w:lineRule="exact"/>
        <w:rPr>
          <w:sz w:val="20"/>
          <w:szCs w:val="20"/>
          <w:color w:val="auto"/>
        </w:rPr>
      </w:pPr>
    </w:p>
    <w:p>
      <w:pPr>
        <w:ind w:right="860" w:firstLine="487"/>
        <w:spacing w:after="0" w:line="274" w:lineRule="auto"/>
        <w:rPr>
          <w:sz w:val="20"/>
          <w:szCs w:val="20"/>
          <w:color w:val="auto"/>
        </w:rPr>
      </w:pPr>
      <w:r>
        <w:rPr>
          <w:rFonts w:ascii="Times New Roman" w:cs="Times New Roman" w:eastAsia="Times New Roman" w:hAnsi="Times New Roman"/>
          <w:sz w:val="20"/>
          <w:szCs w:val="20"/>
          <w:color w:val="auto"/>
        </w:rPr>
        <w:t>The successful design of evorpacept required in-house generation of approximately 280 different protein constructs to thoroughly evaluate and optimize the impact of differing designs on multiple important evaluation criteria.</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order to optimize evorpacept’s properties we conducted the following processes: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Design of the high-affinity CD47 binding domain:</w:t>
      </w:r>
    </w:p>
    <w:p>
      <w:pPr>
        <w:spacing w:after="0" w:line="118" w:lineRule="exact"/>
        <w:rPr>
          <w:sz w:val="20"/>
          <w:szCs w:val="20"/>
          <w:color w:val="auto"/>
        </w:rPr>
      </w:pPr>
    </w:p>
    <w:p>
      <w:pPr>
        <w:ind w:left="980" w:hanging="496"/>
        <w:spacing w:after="0"/>
        <w:tabs>
          <w:tab w:leader="none" w:pos="98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Optimization of binding affinity for human CD47;</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Optimization of cross-reactivity to rodent and monkey CD47 to enable key translational experiments; and</w:t>
      </w:r>
    </w:p>
    <w:p>
      <w:pPr>
        <w:spacing w:after="0" w:line="104" w:lineRule="exact"/>
        <w:rPr>
          <w:rFonts w:ascii="PMingLiU" w:cs="PMingLiU" w:eastAsia="PMingLiU" w:hAnsi="PMingLiU"/>
          <w:sz w:val="20"/>
          <w:szCs w:val="20"/>
          <w:color w:val="auto"/>
        </w:rPr>
      </w:pPr>
    </w:p>
    <w:p>
      <w:pPr>
        <w:ind w:left="480" w:right="660" w:firstLine="4"/>
        <w:spacing w:after="0" w:line="352" w:lineRule="auto"/>
        <w:tabs>
          <w:tab w:leader="none" w:pos="967"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Elimination of partially glycosylated sites in 6,53Į to remove heterogeneity and enable consistent manufacturing. Design of the optimal fusion combination for PK extension:</w:t>
      </w:r>
    </w:p>
    <w:p>
      <w:pPr>
        <w:spacing w:after="0" w:line="1" w:lineRule="exact"/>
        <w:rPr>
          <w:rFonts w:ascii="PMingLiU" w:cs="PMingLiU" w:eastAsia="PMingLiU" w:hAnsi="PMingLiU"/>
          <w:sz w:val="20"/>
          <w:szCs w:val="20"/>
          <w:color w:val="auto"/>
        </w:rPr>
      </w:pPr>
    </w:p>
    <w:p>
      <w:pPr>
        <w:ind w:left="980" w:hanging="496"/>
        <w:spacing w:after="0"/>
        <w:tabs>
          <w:tab w:leader="none" w:pos="98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Selection of an immunoglobulin isotype to prevent hemagglutination; and</w:t>
      </w:r>
    </w:p>
    <w:p>
      <w:pPr>
        <w:spacing w:after="0" w:line="104" w:lineRule="exact"/>
        <w:rPr>
          <w:rFonts w:ascii="PMingLiU" w:cs="PMingLiU" w:eastAsia="PMingLiU" w:hAnsi="PMingLiU"/>
          <w:sz w:val="20"/>
          <w:szCs w:val="20"/>
          <w:color w:val="auto"/>
        </w:rPr>
      </w:pPr>
    </w:p>
    <w:p>
      <w:pPr>
        <w:ind w:left="980" w:right="640" w:hanging="496"/>
        <w:spacing w:after="0" w:line="261" w:lineRule="auto"/>
        <w:tabs>
          <w:tab w:leader="none" w:pos="980" w:val="left"/>
        </w:tabs>
        <w:numPr>
          <w:ilvl w:val="0"/>
          <w:numId w:val="1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Selection of mutations to immunoglobulin G1, or IgG1, to functionally eliminate )FȖ binding and avoid associated cytopenias while maintaining neonatal Fc receptor binding that enables antibody-like PK.</w:t>
      </w:r>
    </w:p>
    <w:p>
      <w:pPr>
        <w:spacing w:after="0" w:line="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illustrated in the figure below, evorpacept comprises:</w:t>
      </w:r>
    </w:p>
    <w:p>
      <w:pPr>
        <w:spacing w:after="0" w:line="118" w:lineRule="exact"/>
        <w:rPr>
          <w:sz w:val="20"/>
          <w:szCs w:val="20"/>
          <w:color w:val="auto"/>
        </w:rPr>
      </w:pPr>
    </w:p>
    <w:p>
      <w:pPr>
        <w:ind w:left="980" w:hanging="496"/>
        <w:spacing w:after="0"/>
        <w:tabs>
          <w:tab w:leader="none" w:pos="980" w:val="left"/>
        </w:tabs>
        <w:numPr>
          <w:ilvl w:val="0"/>
          <w:numId w:val="1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 6,53Į binding domain optimized to bind to CD47 with high affinity at a picomolar level; and</w:t>
      </w:r>
    </w:p>
    <w:p>
      <w:pPr>
        <w:spacing w:after="0" w:line="104" w:lineRule="exact"/>
        <w:rPr>
          <w:rFonts w:ascii="PMingLiU" w:cs="PMingLiU" w:eastAsia="PMingLiU" w:hAnsi="PMingLiU"/>
          <w:sz w:val="20"/>
          <w:szCs w:val="20"/>
          <w:color w:val="auto"/>
        </w:rPr>
      </w:pPr>
    </w:p>
    <w:p>
      <w:pPr>
        <w:ind w:left="980" w:right="100" w:hanging="496"/>
        <w:spacing w:after="0" w:line="261" w:lineRule="auto"/>
        <w:tabs>
          <w:tab w:leader="none" w:pos="980" w:val="left"/>
        </w:tabs>
        <w:numPr>
          <w:ilvl w:val="0"/>
          <w:numId w:val="1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 inactive Fc domain that reduces cytopenias while preserving the desired PK properties of antibodies with an active Fc domain.</w:t>
      </w:r>
    </w:p>
    <w:p>
      <w:pPr>
        <w:sectPr>
          <w:pgSz w:w="12240" w:h="15840" w:orient="portrait"/>
          <w:cols w:equalWidth="0" w:num="1">
            <w:col w:w="10720"/>
          </w:cols>
          <w:pgMar w:left="760" w:top="974" w:right="760" w:bottom="2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ectPr>
          <w:pgSz w:w="12240" w:h="15840" w:orient="portrait"/>
          <w:cols w:equalWidth="0" w:num="1">
            <w:col w:w="10720"/>
          </w:cols>
          <w:pgMar w:left="760" w:top="974" w:right="760" w:bottom="280" w:gutter="0" w:footer="0" w:header="0"/>
          <w:type w:val="continuous"/>
        </w:sectPr>
      </w:pPr>
    </w:p>
    <w:bookmarkStart w:id="19" w:name="page20"/>
    <w:bookmarkEnd w:id="19"/>
    <w:p>
      <w:pPr>
        <w:ind w:left="480"/>
        <w:spacing w:after="0"/>
        <w:rPr>
          <w:sz w:val="20"/>
          <w:szCs w:val="20"/>
          <w:color w:val="auto"/>
        </w:rPr>
      </w:pPr>
      <w:r>
        <w:rPr>
          <w:rFonts w:ascii="Times New Roman" w:cs="Times New Roman" w:eastAsia="Times New Roman" w:hAnsi="Times New Roman"/>
          <w:sz w:val="20"/>
          <w:szCs w:val="20"/>
          <w:color w:val="auto"/>
        </w:rPr>
        <w:t>The resulting fusion protein has approximately one-half the molecular weight of a typical antibody. Evorpacept’s lower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molecular weight enables it to deliver the molar equivalent of an antibody at one half the dose. For example, a 10mg/kg of evorpacept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is equivalent to 20 mg/kg of a regular antibody. Evorpacept’s lower molecular weight may also facilitate increased solid tumor</w:t>
      </w:r>
    </w:p>
    <w:p>
      <w:pPr>
        <w:spacing w:after="0" w:line="238" w:lineRule="auto"/>
        <w:rPr>
          <w:sz w:val="20"/>
          <w:szCs w:val="20"/>
          <w:color w:val="auto"/>
        </w:rPr>
      </w:pPr>
      <w:r>
        <w:rPr>
          <w:rFonts w:ascii="Times New Roman" w:cs="Times New Roman" w:eastAsia="Times New Roman" w:hAnsi="Times New Roman"/>
          <w:sz w:val="20"/>
          <w:szCs w:val="20"/>
          <w:color w:val="auto"/>
        </w:rPr>
        <w:t>penetration and provide greater potency within the tumor microenvironment. Furthermore, evorpacept can be efficiently and</w:t>
      </w:r>
    </w:p>
    <w:p>
      <w:pPr>
        <w:spacing w:after="0"/>
        <w:rPr>
          <w:sz w:val="20"/>
          <w:szCs w:val="20"/>
          <w:color w:val="auto"/>
        </w:rPr>
      </w:pPr>
      <w:r>
        <w:rPr>
          <w:rFonts w:ascii="Times New Roman" w:cs="Times New Roman" w:eastAsia="Times New Roman" w:hAnsi="Times New Roman"/>
          <w:sz w:val="19"/>
          <w:szCs w:val="19"/>
          <w:color w:val="auto"/>
        </w:rPr>
        <w:t>consistently produced at high yield at commercial scale utilizing standard monoclonal antibody manufacturing techniques. We believe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evorpacept’s differentiated properties potentially overcome the limitations of other CD47 blocking agents and may have utility as a</w:t>
      </w:r>
    </w:p>
    <w:p>
      <w:pPr>
        <w:spacing w:after="0"/>
        <w:rPr>
          <w:sz w:val="20"/>
          <w:szCs w:val="20"/>
          <w:color w:val="auto"/>
        </w:rPr>
      </w:pPr>
      <w:r>
        <w:rPr>
          <w:rFonts w:ascii="Times New Roman" w:cs="Times New Roman" w:eastAsia="Times New Roman" w:hAnsi="Times New Roman"/>
          <w:sz w:val="20"/>
          <w:szCs w:val="20"/>
          <w:color w:val="auto"/>
        </w:rPr>
        <w:t>combination agent in oncology.</w:t>
      </w:r>
    </w:p>
    <w:p>
      <w:pPr>
        <w:spacing w:after="0" w:line="330"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0"/>
          <w:szCs w:val="20"/>
          <w:i w:val="1"/>
          <w:iCs w:val="1"/>
          <w:color w:val="auto"/>
        </w:rPr>
        <w:t>Our lead candidate, evorpacept, is a fusion protein that potently and selectively binds CD47 to block the SIRP</w:t>
      </w:r>
      <w:r>
        <w:rPr>
          <w:sz w:val="20"/>
          <w:szCs w:val="20"/>
          <w:color w:val="auto"/>
        </w:rPr>
        <w:tab/>
      </w:r>
      <w:r>
        <w:rPr>
          <w:rFonts w:ascii="Times New Roman" w:cs="Times New Roman" w:eastAsia="Times New Roman" w:hAnsi="Times New Roman"/>
          <w:sz w:val="19"/>
          <w:szCs w:val="19"/>
          <w:i w:val="1"/>
          <w:iCs w:val="1"/>
          <w:color w:val="auto"/>
        </w:rPr>
        <w:t>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168275</wp:posOffset>
            </wp:positionV>
            <wp:extent cx="6536690" cy="2809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6536690" cy="2809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Pre-Clinical Differentiation</w:t>
      </w:r>
    </w:p>
    <w:p>
      <w:pPr>
        <w:spacing w:after="0" w:line="116" w:lineRule="exact"/>
        <w:rPr>
          <w:sz w:val="20"/>
          <w:szCs w:val="20"/>
          <w:color w:val="auto"/>
        </w:rPr>
      </w:pPr>
    </w:p>
    <w:p>
      <w:pPr>
        <w:ind w:right="360" w:firstLine="480"/>
        <w:spacing w:after="0" w:line="274" w:lineRule="auto"/>
        <w:rPr>
          <w:sz w:val="20"/>
          <w:szCs w:val="20"/>
          <w:color w:val="auto"/>
        </w:rPr>
      </w:pPr>
      <w:r>
        <w:rPr>
          <w:rFonts w:ascii="Times New Roman" w:cs="Times New Roman" w:eastAsia="Times New Roman" w:hAnsi="Times New Roman"/>
          <w:sz w:val="20"/>
          <w:szCs w:val="20"/>
          <w:color w:val="auto"/>
        </w:rPr>
        <w:t>Our preclinical studies of evorpacept support a target product profile of favorable tolerability, the ability to be dosed at high levels and increased anti-tumor activity as compared to other CD47 blocking agents. These data include the following: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Lack of hematologic side effects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preclinical data demonstrate that CD47 blocking agents with an active Fc domain directly cause adverse hematologic side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effects. To support this hypothesis, we engineered a fusion protein with a 6,53Į CD47-binding domain identical to evorpacept’s</w:t>
      </w:r>
    </w:p>
    <w:p>
      <w:pPr>
        <w:spacing w:after="0" w:line="238" w:lineRule="auto"/>
        <w:rPr>
          <w:sz w:val="20"/>
          <w:szCs w:val="20"/>
          <w:color w:val="auto"/>
        </w:rPr>
      </w:pPr>
      <w:r>
        <w:rPr>
          <w:rFonts w:ascii="Times New Roman" w:cs="Times New Roman" w:eastAsia="Times New Roman" w:hAnsi="Times New Roman"/>
          <w:sz w:val="20"/>
          <w:szCs w:val="20"/>
          <w:color w:val="auto"/>
        </w:rPr>
        <w:t>binding domain but fused to an active, wild-type IgG1 Fc domain, ALX377. We administered 30 mg/kg evorpacept and 30 mg/kg</w:t>
      </w:r>
    </w:p>
    <w:p>
      <w:pPr>
        <w:spacing w:after="0" w:line="238" w:lineRule="auto"/>
        <w:rPr>
          <w:sz w:val="20"/>
          <w:szCs w:val="20"/>
          <w:color w:val="auto"/>
        </w:rPr>
      </w:pPr>
      <w:r>
        <w:rPr>
          <w:rFonts w:ascii="Times New Roman" w:cs="Times New Roman" w:eastAsia="Times New Roman" w:hAnsi="Times New Roman"/>
          <w:sz w:val="20"/>
          <w:szCs w:val="20"/>
          <w:color w:val="auto"/>
        </w:rPr>
        <w:t>ALX377 in mouse models and measured red blood cell, or RBC, platelet and white blood cell (lymphocyte, monocytes and</w:t>
      </w:r>
    </w:p>
    <w:p>
      <w:pPr>
        <w:spacing w:after="0"/>
        <w:rPr>
          <w:sz w:val="20"/>
          <w:szCs w:val="20"/>
          <w:color w:val="auto"/>
        </w:rPr>
      </w:pPr>
      <w:r>
        <w:rPr>
          <w:rFonts w:ascii="Times New Roman" w:cs="Times New Roman" w:eastAsia="Times New Roman" w:hAnsi="Times New Roman"/>
          <w:sz w:val="20"/>
          <w:szCs w:val="20"/>
          <w:color w:val="auto"/>
        </w:rPr>
        <w:t>granulocytes) counts. As shown in the figure below, mice treated with evorpacept having an inactive Fc domain showed blood count</w:t>
      </w:r>
    </w:p>
    <w:p>
      <w:pPr>
        <w:spacing w:after="0" w:line="238" w:lineRule="auto"/>
        <w:rPr>
          <w:sz w:val="20"/>
          <w:szCs w:val="20"/>
          <w:color w:val="auto"/>
        </w:rPr>
      </w:pPr>
      <w:r>
        <w:rPr>
          <w:rFonts w:ascii="Times New Roman" w:cs="Times New Roman" w:eastAsia="Times New Roman" w:hAnsi="Times New Roman"/>
          <w:sz w:val="20"/>
          <w:szCs w:val="20"/>
          <w:color w:val="auto"/>
        </w:rPr>
        <w:t>levels that were similar to the pre-dose baseline. In contrast, mice treated with ALX377 having an active Fc domain showed average</w:t>
      </w:r>
    </w:p>
    <w:p>
      <w:pPr>
        <w:spacing w:after="0" w:line="238" w:lineRule="auto"/>
        <w:rPr>
          <w:sz w:val="20"/>
          <w:szCs w:val="20"/>
          <w:color w:val="auto"/>
        </w:rPr>
      </w:pPr>
      <w:r>
        <w:rPr>
          <w:rFonts w:ascii="Times New Roman" w:cs="Times New Roman" w:eastAsia="Times New Roman" w:hAnsi="Times New Roman"/>
          <w:sz w:val="20"/>
          <w:szCs w:val="20"/>
          <w:color w:val="auto"/>
        </w:rPr>
        <w:t>decreases of 34% in RBC count, 70% in platelet count and 67% in white blood cell count three days post-dosing as compared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baseline counts.</w:t>
      </w:r>
    </w:p>
    <w:p>
      <w:pPr>
        <w:sectPr>
          <w:pgSz w:w="12240" w:h="15840" w:orient="portrait"/>
          <w:cols w:equalWidth="0" w:num="1">
            <w:col w:w="10680"/>
          </w:cols>
          <w:pgMar w:left="760" w:top="977" w:right="80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10</w:t>
      </w:r>
    </w:p>
    <w:p>
      <w:pPr>
        <w:sectPr>
          <w:pgSz w:w="12240" w:h="15840" w:orient="portrait"/>
          <w:cols w:equalWidth="0" w:num="1">
            <w:col w:w="10680"/>
          </w:cols>
          <w:pgMar w:left="760" w:top="977" w:right="800" w:bottom="236" w:gutter="0" w:footer="0" w:header="0"/>
          <w:type w:val="continuous"/>
        </w:sectPr>
      </w:pPr>
    </w:p>
    <w:bookmarkStart w:id="20" w:name="page21"/>
    <w:bookmarkEnd w:id="20"/>
    <w:p>
      <w:pPr>
        <w:ind w:left="20"/>
        <w:spacing w:after="0"/>
        <w:rPr>
          <w:sz w:val="20"/>
          <w:szCs w:val="20"/>
          <w:color w:val="auto"/>
        </w:rPr>
      </w:pPr>
      <w:r>
        <w:rPr>
          <w:rFonts w:ascii="Times New Roman" w:cs="Times New Roman" w:eastAsia="Times New Roman" w:hAnsi="Times New Roman"/>
          <w:sz w:val="20"/>
          <w:szCs w:val="20"/>
          <w:i w:val="1"/>
          <w:iCs w:val="1"/>
          <w:color w:val="auto"/>
        </w:rPr>
        <w:t>The inactive Fc domain on evorpacept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167005</wp:posOffset>
            </wp:positionV>
            <wp:extent cx="6546215" cy="2393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extLst>
                    </a:blip>
                    <a:srcRect/>
                    <a:stretch>
                      <a:fillRect/>
                    </a:stretch>
                  </pic:blipFill>
                  <pic:spPr bwMode="auto">
                    <a:xfrm>
                      <a:off x="0" y="0"/>
                      <a:ext cx="6546215" cy="239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firstLine="492"/>
        <w:spacing w:after="0" w:line="261" w:lineRule="auto"/>
        <w:rPr>
          <w:sz w:val="20"/>
          <w:szCs w:val="20"/>
          <w:color w:val="auto"/>
        </w:rPr>
      </w:pPr>
      <w:r>
        <w:rPr>
          <w:rFonts w:ascii="Times New Roman" w:cs="Times New Roman" w:eastAsia="Times New Roman" w:hAnsi="Times New Roman"/>
          <w:sz w:val="19"/>
          <w:szCs w:val="19"/>
          <w:color w:val="auto"/>
        </w:rPr>
        <w:t>In vitro and in vivo toxicology studies in monkeys show that evorpacept was well-tolerated at intravenous doses of up to 100 mg/kg/week in the 1-month study and up to 30 mg/kg every other week in the 3-month study with no target organ toxicity or toxicity related to the exaggerated pharmacology of evorpacept. Together, these preclinical studies demonstrate that inactivation of the Fc domain of evorpacept avoids adverse effects on normal blood cells seen on other CD47 blocking agents with an active Fc domain. They also support our expectation that evorpacept’s lack of overlapping toxicities with other anti-cancer therapies may result in fewer adverse outcomes in the clinic when combined with these therapies than combinations with conventional CD47 blocking agents.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Evorpacept elicits superior phagocytosis in combination with anti-cancer antibodies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inactive Fc of evorpacept does not compete with the active Fc domain of other therapeutic antibodies for binding with )FȖ</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receptors on effector cells of the immune system. This fact, coupled with the high-affinity CD47 binding of our agent, results in</w:t>
      </w:r>
    </w:p>
    <w:p>
      <w:pPr>
        <w:spacing w:after="0"/>
        <w:rPr>
          <w:sz w:val="20"/>
          <w:szCs w:val="20"/>
          <w:color w:val="auto"/>
        </w:rPr>
      </w:pPr>
      <w:r>
        <w:rPr>
          <w:rFonts w:ascii="Times New Roman" w:cs="Times New Roman" w:eastAsia="Times New Roman" w:hAnsi="Times New Roman"/>
          <w:sz w:val="19"/>
          <w:szCs w:val="19"/>
          <w:color w:val="auto"/>
        </w:rPr>
        <w:t>enhanced phagocytosis from evorpacept in combination with other anti-cancer antibodies to a greater extent than other CD47 blockers.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believe this will allow us to explore evorpacept in combination with a higher number of leading anti-cancer antibodies compared</w:t>
      </w:r>
    </w:p>
    <w:p>
      <w:pPr>
        <w:spacing w:after="0" w:line="238" w:lineRule="auto"/>
        <w:rPr>
          <w:sz w:val="20"/>
          <w:szCs w:val="20"/>
          <w:color w:val="auto"/>
        </w:rPr>
      </w:pPr>
      <w:r>
        <w:rPr>
          <w:rFonts w:ascii="Times New Roman" w:cs="Times New Roman" w:eastAsia="Times New Roman" w:hAnsi="Times New Roman"/>
          <w:sz w:val="20"/>
          <w:szCs w:val="20"/>
          <w:color w:val="auto"/>
        </w:rPr>
        <w:t>to other CD47 blocking agents in both hematologic malignancies and solid tumors. In order to investigate the potential effects of the</w:t>
      </w:r>
    </w:p>
    <w:p>
      <w:pPr>
        <w:spacing w:after="0" w:line="238" w:lineRule="auto"/>
        <w:rPr>
          <w:sz w:val="20"/>
          <w:szCs w:val="20"/>
          <w:color w:val="auto"/>
        </w:rPr>
      </w:pPr>
      <w:r>
        <w:rPr>
          <w:rFonts w:ascii="Times New Roman" w:cs="Times New Roman" w:eastAsia="Times New Roman" w:hAnsi="Times New Roman"/>
          <w:sz w:val="20"/>
          <w:szCs w:val="20"/>
          <w:color w:val="auto"/>
        </w:rPr>
        <w:t>Fc domain and CD47 binding affinity on phagocytic activity, we produced two CD47 blocking agents with either an IgG4 or IgG1</w:t>
      </w:r>
    </w:p>
    <w:p>
      <w:pPr>
        <w:spacing w:after="0"/>
        <w:rPr>
          <w:sz w:val="20"/>
          <w:szCs w:val="20"/>
          <w:color w:val="auto"/>
        </w:rPr>
      </w:pPr>
      <w:r>
        <w:rPr>
          <w:rFonts w:ascii="Times New Roman" w:cs="Times New Roman" w:eastAsia="Times New Roman" w:hAnsi="Times New Roman"/>
          <w:sz w:val="20"/>
          <w:szCs w:val="20"/>
          <w:color w:val="auto"/>
        </w:rPr>
        <w:t>active Fc domain, based on published sequences from two other clinical CD47 blockade programs. We combined these agents and</w:t>
      </w:r>
    </w:p>
    <w:p>
      <w:pPr>
        <w:spacing w:after="0" w:line="238" w:lineRule="auto"/>
        <w:rPr>
          <w:sz w:val="20"/>
          <w:szCs w:val="20"/>
          <w:color w:val="auto"/>
        </w:rPr>
      </w:pPr>
      <w:r>
        <w:rPr>
          <w:rFonts w:ascii="Times New Roman" w:cs="Times New Roman" w:eastAsia="Times New Roman" w:hAnsi="Times New Roman"/>
          <w:sz w:val="20"/>
          <w:szCs w:val="20"/>
          <w:color w:val="auto"/>
        </w:rPr>
        <w:t>evorpacept with cetuximab, an epidermal growth factor receptor, or EGFR, inhibitor that is the FDA approved for several solid</w:t>
      </w:r>
    </w:p>
    <w:p>
      <w:pPr>
        <w:spacing w:after="0" w:line="238" w:lineRule="auto"/>
        <w:rPr>
          <w:sz w:val="20"/>
          <w:szCs w:val="20"/>
          <w:color w:val="auto"/>
        </w:rPr>
      </w:pPr>
      <w:r>
        <w:rPr>
          <w:rFonts w:ascii="Times New Roman" w:cs="Times New Roman" w:eastAsia="Times New Roman" w:hAnsi="Times New Roman"/>
          <w:sz w:val="20"/>
          <w:szCs w:val="20"/>
          <w:color w:val="auto"/>
        </w:rPr>
        <w:t>tumors, to assess phagocytic activity as compared to single-agent cetuximab. Both cetuximab and the active Fc domain of a CD47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blocking agent bind to the same cell surface )FȖ receptors on a macrophage, potentially creating competition. IgG1 binds to receptors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higher affinity than IgG4 does, and evorpacept’s inactive Fc does not bind. This experiment shows that CD47 blocking agents</w:t>
      </w:r>
    </w:p>
    <w:p>
      <w:pPr>
        <w:spacing w:after="0" w:line="238" w:lineRule="auto"/>
        <w:rPr>
          <w:sz w:val="20"/>
          <w:szCs w:val="20"/>
          <w:color w:val="auto"/>
        </w:rPr>
      </w:pPr>
      <w:r>
        <w:rPr>
          <w:rFonts w:ascii="Times New Roman" w:cs="Times New Roman" w:eastAsia="Times New Roman" w:hAnsi="Times New Roman"/>
          <w:sz w:val="20"/>
          <w:szCs w:val="20"/>
          <w:color w:val="auto"/>
        </w:rPr>
        <w:t>with active Fc domains and lower affinity, combined with cetuximab result in lower phagocytic activity from macrophages as</w:t>
      </w:r>
    </w:p>
    <w:p>
      <w:pPr>
        <w:spacing w:after="0"/>
        <w:rPr>
          <w:sz w:val="20"/>
          <w:szCs w:val="20"/>
          <w:color w:val="auto"/>
        </w:rPr>
      </w:pPr>
      <w:r>
        <w:rPr>
          <w:rFonts w:ascii="Times New Roman" w:cs="Times New Roman" w:eastAsia="Times New Roman" w:hAnsi="Times New Roman"/>
          <w:sz w:val="19"/>
          <w:szCs w:val="19"/>
          <w:color w:val="auto"/>
        </w:rPr>
        <w:t>compared to evorpacept with cetuximab. This experiment suggests evorpacept, the only clinical CD47 blocking agent with an inactive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Fc domain and high-affinity CD47 binding, may be unique in its anti-tumor activity when combined with anti-tumor antibodies.</w:t>
      </w:r>
    </w:p>
    <w:p>
      <w:pPr>
        <w:sectPr>
          <w:pgSz w:w="12240" w:h="15840" w:orient="portrait"/>
          <w:cols w:equalWidth="0" w:num="1">
            <w:col w:w="10700"/>
          </w:cols>
          <w:pgMar w:left="760" w:top="980"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ectPr>
          <w:pgSz w:w="12240" w:h="15840" w:orient="portrait"/>
          <w:cols w:equalWidth="0" w:num="1">
            <w:col w:w="10700"/>
          </w:cols>
          <w:pgMar w:left="760" w:top="980" w:right="780" w:bottom="223" w:gutter="0" w:footer="0" w:header="0"/>
          <w:type w:val="continuous"/>
        </w:sectPr>
      </w:pPr>
    </w:p>
    <w:bookmarkStart w:id="21" w:name="page22"/>
    <w:bookmarkEnd w:id="21"/>
    <w:p>
      <w:pPr>
        <w:spacing w:after="0" w:line="272" w:lineRule="auto"/>
        <w:rPr>
          <w:sz w:val="20"/>
          <w:szCs w:val="20"/>
          <w:color w:val="auto"/>
        </w:rPr>
      </w:pPr>
      <w:r>
        <w:rPr>
          <w:rFonts w:ascii="Times New Roman" w:cs="Times New Roman" w:eastAsia="Times New Roman" w:hAnsi="Times New Roman"/>
          <w:sz w:val="20"/>
          <w:szCs w:val="20"/>
          <w:i w:val="1"/>
          <w:iCs w:val="1"/>
          <w:color w:val="auto"/>
        </w:rPr>
        <w:t>Evorpacept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6811010" cy="3216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6811010" cy="321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ALX2004 scientific background: ADC target selection</w:t>
      </w:r>
    </w:p>
    <w:p>
      <w:pPr>
        <w:spacing w:after="0" w:line="122" w:lineRule="exact"/>
        <w:rPr>
          <w:sz w:val="20"/>
          <w:szCs w:val="20"/>
          <w:color w:val="auto"/>
        </w:rPr>
      </w:pPr>
    </w:p>
    <w:p>
      <w:pPr>
        <w:ind w:right="60" w:firstLine="486"/>
        <w:spacing w:after="0" w:line="247" w:lineRule="auto"/>
        <w:rPr>
          <w:sz w:val="20"/>
          <w:szCs w:val="20"/>
          <w:color w:val="auto"/>
        </w:rPr>
      </w:pPr>
      <w:r>
        <w:rPr>
          <w:rFonts w:ascii="Times New Roman" w:cs="Times New Roman" w:eastAsia="Times New Roman" w:hAnsi="Times New Roman"/>
          <w:sz w:val="20"/>
          <w:szCs w:val="20"/>
          <w:color w:val="auto"/>
        </w:rPr>
        <w:t>EGFR is a transmembrane protein in the ERBB family of receptor tyrosine kinases that consists of EGFR (HER1), HER2, HER3, and HER4 and is over expressed in many cancer types. It is also expressed in normal tissues, but often to a lesser degree. It plays a prominent role in tumor initiation and growth through dysregulation of cell proliferation, differentiation, metabolism, and cell death. Cancers survive and proliferate through aberrant overexpression of and mutational activation of EGFR. Therefore, EGFR has been an attractive target for cancer therapies.</w:t>
      </w:r>
    </w:p>
    <w:p>
      <w:pPr>
        <w:spacing w:after="0" w:line="77" w:lineRule="exact"/>
        <w:rPr>
          <w:sz w:val="20"/>
          <w:szCs w:val="20"/>
          <w:color w:val="auto"/>
        </w:rPr>
      </w:pPr>
    </w:p>
    <w:p>
      <w:pPr>
        <w:jc w:val="both"/>
        <w:ind w:right="100" w:firstLine="484"/>
        <w:spacing w:after="0" w:line="257" w:lineRule="auto"/>
        <w:rPr>
          <w:sz w:val="20"/>
          <w:szCs w:val="20"/>
          <w:color w:val="auto"/>
        </w:rPr>
      </w:pPr>
      <w:r>
        <w:rPr>
          <w:rFonts w:ascii="Times New Roman" w:cs="Times New Roman" w:eastAsia="Times New Roman" w:hAnsi="Times New Roman"/>
          <w:sz w:val="20"/>
          <w:szCs w:val="20"/>
          <w:color w:val="auto"/>
        </w:rPr>
        <w:t>EGFR is a commercially validated antibody target with multiple FDA approved EGFR-targeted antibodies include cetuximab (ERBITUX</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and panitumumab (VECTIBIX</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in addition to several small molecules. However, there are no FDA approved EGFR-targeted ADCs. Earlier generation attempts at anti-EGFR ADCs failed to find a therapeutic window.</w:t>
      </w:r>
    </w:p>
    <w:p>
      <w:pPr>
        <w:sectPr>
          <w:pgSz w:w="12240" w:h="15840" w:orient="portrait"/>
          <w:cols w:equalWidth="0" w:num="1">
            <w:col w:w="10660"/>
          </w:cols>
          <w:pgMar w:left="760" w:top="980" w:right="82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12</w:t>
      </w:r>
    </w:p>
    <w:p>
      <w:pPr>
        <w:sectPr>
          <w:pgSz w:w="12240" w:h="15840" w:orient="portrait"/>
          <w:cols w:equalWidth="0" w:num="1">
            <w:col w:w="10660"/>
          </w:cols>
          <w:pgMar w:left="760" w:top="980" w:right="820" w:bottom="236"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565785</wp:posOffset>
            </wp:positionH>
            <wp:positionV relativeFrom="page">
              <wp:posOffset>642620</wp:posOffset>
            </wp:positionV>
            <wp:extent cx="6640830" cy="44367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6640830" cy="4436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18"/>
          <w:szCs w:val="18"/>
          <w:i w:val="1"/>
          <w:iCs w:val="1"/>
          <w:color w:val="000C55"/>
        </w:rPr>
        <w:t xml:space="preserve">EGFR gene expression levels from RNA sequencing. ALX2004 Phase 1 trial includes patients with colorectal cancer, esophageal carcinoma, head and neck squamous cell carcinoma, and lung cancer. Source: GEPIA </w:t>
      </w:r>
      <w:r>
        <w:rPr>
          <w:rFonts w:ascii="Times New Roman" w:cs="Times New Roman" w:eastAsia="Times New Roman" w:hAnsi="Times New Roman"/>
          <w:sz w:val="18"/>
          <w:szCs w:val="18"/>
          <w:i w:val="1"/>
          <w:iCs w:val="1"/>
          <w:color w:val="001987"/>
        </w:rPr>
        <w:t>http://gepia.cancer-pku.cn/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ALX2004 design process and drug candidate selection</w:t>
      </w:r>
    </w:p>
    <w:p>
      <w:pPr>
        <w:spacing w:after="0" w:line="121" w:lineRule="exact"/>
        <w:rPr>
          <w:sz w:val="20"/>
          <w:szCs w:val="20"/>
          <w:color w:val="auto"/>
        </w:rPr>
      </w:pPr>
    </w:p>
    <w:p>
      <w:pPr>
        <w:ind w:firstLine="488"/>
        <w:spacing w:after="0" w:line="245" w:lineRule="auto"/>
        <w:rPr>
          <w:sz w:val="20"/>
          <w:szCs w:val="20"/>
          <w:color w:val="auto"/>
        </w:rPr>
      </w:pPr>
      <w:r>
        <w:rPr>
          <w:rFonts w:ascii="Times New Roman" w:cs="Times New Roman" w:eastAsia="Times New Roman" w:hAnsi="Times New Roman"/>
          <w:sz w:val="20"/>
          <w:szCs w:val="20"/>
          <w:color w:val="auto"/>
        </w:rPr>
        <w:t xml:space="preserve">ALX2004 was developed in-house by ALX Oncology protein engineers and designed to maximize potential success based on a rigorous optimization and drug candidate selection process. The ALX2004 linker-payload was selected from a starting point of 600 payloads designed </w:t>
      </w:r>
      <w:r>
        <w:rPr>
          <w:rFonts w:ascii="Times New Roman" w:cs="Times New Roman" w:eastAsia="Times New Roman" w:hAnsi="Times New Roman"/>
          <w:sz w:val="20"/>
          <w:szCs w:val="20"/>
          <w:i w:val="1"/>
          <w:iCs w:val="1"/>
          <w:color w:val="auto"/>
        </w:rPr>
        <w:t>in silico</w:t>
      </w:r>
      <w:r>
        <w:rPr>
          <w:rFonts w:ascii="Times New Roman" w:cs="Times New Roman" w:eastAsia="Times New Roman" w:hAnsi="Times New Roman"/>
          <w:sz w:val="20"/>
          <w:szCs w:val="20"/>
          <w:color w:val="auto"/>
        </w:rPr>
        <w:t xml:space="preserve"> with 60 topoisomerase I inhibitor payloads subsequently synthesized and tested in lab, which are now part of the ALX ADC library. From this payload library, we generated and tested 70 ADCs across 3 solid tumor antigen targets and 2 ultimately tested in rat and non-human primate (NHP) toxicity studies leading to the final linker and Top1i payload selection for ALX2004.</w:t>
      </w:r>
    </w:p>
    <w:p>
      <w:pPr>
        <w:sectPr>
          <w:pgSz w:w="12240" w:h="15840" w:orient="portrait"/>
          <w:cols w:equalWidth="0" w:num="1">
            <w:col w:w="10640"/>
          </w:cols>
          <w:pgMar w:left="760" w:top="1440" w:right="840" w:bottom="2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ectPr>
          <w:pgSz w:w="12240" w:h="15840" w:orient="portrait"/>
          <w:cols w:equalWidth="0" w:num="1">
            <w:col w:w="10640"/>
          </w:cols>
          <w:pgMar w:left="760" w:top="1440" w:right="840" w:bottom="259" w:gutter="0" w:footer="0" w:header="0"/>
          <w:type w:val="continuous"/>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619125</wp:posOffset>
            </wp:positionH>
            <wp:positionV relativeFrom="page">
              <wp:posOffset>638810</wp:posOffset>
            </wp:positionV>
            <wp:extent cx="6527165" cy="322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6527165" cy="322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20"/>
          <w:szCs w:val="20"/>
          <w:color w:val="auto"/>
        </w:rPr>
        <w:t>The anti-EGFR antibody for ALX2004 was also selected after a rigorous development process. Six different anti-EGFR antibodies with varying EGFR binding epitopes and binding affinities were tested. The goal of this process was to select an antibody that minimized off-tumor EGFR-related toxicity while maintaining an active therapeutic window. ALX2004 was the culmination of this development process. As part of this process, we also generated a proprietary library of potential ADC payloads for future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146685</wp:posOffset>
            </wp:positionV>
            <wp:extent cx="6565265" cy="3291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565265" cy="3291840"/>
                    </a:xfrm>
                    <a:prstGeom prst="rect">
                      <a:avLst/>
                    </a:prstGeom>
                    <a:noFill/>
                  </pic:spPr>
                </pic:pic>
              </a:graphicData>
            </a:graphic>
          </wp:anchor>
        </w:drawing>
      </w:r>
    </w:p>
    <w:p>
      <w:pPr>
        <w:sectPr>
          <w:pgSz w:w="12240" w:h="15840" w:orient="portrait"/>
          <w:cols w:equalWidth="0" w:num="1">
            <w:col w:w="10540"/>
          </w:cols>
          <w:pgMar w:left="760" w:top="1440" w:right="94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9"/>
          <w:szCs w:val="19"/>
          <w:color w:val="auto"/>
        </w:rPr>
        <w:t>14</w:t>
      </w:r>
    </w:p>
    <w:p>
      <w:pPr>
        <w:sectPr>
          <w:pgSz w:w="12240" w:h="15840" w:orient="portrait"/>
          <w:cols w:equalWidth="0" w:num="1">
            <w:col w:w="10540"/>
          </w:cols>
          <w:pgMar w:left="760" w:top="1440" w:right="940" w:bottom="236"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20"/>
          <w:szCs w:val="20"/>
          <w:b w:val="1"/>
          <w:bCs w:val="1"/>
          <w:color w:val="auto"/>
        </w:rPr>
        <w:t>ALX2004 is designed using lessons learned from past attempts at EGFR-targeted ADCs</w:t>
      </w:r>
    </w:p>
    <w:p>
      <w:pPr>
        <w:spacing w:after="0" w:line="122"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20"/>
          <w:szCs w:val="20"/>
          <w:color w:val="auto"/>
        </w:rPr>
        <w:t>Several EGFR-targeted ADCs have previously entered clinical trials including depatuxizumab mafadotin, serclutamab talirine, and AMG595. Depatuxizumab mafadotin used a monomethyl auristatin F (MMAF) payload. Serclutamab talirine used a pyrrolobenzodiazapene (PBD) payload. AMG595 used a maytansinoid (DM1) payload. We believe the primary reason these drugs did not reach FDA approval was due to the toxicity profiles of these payload classes and not because they were EGFR-targeted. Consequently, we designed ALX2004 with a topoisomerase 1 inhibitor payload.</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further aimed to maximize the likelihood of technical success by using a matuzumab-derived anti-EGFR antibody with an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affinity selected to minimize on-target, off-tumor skin toxicity. We believe that using a matuzumab-derived antibody increases the</w:t>
      </w:r>
    </w:p>
    <w:p>
      <w:pPr>
        <w:spacing w:after="0" w:line="238" w:lineRule="auto"/>
        <w:rPr>
          <w:sz w:val="20"/>
          <w:szCs w:val="20"/>
          <w:color w:val="auto"/>
        </w:rPr>
      </w:pPr>
      <w:r>
        <w:rPr>
          <w:rFonts w:ascii="Times New Roman" w:cs="Times New Roman" w:eastAsia="Times New Roman" w:hAnsi="Times New Roman"/>
          <w:sz w:val="20"/>
          <w:szCs w:val="20"/>
          <w:color w:val="auto"/>
        </w:rPr>
        <w:t>likelihood of finding a clinically meaningful therapeutic window. Additionally, matuzumab binds an EGFR epitope that is distinct</w:t>
      </w:r>
    </w:p>
    <w:p>
      <w:pPr>
        <w:spacing w:after="0" w:line="238" w:lineRule="auto"/>
        <w:rPr>
          <w:sz w:val="20"/>
          <w:szCs w:val="20"/>
          <w:color w:val="auto"/>
        </w:rPr>
      </w:pPr>
      <w:r>
        <w:rPr>
          <w:rFonts w:ascii="Times New Roman" w:cs="Times New Roman" w:eastAsia="Times New Roman" w:hAnsi="Times New Roman"/>
          <w:sz w:val="20"/>
          <w:szCs w:val="20"/>
          <w:color w:val="auto"/>
        </w:rPr>
        <w:t>from other FDA-approved antibodies. Consequently, patients who developed resistance to cetuximab or panitumumab due to</w:t>
      </w:r>
    </w:p>
    <w:p>
      <w:pPr>
        <w:spacing w:after="0"/>
        <w:rPr>
          <w:sz w:val="20"/>
          <w:szCs w:val="20"/>
          <w:color w:val="auto"/>
        </w:rPr>
      </w:pPr>
      <w:r>
        <w:rPr>
          <w:rFonts w:ascii="Times New Roman" w:cs="Times New Roman" w:eastAsia="Times New Roman" w:hAnsi="Times New Roman"/>
          <w:sz w:val="20"/>
          <w:szCs w:val="20"/>
          <w:color w:val="auto"/>
        </w:rPr>
        <w:t>mutations in the EGFR extracellular domain, may still be sensitive to ALX2004. This is important for establishing activity during</w:t>
      </w:r>
    </w:p>
    <w:p>
      <w:pPr>
        <w:spacing w:after="0"/>
        <w:rPr>
          <w:sz w:val="20"/>
          <w:szCs w:val="20"/>
          <w:color w:val="auto"/>
        </w:rPr>
      </w:pPr>
      <w:r>
        <w:rPr>
          <w:rFonts w:ascii="Times New Roman" w:cs="Times New Roman" w:eastAsia="Times New Roman" w:hAnsi="Times New Roman"/>
          <w:sz w:val="20"/>
          <w:szCs w:val="20"/>
          <w:color w:val="auto"/>
        </w:rPr>
        <w:t>early stage trials in EGFR-expressing tumors where patients may have been previously treated with EGFR-targeted antibodies.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ALX2004 linker payload selection: 600 payloads designed with 60 payloads synthesized and screened</w:t>
      </w:r>
    </w:p>
    <w:p>
      <w:pPr>
        <w:spacing w:after="0" w:line="121" w:lineRule="exact"/>
        <w:rPr>
          <w:sz w:val="20"/>
          <w:szCs w:val="20"/>
          <w:color w:val="auto"/>
        </w:rPr>
      </w:pPr>
    </w:p>
    <w:p>
      <w:pPr>
        <w:jc w:val="both"/>
        <w:ind w:right="160" w:firstLine="487"/>
        <w:spacing w:after="0" w:line="257" w:lineRule="auto"/>
        <w:rPr>
          <w:sz w:val="20"/>
          <w:szCs w:val="20"/>
          <w:color w:val="auto"/>
        </w:rPr>
      </w:pPr>
      <w:r>
        <w:rPr>
          <w:rFonts w:ascii="Times New Roman" w:cs="Times New Roman" w:eastAsia="Times New Roman" w:hAnsi="Times New Roman"/>
          <w:sz w:val="20"/>
          <w:szCs w:val="20"/>
          <w:color w:val="auto"/>
        </w:rPr>
        <w:t>We first designed 600 Top1i payload candidates in silico from which we synthesized and conducted in vitro screening for over 60 novel ALX Top1i payloads across 8 tumor cell lines each and benchmarked potentcy against two Top1i payloads from approved ADCs – SN38 (payload for TRODELVY</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 and deruxtecan (payload for ENHERTU</w:t>
      </w:r>
      <w:r>
        <w:rPr>
          <w:rFonts w:ascii="Times New Roman" w:cs="Times New Roman" w:eastAsia="Times New Roman" w:hAnsi="Times New Roman"/>
          <w:sz w:val="12"/>
          <w:szCs w:val="12"/>
          <w:color w:val="auto"/>
        </w:rPr>
        <w:t>®</w:t>
      </w:r>
      <w:r>
        <w:rPr>
          <w:rFonts w:ascii="Times New Roman" w:cs="Times New Roman" w:eastAsia="Times New Roman" w:hAnsi="Times New Roman"/>
          <w:sz w:val="20"/>
          <w:szCs w:val="20"/>
          <w:color w:val="auto"/>
        </w:rPr>
        <w:t>).</w:t>
      </w:r>
    </w:p>
    <w:p>
      <w:pPr>
        <w:spacing w:after="0" w:line="66"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20"/>
          <w:szCs w:val="20"/>
          <w:color w:val="auto"/>
        </w:rPr>
        <w:t>Next, 14 payload candidates were selected for testing as full ADCs based on their cytotoxicity and membrane permeability. Each payload was conjugated to ALX’s proprietary linker, tested for in vitro activity against 6 tumor cell lines, and benchmarked against the deruxtecan payload. The ALX2004 linker-payload was selected for its consistent potency across these models, relatively high membrane permeability, and comparable activity to the deruxtecan benchmark.</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Additionally, this process generated a library of ALX proprietary Top1i payload candidates with a range of potencies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varying properties such as ability to permeate cell membranes as a free payload. Relatively high membrane permeability may improve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bystander effect cell killing; whereas low permeability may greatly decrease or eliminate the bystander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148590</wp:posOffset>
            </wp:positionV>
            <wp:extent cx="6593840" cy="2856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593840" cy="285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000C55"/>
        </w:rPr>
        <w:t>Cytotoxicity EC</w:t>
      </w:r>
      <w:r>
        <w:rPr>
          <w:rFonts w:ascii="Times New Roman" w:cs="Times New Roman" w:eastAsia="Times New Roman" w:hAnsi="Times New Roman"/>
          <w:sz w:val="11"/>
          <w:szCs w:val="11"/>
          <w:i w:val="1"/>
          <w:iCs w:val="1"/>
          <w:color w:val="000C55"/>
        </w:rPr>
        <w:t>50</w:t>
      </w:r>
      <w:r>
        <w:rPr>
          <w:rFonts w:ascii="Times New Roman" w:cs="Times New Roman" w:eastAsia="Times New Roman" w:hAnsi="Times New Roman"/>
          <w:sz w:val="18"/>
          <w:szCs w:val="18"/>
          <w:i w:val="1"/>
          <w:iCs w:val="1"/>
          <w:color w:val="000C55"/>
        </w:rPr>
        <w:t>(nM) of synthesized TOP1i payloads robustly tested in eight cancer cell lines and compared to SN-38 (govitecan payload) and DXd (deruxtecan payload). Each x-axis tick corresponds to a payload. The arrow marks ALX2004_payload. The dashed lines show the average EC</w:t>
      </w:r>
      <w:r>
        <w:rPr>
          <w:rFonts w:ascii="Times New Roman" w:cs="Times New Roman" w:eastAsia="Times New Roman" w:hAnsi="Times New Roman"/>
          <w:sz w:val="11"/>
          <w:szCs w:val="11"/>
          <w:i w:val="1"/>
          <w:iCs w:val="1"/>
          <w:color w:val="000C55"/>
        </w:rPr>
        <w:t>50</w:t>
      </w:r>
      <w:r>
        <w:rPr>
          <w:rFonts w:ascii="Times New Roman" w:cs="Times New Roman" w:eastAsia="Times New Roman" w:hAnsi="Times New Roman"/>
          <w:sz w:val="18"/>
          <w:szCs w:val="18"/>
          <w:i w:val="1"/>
          <w:iCs w:val="1"/>
          <w:color w:val="000C55"/>
        </w:rPr>
        <w:t xml:space="preserve"> (nM) of DXd across cell lines.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ALX2004 shows improved stability compared to deruxtecan benchmark</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ALX2004 linker was designed to improve stability of the ADC in circulation in order to minimize off-tumor linker-payload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release. Enhanced stability should both decrease off tumor toxicity and increase the amount of payload that is being delivered to the</w:t>
      </w:r>
    </w:p>
    <w:p>
      <w:pPr>
        <w:spacing w:after="0"/>
        <w:rPr>
          <w:sz w:val="20"/>
          <w:szCs w:val="20"/>
          <w:color w:val="auto"/>
        </w:rPr>
      </w:pPr>
      <w:r>
        <w:rPr>
          <w:rFonts w:ascii="Times New Roman" w:cs="Times New Roman" w:eastAsia="Times New Roman" w:hAnsi="Times New Roman"/>
          <w:sz w:val="19"/>
          <w:szCs w:val="19"/>
          <w:color w:val="auto"/>
        </w:rPr>
        <w:t>tumor. Deconjugation of the linker payloads from their antibody in circulation remains a challenge and may lead to increased toxicity.</w:t>
      </w:r>
    </w:p>
    <w:p>
      <w:pPr>
        <w:sectPr>
          <w:pgSz w:w="12240" w:h="15840" w:orient="portrait"/>
          <w:cols w:equalWidth="0" w:num="1">
            <w:col w:w="10720"/>
          </w:cols>
          <w:pgMar w:left="760" w:top="974" w:right="760" w:bottom="2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15</w:t>
      </w:r>
    </w:p>
    <w:p>
      <w:pPr>
        <w:sectPr>
          <w:pgSz w:w="12240" w:h="15840" w:orient="portrait"/>
          <w:cols w:equalWidth="0" w:num="1">
            <w:col w:w="10720"/>
          </w:cols>
          <w:pgMar w:left="760" w:top="974" w:right="760" w:bottom="259" w:gutter="0" w:footer="0" w:header="0"/>
          <w:type w:val="continuous"/>
        </w:sectPr>
      </w:pPr>
    </w:p>
    <w:bookmarkStart w:id="25" w:name="page26"/>
    <w:bookmarkEnd w:id="25"/>
    <w:p>
      <w:pPr>
        <w:ind w:right="20" w:firstLine="491"/>
        <w:spacing w:after="0" w:line="247" w:lineRule="auto"/>
        <w:rPr>
          <w:sz w:val="20"/>
          <w:szCs w:val="20"/>
          <w:color w:val="auto"/>
        </w:rPr>
      </w:pPr>
      <w:r>
        <w:rPr>
          <w:rFonts w:ascii="Times New Roman" w:cs="Times New Roman" w:eastAsia="Times New Roman" w:hAnsi="Times New Roman"/>
          <w:sz w:val="20"/>
          <w:szCs w:val="20"/>
          <w:color w:val="auto"/>
        </w:rPr>
        <w:t>In order to benchmark our lead linker-payload candidate’s stability, we conducted a head to head comparison against deruxtecan in non-human primates. We conjugated the ALX2004 linker-payload to trastuzumab (a HER2-targeted antibody) in order to make a direct comparison to trastuzumab deruxtecan. We then compared drug antibody ratios, or DAR, of the drugs in circulation over time. An ADC’s DAR is a measurement of how many payloads are conjugated to the antibody. Decreasing DAR over time in circulation indicates that payload has deconjugated from the antibody in a non-targeted way thereby potentially increasing toxicity.</w:t>
      </w:r>
    </w:p>
    <w:p>
      <w:pPr>
        <w:spacing w:after="0" w:line="78" w:lineRule="exact"/>
        <w:rPr>
          <w:sz w:val="20"/>
          <w:szCs w:val="20"/>
          <w:color w:val="auto"/>
        </w:rPr>
      </w:pPr>
    </w:p>
    <w:p>
      <w:pPr>
        <w:ind w:right="360" w:firstLine="484"/>
        <w:spacing w:after="0" w:line="257" w:lineRule="auto"/>
        <w:rPr>
          <w:sz w:val="20"/>
          <w:szCs w:val="20"/>
          <w:color w:val="auto"/>
        </w:rPr>
      </w:pPr>
      <w:r>
        <w:rPr>
          <w:rFonts w:ascii="Times New Roman" w:cs="Times New Roman" w:eastAsia="Times New Roman" w:hAnsi="Times New Roman"/>
          <w:sz w:val="20"/>
          <w:szCs w:val="20"/>
          <w:color w:val="auto"/>
        </w:rPr>
        <w:t>The ALX linker-payload demonstrated superior stability and maintained a higher conjugation level, as indicated by DAR, in circulation over time. These data suggest that ALX2004 may deliver more payload to tumors while limiting exposure to healthy tissues due to decrease in linker-payload deconjugation.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132080</wp:posOffset>
            </wp:positionV>
            <wp:extent cx="4351655" cy="2961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4351655" cy="296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000C55"/>
        </w:rPr>
        <w:t>Improved DAR stability of ALX2004_linkerpayload compared to deruxtecan. Graph shows DAR of two ADCs: trastuzumab conjugated to</w:t>
      </w:r>
    </w:p>
    <w:p>
      <w:pPr>
        <w:spacing w:after="0" w:line="21"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i w:val="1"/>
          <w:iCs w:val="1"/>
          <w:color w:val="000C55"/>
        </w:rPr>
        <w:t>ALX2004_linkerpayload (DAR ~8) and trastuzumab conjugated to deruxtecan (DAR ~8), as a function of time in non-human primate (NHP) dosed at 30 mg/kg (n=2 per group). DAR was analyzed using reduced middle-down RP-LCMS.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ALX2004 shows comparable direct cell killing and improved bystander effect relative to deruxtecan comparator</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ALX2004 was tested in several EGFR-expressing mouse models against a deruxtecan-based ADC comparator generated in-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house. These tests showed that ALX2004 matched or exceeded the activity of the deruxtecan comparator ADC both in terms of direct</w:t>
      </w:r>
    </w:p>
    <w:p>
      <w:pPr>
        <w:spacing w:after="0"/>
        <w:rPr>
          <w:sz w:val="20"/>
          <w:szCs w:val="20"/>
          <w:color w:val="auto"/>
        </w:rPr>
      </w:pPr>
      <w:r>
        <w:rPr>
          <w:rFonts w:ascii="Times New Roman" w:cs="Times New Roman" w:eastAsia="Times New Roman" w:hAnsi="Times New Roman"/>
          <w:sz w:val="20"/>
          <w:szCs w:val="20"/>
          <w:color w:val="auto"/>
        </w:rPr>
        <w:t>cell killing and bystander effect.</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bystander effect is thought to be an important mechanism of cell killing in solid tumors for ADCs. The bystander effect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begins when an ADC binds to its target on the cell surface and is internalized into the cell. Payload is then released within the target-</w:t>
      </w:r>
    </w:p>
    <w:p>
      <w:pPr>
        <w:spacing w:after="0" w:line="238" w:lineRule="auto"/>
        <w:rPr>
          <w:sz w:val="20"/>
          <w:szCs w:val="20"/>
          <w:color w:val="auto"/>
        </w:rPr>
      </w:pPr>
      <w:r>
        <w:rPr>
          <w:rFonts w:ascii="Times New Roman" w:cs="Times New Roman" w:eastAsia="Times New Roman" w:hAnsi="Times New Roman"/>
          <w:sz w:val="20"/>
          <w:szCs w:val="20"/>
          <w:color w:val="auto"/>
        </w:rPr>
        <w:t>expressing cell which results in the direct killing of the target-expressing cell. For some ADCs, the released payloads are then able to</w:t>
      </w:r>
    </w:p>
    <w:p>
      <w:pPr>
        <w:spacing w:after="0" w:line="238" w:lineRule="auto"/>
        <w:rPr>
          <w:sz w:val="20"/>
          <w:szCs w:val="20"/>
          <w:color w:val="auto"/>
        </w:rPr>
      </w:pPr>
      <w:r>
        <w:rPr>
          <w:rFonts w:ascii="Times New Roman" w:cs="Times New Roman" w:eastAsia="Times New Roman" w:hAnsi="Times New Roman"/>
          <w:sz w:val="20"/>
          <w:szCs w:val="20"/>
          <w:color w:val="auto"/>
        </w:rPr>
        <w:t>permeate into neighboring cells regardless of whether or not target is expressed killing those neighboring cells as well. In</w:t>
      </w:r>
    </w:p>
    <w:p>
      <w:pPr>
        <w:spacing w:after="0"/>
        <w:rPr>
          <w:sz w:val="20"/>
          <w:szCs w:val="20"/>
          <w:color w:val="auto"/>
        </w:rPr>
      </w:pPr>
      <w:r>
        <w:rPr>
          <w:rFonts w:ascii="Times New Roman" w:cs="Times New Roman" w:eastAsia="Times New Roman" w:hAnsi="Times New Roman"/>
          <w:sz w:val="20"/>
          <w:szCs w:val="20"/>
          <w:color w:val="auto"/>
        </w:rPr>
        <w:t>heterogenous solid tumors, it is potentially an important mechanism for tumor control as it results in the killing of both target</w:t>
      </w:r>
    </w:p>
    <w:p>
      <w:pPr>
        <w:spacing w:after="0"/>
        <w:rPr>
          <w:sz w:val="20"/>
          <w:szCs w:val="20"/>
          <w:color w:val="auto"/>
        </w:rPr>
      </w:pPr>
      <w:r>
        <w:rPr>
          <w:rFonts w:ascii="Times New Roman" w:cs="Times New Roman" w:eastAsia="Times New Roman" w:hAnsi="Times New Roman"/>
          <w:sz w:val="20"/>
          <w:szCs w:val="20"/>
          <w:color w:val="auto"/>
        </w:rPr>
        <w:t>expressing tumor cells and non-target expressing tumor cells in the tumor microenvironment.</w:t>
      </w:r>
    </w:p>
    <w:p>
      <w:pPr>
        <w:spacing w:after="0" w:line="89" w:lineRule="exact"/>
        <w:rPr>
          <w:sz w:val="20"/>
          <w:szCs w:val="20"/>
          <w:color w:val="auto"/>
        </w:rPr>
      </w:pPr>
    </w:p>
    <w:p>
      <w:pPr>
        <w:ind w:firstLine="489"/>
        <w:spacing w:after="0" w:line="250" w:lineRule="auto"/>
        <w:rPr>
          <w:sz w:val="20"/>
          <w:szCs w:val="20"/>
          <w:color w:val="auto"/>
        </w:rPr>
      </w:pPr>
      <w:r>
        <w:rPr>
          <w:rFonts w:ascii="Times New Roman" w:cs="Times New Roman" w:eastAsia="Times New Roman" w:hAnsi="Times New Roman"/>
          <w:sz w:val="20"/>
          <w:szCs w:val="20"/>
          <w:color w:val="auto"/>
        </w:rPr>
        <w:t>We selected the ALX2004 payload from the over 60 we synthesized in part because we believed it could have enhanced bystander effect relative to deruxtecan due to the membrane permeability testing we conducted. In order to compare ALX2004’s direct cell killing and bystander effect to deruxtecan, we synthesized an ADC using the ALX2004 anti-EGFR antibody conjugated to the deruxtecan linker payload.</w:t>
      </w:r>
    </w:p>
    <w:p>
      <w:pPr>
        <w:sectPr>
          <w:pgSz w:w="12240" w:h="15840" w:orient="portrait"/>
          <w:cols w:equalWidth="0" w:num="1">
            <w:col w:w="10720"/>
          </w:cols>
          <w:pgMar w:left="760" w:top="977" w:right="76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2240" w:h="15840" w:orient="portrait"/>
          <w:cols w:equalWidth="0" w:num="1">
            <w:col w:w="10720"/>
          </w:cols>
          <w:pgMar w:left="760" w:top="977" w:right="760" w:bottom="236" w:gutter="0" w:footer="0" w:header="0"/>
          <w:type w:val="continuous"/>
        </w:sectPr>
      </w:pPr>
    </w:p>
    <w:bookmarkStart w:id="26" w:name="page27"/>
    <w:bookmarkEnd w:id="26"/>
    <w:p>
      <w:pPr>
        <w:ind w:firstLine="479"/>
        <w:spacing w:after="0" w:line="274" w:lineRule="auto"/>
        <w:rPr>
          <w:sz w:val="20"/>
          <w:szCs w:val="20"/>
          <w:color w:val="auto"/>
        </w:rPr>
      </w:pPr>
      <w:r>
        <w:rPr>
          <w:rFonts w:ascii="Times New Roman" w:cs="Times New Roman" w:eastAsia="Times New Roman" w:hAnsi="Times New Roman"/>
          <w:sz w:val="20"/>
          <w:szCs w:val="20"/>
          <w:color w:val="auto"/>
        </w:rPr>
        <w:t>First, we tested the ALX2004 and deruxtecan comparator ADC in a cell-based bystander assay. As shown below, ALX2004 had comparable direct cytotoxicity (A) and improved bystander killing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122555</wp:posOffset>
            </wp:positionV>
            <wp:extent cx="5514975" cy="45027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5514975" cy="4502785"/>
                    </a:xfrm>
                    <a:prstGeom prst="rect">
                      <a:avLst/>
                    </a:prstGeom>
                    <a:noFill/>
                  </pic:spPr>
                </pic:pic>
              </a:graphicData>
            </a:graphic>
          </wp:anchor>
        </w:drawing>
      </w:r>
    </w:p>
    <w:p>
      <w:pPr>
        <w:sectPr>
          <w:pgSz w:w="12240" w:h="15840" w:orient="portrait"/>
          <w:cols w:equalWidth="0" w:num="1">
            <w:col w:w="10680"/>
          </w:cols>
          <w:pgMar w:left="760" w:top="978" w:right="80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17</w:t>
      </w:r>
    </w:p>
    <w:p>
      <w:pPr>
        <w:sectPr>
          <w:pgSz w:w="12240" w:h="15840" w:orient="portrait"/>
          <w:cols w:equalWidth="0" w:num="1">
            <w:col w:w="10680"/>
          </w:cols>
          <w:pgMar w:left="760" w:top="978" w:right="800" w:bottom="236" w:gutter="0" w:footer="0" w:header="0"/>
          <w:type w:val="continuous"/>
        </w:sectPr>
      </w:pPr>
    </w:p>
    <w:bookmarkStart w:id="27" w:name="page28"/>
    <w:bookmarkEnd w:id="27"/>
    <w:p>
      <w:pPr>
        <w:ind w:firstLine="489"/>
        <w:spacing w:after="0" w:line="276" w:lineRule="auto"/>
        <w:rPr>
          <w:sz w:val="20"/>
          <w:szCs w:val="20"/>
          <w:color w:val="auto"/>
        </w:rPr>
      </w:pPr>
      <w:r>
        <w:rPr>
          <w:rFonts w:ascii="Times New Roman" w:cs="Times New Roman" w:eastAsia="Times New Roman" w:hAnsi="Times New Roman"/>
          <w:sz w:val="20"/>
          <w:szCs w:val="20"/>
          <w:color w:val="auto"/>
        </w:rPr>
        <w:t>We then compared the potency of ALX2004 in several EGFR-expressing mouse models (A below) and a bystander effect model (B below) to the deruxtecan based comparator ADC.</w:t>
      </w:r>
    </w:p>
    <w:p>
      <w:pPr>
        <w:spacing w:after="0" w:line="47" w:lineRule="exact"/>
        <w:rPr>
          <w:sz w:val="20"/>
          <w:szCs w:val="20"/>
          <w:color w:val="auto"/>
        </w:rPr>
      </w:pPr>
    </w:p>
    <w:p>
      <w:pPr>
        <w:ind w:right="120" w:firstLine="488"/>
        <w:spacing w:after="0" w:line="250" w:lineRule="auto"/>
        <w:rPr>
          <w:sz w:val="20"/>
          <w:szCs w:val="20"/>
          <w:color w:val="auto"/>
        </w:rPr>
      </w:pPr>
      <w:r>
        <w:rPr>
          <w:rFonts w:ascii="Times New Roman" w:cs="Times New Roman" w:eastAsia="Times New Roman" w:hAnsi="Times New Roman"/>
          <w:sz w:val="20"/>
          <w:szCs w:val="20"/>
          <w:color w:val="auto"/>
        </w:rPr>
        <w:t>Across multiple mouse models with varying levels of EGFR expression level, ALX2004 demonstrated equivalent or superior tumor eradication as shown by the percent of mice in which tumors were completely eradicated. ALX2004 outperformed the deruxtecan comparator in a bystander effect model that contained both EGFR high expressing and EGFR ultra-low expressing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869315</wp:posOffset>
            </wp:positionH>
            <wp:positionV relativeFrom="paragraph">
              <wp:posOffset>66675</wp:posOffset>
            </wp:positionV>
            <wp:extent cx="5060950" cy="25920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5060950" cy="2592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8"/>
          <w:szCs w:val="18"/>
          <w:i w:val="1"/>
          <w:iCs w:val="1"/>
          <w:color w:val="000C55"/>
        </w:rPr>
        <w:t>Percent of tumor-free mice in CDX models dosed with ALX2004 or ALX2004_mAb-deruxtecan (ADC composed of ALX2004’s antibody conjugated to deruxtecan) (both ADCs, DAR ~8). (A) MDA-MB-468 (3 mg/kg, 1 dose), FaDu (1 mg/kg, 3 doses, Q1W), NCI-H292 (3 mg/kg, 3 doses, Q1W), (</w:t>
      </w:r>
      <w:r>
        <w:rPr>
          <w:rFonts w:ascii="Times New Roman" w:cs="Times New Roman" w:eastAsia="Times New Roman" w:hAnsi="Times New Roman"/>
          <w:sz w:val="18"/>
          <w:szCs w:val="18"/>
          <w:b w:val="1"/>
          <w:bCs w:val="1"/>
          <w:i w:val="1"/>
          <w:iCs w:val="1"/>
          <w:color w:val="000C55"/>
        </w:rPr>
        <w:t>B</w:t>
      </w:r>
      <w:r>
        <w:rPr>
          <w:rFonts w:ascii="Times New Roman" w:cs="Times New Roman" w:eastAsia="Times New Roman" w:hAnsi="Times New Roman"/>
          <w:sz w:val="18"/>
          <w:szCs w:val="18"/>
          <w:i w:val="1"/>
          <w:iCs w:val="1"/>
          <w:color w:val="000C55"/>
        </w:rPr>
        <w:t>) Bystander effect CDX model composed of 1:1 NCI-H292 cells (~80,000 EGFR/cell surface) and SW620 cells (~2000 EGFR/cell surface) dosed 3 mg/kg, 3 doses, Q1W. NOD SCID mice, n=5 per group.</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ALX2004 showed tumor suppression across a range of cancer types and target expression levels</w:t>
      </w:r>
    </w:p>
    <w:p>
      <w:pPr>
        <w:spacing w:after="0" w:line="121" w:lineRule="exact"/>
        <w:rPr>
          <w:sz w:val="20"/>
          <w:szCs w:val="20"/>
          <w:color w:val="auto"/>
        </w:rPr>
      </w:pPr>
    </w:p>
    <w:p>
      <w:pPr>
        <w:ind w:right="60" w:firstLine="489"/>
        <w:spacing w:after="0" w:line="245" w:lineRule="auto"/>
        <w:rPr>
          <w:sz w:val="20"/>
          <w:szCs w:val="20"/>
          <w:color w:val="auto"/>
        </w:rPr>
      </w:pPr>
      <w:r>
        <w:rPr>
          <w:rFonts w:ascii="Times New Roman" w:cs="Times New Roman" w:eastAsia="Times New Roman" w:hAnsi="Times New Roman"/>
          <w:sz w:val="20"/>
          <w:szCs w:val="20"/>
          <w:color w:val="auto"/>
        </w:rPr>
        <w:t>We tested ALX2004 in vivo anti-tumor activity in mouse models representing a range of commercially relevant EGFR-expressing tumor types, EGFR-expression levels, and common mutations. ALX2004 inhibited tumor growth in non-small cell lung cancer (NSCLC), head and neck squamous cell carcinoma (HNSCC), CRC, triple negative breast cancer (TNBC), and pancreatic ductal adenocarcinoma (PDAC) mouse models. These models also show ALX2004’s activity in models harboring KRAS, BRAF, and P53 mutations. Importantly, tumor growth inhibition was seen at all levels of EGFR-target expression ranging from 12,000 units/cell surface to over 400,000 units/cell surface.</w:t>
      </w:r>
    </w:p>
    <w:p>
      <w:pPr>
        <w:sectPr>
          <w:pgSz w:w="12240" w:h="15840" w:orient="portrait"/>
          <w:cols w:equalWidth="0" w:num="1">
            <w:col w:w="10720"/>
          </w:cols>
          <w:pgMar w:left="760" w:top="977" w:right="760" w:bottom="2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w:t>
      </w:r>
    </w:p>
    <w:p>
      <w:pPr>
        <w:sectPr>
          <w:pgSz w:w="12240" w:h="15840" w:orient="portrait"/>
          <w:cols w:equalWidth="0" w:num="1">
            <w:col w:w="10720"/>
          </w:cols>
          <w:pgMar w:left="760" w:top="977" w:right="760" w:bottom="259" w:gutter="0" w:footer="0" w:header="0"/>
          <w:type w:val="continuous"/>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553720</wp:posOffset>
            </wp:positionH>
            <wp:positionV relativeFrom="page">
              <wp:posOffset>639445</wp:posOffset>
            </wp:positionV>
            <wp:extent cx="6659880" cy="2317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59880" cy="231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17"/>
          <w:szCs w:val="17"/>
          <w:i w:val="1"/>
          <w:iCs w:val="1"/>
          <w:color w:val="000C55"/>
        </w:rPr>
        <w:t>ALX2004 has inhibited tumor growth in vivo. Tumor volume (mm</w:t>
      </w:r>
      <w:r>
        <w:rPr>
          <w:rFonts w:ascii="Times New Roman" w:cs="Times New Roman" w:eastAsia="Times New Roman" w:hAnsi="Times New Roman"/>
          <w:sz w:val="22"/>
          <w:szCs w:val="22"/>
          <w:i w:val="1"/>
          <w:iCs w:val="1"/>
          <w:color w:val="000C55"/>
          <w:vertAlign w:val="superscript"/>
        </w:rPr>
        <w:t>3</w:t>
      </w:r>
      <w:r>
        <w:rPr>
          <w:rFonts w:ascii="Times New Roman" w:cs="Times New Roman" w:eastAsia="Times New Roman" w:hAnsi="Times New Roman"/>
          <w:sz w:val="17"/>
          <w:szCs w:val="17"/>
          <w:i w:val="1"/>
          <w:iCs w:val="1"/>
          <w:color w:val="000C55"/>
        </w:rPr>
        <w:t>) after IV administration of a single dose or three doses of ALX2004 at indicated dose levels (mg/kg) and dosing frequencies in CDX mouse models of NSCLC (</w:t>
      </w:r>
      <w:r>
        <w:rPr>
          <w:rFonts w:ascii="Times New Roman" w:cs="Times New Roman" w:eastAsia="Times New Roman" w:hAnsi="Times New Roman"/>
          <w:sz w:val="17"/>
          <w:szCs w:val="17"/>
          <w:b w:val="1"/>
          <w:bCs w:val="1"/>
          <w:i w:val="1"/>
          <w:iCs w:val="1"/>
          <w:color w:val="000C55"/>
        </w:rPr>
        <w:t>A-D</w:t>
      </w:r>
      <w:r>
        <w:rPr>
          <w:rFonts w:ascii="Times New Roman" w:cs="Times New Roman" w:eastAsia="Times New Roman" w:hAnsi="Times New Roman"/>
          <w:sz w:val="17"/>
          <w:szCs w:val="17"/>
          <w:i w:val="1"/>
          <w:iCs w:val="1"/>
          <w:color w:val="000C55"/>
        </w:rPr>
        <w:t>) and other EGFR-expressing tumors (</w:t>
      </w:r>
      <w:r>
        <w:rPr>
          <w:rFonts w:ascii="Times New Roman" w:cs="Times New Roman" w:eastAsia="Times New Roman" w:hAnsi="Times New Roman"/>
          <w:sz w:val="17"/>
          <w:szCs w:val="17"/>
          <w:b w:val="1"/>
          <w:bCs w:val="1"/>
          <w:i w:val="1"/>
          <w:iCs w:val="1"/>
          <w:color w:val="000C55"/>
        </w:rPr>
        <w:t>E-J</w:t>
      </w:r>
      <w:r>
        <w:rPr>
          <w:rFonts w:ascii="Times New Roman" w:cs="Times New Roman" w:eastAsia="Times New Roman" w:hAnsi="Times New Roman"/>
          <w:sz w:val="17"/>
          <w:szCs w:val="17"/>
          <w:i w:val="1"/>
          <w:iCs w:val="1"/>
          <w:color w:val="000C55"/>
        </w:rPr>
        <w:t>): (</w:t>
      </w:r>
      <w:r>
        <w:rPr>
          <w:rFonts w:ascii="Times New Roman" w:cs="Times New Roman" w:eastAsia="Times New Roman" w:hAnsi="Times New Roman"/>
          <w:sz w:val="17"/>
          <w:szCs w:val="17"/>
          <w:b w:val="1"/>
          <w:bCs w:val="1"/>
          <w:i w:val="1"/>
          <w:iCs w:val="1"/>
          <w:color w:val="000C55"/>
        </w:rPr>
        <w:t>A</w:t>
      </w:r>
      <w:r>
        <w:rPr>
          <w:rFonts w:ascii="Times New Roman" w:cs="Times New Roman" w:eastAsia="Times New Roman" w:hAnsi="Times New Roman"/>
          <w:sz w:val="17"/>
          <w:szCs w:val="17"/>
          <w:i w:val="1"/>
          <w:iCs w:val="1"/>
          <w:color w:val="000C55"/>
        </w:rPr>
        <w:t>) HCC827, (</w:t>
      </w:r>
      <w:r>
        <w:rPr>
          <w:rFonts w:ascii="Times New Roman" w:cs="Times New Roman" w:eastAsia="Times New Roman" w:hAnsi="Times New Roman"/>
          <w:sz w:val="17"/>
          <w:szCs w:val="17"/>
          <w:b w:val="1"/>
          <w:bCs w:val="1"/>
          <w:i w:val="1"/>
          <w:iCs w:val="1"/>
          <w:color w:val="000C55"/>
        </w:rPr>
        <w:t>B</w:t>
      </w:r>
      <w:r>
        <w:rPr>
          <w:rFonts w:ascii="Times New Roman" w:cs="Times New Roman" w:eastAsia="Times New Roman" w:hAnsi="Times New Roman"/>
          <w:sz w:val="17"/>
          <w:szCs w:val="17"/>
          <w:i w:val="1"/>
          <w:iCs w:val="1"/>
          <w:color w:val="000C55"/>
        </w:rPr>
        <w:t>) NCI-H1975, (</w:t>
      </w:r>
      <w:r>
        <w:rPr>
          <w:rFonts w:ascii="Times New Roman" w:cs="Times New Roman" w:eastAsia="Times New Roman" w:hAnsi="Times New Roman"/>
          <w:sz w:val="17"/>
          <w:szCs w:val="17"/>
          <w:b w:val="1"/>
          <w:bCs w:val="1"/>
          <w:i w:val="1"/>
          <w:iCs w:val="1"/>
          <w:color w:val="000C55"/>
        </w:rPr>
        <w:t>C</w:t>
      </w:r>
      <w:r>
        <w:rPr>
          <w:rFonts w:ascii="Times New Roman" w:cs="Times New Roman" w:eastAsia="Times New Roman" w:hAnsi="Times New Roman"/>
          <w:sz w:val="17"/>
          <w:szCs w:val="17"/>
          <w:i w:val="1"/>
          <w:iCs w:val="1"/>
          <w:color w:val="000C55"/>
        </w:rPr>
        <w:t>) NCI-H292, (</w:t>
      </w:r>
      <w:r>
        <w:rPr>
          <w:rFonts w:ascii="Times New Roman" w:cs="Times New Roman" w:eastAsia="Times New Roman" w:hAnsi="Times New Roman"/>
          <w:sz w:val="17"/>
          <w:szCs w:val="17"/>
          <w:b w:val="1"/>
          <w:bCs w:val="1"/>
          <w:i w:val="1"/>
          <w:iCs w:val="1"/>
          <w:color w:val="000C55"/>
        </w:rPr>
        <w:t>D</w:t>
      </w:r>
      <w:r>
        <w:rPr>
          <w:rFonts w:ascii="Times New Roman" w:cs="Times New Roman" w:eastAsia="Times New Roman" w:hAnsi="Times New Roman"/>
          <w:sz w:val="17"/>
          <w:szCs w:val="17"/>
          <w:i w:val="1"/>
          <w:iCs w:val="1"/>
          <w:color w:val="000C55"/>
        </w:rPr>
        <w:t>) A549, (</w:t>
      </w:r>
      <w:r>
        <w:rPr>
          <w:rFonts w:ascii="Times New Roman" w:cs="Times New Roman" w:eastAsia="Times New Roman" w:hAnsi="Times New Roman"/>
          <w:sz w:val="17"/>
          <w:szCs w:val="17"/>
          <w:b w:val="1"/>
          <w:bCs w:val="1"/>
          <w:i w:val="1"/>
          <w:iCs w:val="1"/>
          <w:color w:val="000C55"/>
        </w:rPr>
        <w:t>E</w:t>
      </w:r>
      <w:r>
        <w:rPr>
          <w:rFonts w:ascii="Times New Roman" w:cs="Times New Roman" w:eastAsia="Times New Roman" w:hAnsi="Times New Roman"/>
          <w:sz w:val="17"/>
          <w:szCs w:val="17"/>
          <w:i w:val="1"/>
          <w:iCs w:val="1"/>
          <w:color w:val="000C55"/>
        </w:rPr>
        <w:t>) FaDu, (</w:t>
      </w:r>
      <w:r>
        <w:rPr>
          <w:rFonts w:ascii="Times New Roman" w:cs="Times New Roman" w:eastAsia="Times New Roman" w:hAnsi="Times New Roman"/>
          <w:sz w:val="17"/>
          <w:szCs w:val="17"/>
          <w:b w:val="1"/>
          <w:bCs w:val="1"/>
          <w:i w:val="1"/>
          <w:iCs w:val="1"/>
          <w:color w:val="000C55"/>
        </w:rPr>
        <w:t>F</w:t>
      </w:r>
      <w:r>
        <w:rPr>
          <w:rFonts w:ascii="Times New Roman" w:cs="Times New Roman" w:eastAsia="Times New Roman" w:hAnsi="Times New Roman"/>
          <w:sz w:val="17"/>
          <w:szCs w:val="17"/>
          <w:i w:val="1"/>
          <w:iCs w:val="1"/>
          <w:color w:val="000C55"/>
        </w:rPr>
        <w:t>) COLO205, (</w:t>
      </w:r>
      <w:r>
        <w:rPr>
          <w:rFonts w:ascii="Times New Roman" w:cs="Times New Roman" w:eastAsia="Times New Roman" w:hAnsi="Times New Roman"/>
          <w:sz w:val="17"/>
          <w:szCs w:val="17"/>
          <w:b w:val="1"/>
          <w:bCs w:val="1"/>
          <w:i w:val="1"/>
          <w:iCs w:val="1"/>
          <w:color w:val="000C55"/>
        </w:rPr>
        <w:t>G</w:t>
      </w:r>
      <w:r>
        <w:rPr>
          <w:rFonts w:ascii="Times New Roman" w:cs="Times New Roman" w:eastAsia="Times New Roman" w:hAnsi="Times New Roman"/>
          <w:sz w:val="17"/>
          <w:szCs w:val="17"/>
          <w:i w:val="1"/>
          <w:iCs w:val="1"/>
          <w:color w:val="000C55"/>
        </w:rPr>
        <w:t>) HCT116, (</w:t>
      </w:r>
      <w:r>
        <w:rPr>
          <w:rFonts w:ascii="Times New Roman" w:cs="Times New Roman" w:eastAsia="Times New Roman" w:hAnsi="Times New Roman"/>
          <w:sz w:val="17"/>
          <w:szCs w:val="17"/>
          <w:b w:val="1"/>
          <w:bCs w:val="1"/>
          <w:i w:val="1"/>
          <w:iCs w:val="1"/>
          <w:color w:val="000C55"/>
        </w:rPr>
        <w:t>H</w:t>
      </w:r>
      <w:r>
        <w:rPr>
          <w:rFonts w:ascii="Times New Roman" w:cs="Times New Roman" w:eastAsia="Times New Roman" w:hAnsi="Times New Roman"/>
          <w:sz w:val="17"/>
          <w:szCs w:val="17"/>
          <w:i w:val="1"/>
          <w:iCs w:val="1"/>
          <w:color w:val="000C55"/>
        </w:rPr>
        <w:t>) MDA-MB-468, (</w:t>
      </w:r>
      <w:r>
        <w:rPr>
          <w:rFonts w:ascii="Times New Roman" w:cs="Times New Roman" w:eastAsia="Times New Roman" w:hAnsi="Times New Roman"/>
          <w:sz w:val="17"/>
          <w:szCs w:val="17"/>
          <w:b w:val="1"/>
          <w:bCs w:val="1"/>
          <w:i w:val="1"/>
          <w:iCs w:val="1"/>
          <w:color w:val="000C55"/>
        </w:rPr>
        <w:t>I</w:t>
      </w:r>
      <w:r>
        <w:rPr>
          <w:rFonts w:ascii="Times New Roman" w:cs="Times New Roman" w:eastAsia="Times New Roman" w:hAnsi="Times New Roman"/>
          <w:sz w:val="17"/>
          <w:szCs w:val="17"/>
          <w:i w:val="1"/>
          <w:iCs w:val="1"/>
          <w:color w:val="000C55"/>
        </w:rPr>
        <w:t>) CFPAC-1, (</w:t>
      </w:r>
      <w:r>
        <w:rPr>
          <w:rFonts w:ascii="Times New Roman" w:cs="Times New Roman" w:eastAsia="Times New Roman" w:hAnsi="Times New Roman"/>
          <w:sz w:val="17"/>
          <w:szCs w:val="17"/>
          <w:b w:val="1"/>
          <w:bCs w:val="1"/>
          <w:i w:val="1"/>
          <w:iCs w:val="1"/>
          <w:color w:val="000C55"/>
        </w:rPr>
        <w:t>J</w:t>
      </w:r>
      <w:r>
        <w:rPr>
          <w:rFonts w:ascii="Times New Roman" w:cs="Times New Roman" w:eastAsia="Times New Roman" w:hAnsi="Times New Roman"/>
          <w:sz w:val="17"/>
          <w:szCs w:val="17"/>
          <w:i w:val="1"/>
          <w:iCs w:val="1"/>
          <w:color w:val="000C55"/>
        </w:rPr>
        <w:t>) PDOX model CRC22420. Dosing frequency indicated by black arrows. Data represented as mean ± SEM, (</w:t>
      </w:r>
      <w:r>
        <w:rPr>
          <w:rFonts w:ascii="Times New Roman" w:cs="Times New Roman" w:eastAsia="Times New Roman" w:hAnsi="Times New Roman"/>
          <w:sz w:val="17"/>
          <w:szCs w:val="17"/>
          <w:b w:val="1"/>
          <w:bCs w:val="1"/>
          <w:i w:val="1"/>
          <w:iCs w:val="1"/>
          <w:color w:val="000C55"/>
        </w:rPr>
        <w:t>A-B</w:t>
      </w:r>
      <w:r>
        <w:rPr>
          <w:rFonts w:ascii="Times New Roman" w:cs="Times New Roman" w:eastAsia="Times New Roman" w:hAnsi="Times New Roman"/>
          <w:sz w:val="17"/>
          <w:szCs w:val="17"/>
          <w:i w:val="1"/>
          <w:iCs w:val="1"/>
          <w:color w:val="000C55"/>
        </w:rPr>
        <w:t xml:space="preserve">, </w:t>
      </w:r>
      <w:r>
        <w:rPr>
          <w:rFonts w:ascii="Times New Roman" w:cs="Times New Roman" w:eastAsia="Times New Roman" w:hAnsi="Times New Roman"/>
          <w:sz w:val="17"/>
          <w:szCs w:val="17"/>
          <w:b w:val="1"/>
          <w:bCs w:val="1"/>
          <w:i w:val="1"/>
          <w:iCs w:val="1"/>
          <w:color w:val="000C55"/>
        </w:rPr>
        <w:t>E-J</w:t>
      </w:r>
      <w:r>
        <w:rPr>
          <w:rFonts w:ascii="Times New Roman" w:cs="Times New Roman" w:eastAsia="Times New Roman" w:hAnsi="Times New Roman"/>
          <w:sz w:val="17"/>
          <w:szCs w:val="17"/>
          <w:i w:val="1"/>
          <w:iCs w:val="1"/>
          <w:color w:val="000C55"/>
        </w:rPr>
        <w:t>) n=12 per group, NU/NU mice, (</w:t>
      </w:r>
      <w:r>
        <w:rPr>
          <w:rFonts w:ascii="Times New Roman" w:cs="Times New Roman" w:eastAsia="Times New Roman" w:hAnsi="Times New Roman"/>
          <w:sz w:val="17"/>
          <w:szCs w:val="17"/>
          <w:b w:val="1"/>
          <w:bCs w:val="1"/>
          <w:i w:val="1"/>
          <w:iCs w:val="1"/>
          <w:color w:val="000C55"/>
        </w:rPr>
        <w:t>C-D</w:t>
      </w:r>
      <w:r>
        <w:rPr>
          <w:rFonts w:ascii="Times New Roman" w:cs="Times New Roman" w:eastAsia="Times New Roman" w:hAnsi="Times New Roman"/>
          <w:sz w:val="17"/>
          <w:szCs w:val="17"/>
          <w:i w:val="1"/>
          <w:iCs w:val="1"/>
          <w:color w:val="000C55"/>
        </w:rPr>
        <w:t>) n=5 per group, NOD SCID mice. (</w:t>
      </w:r>
      <w:r>
        <w:rPr>
          <w:rFonts w:ascii="Times New Roman" w:cs="Times New Roman" w:eastAsia="Times New Roman" w:hAnsi="Times New Roman"/>
          <w:sz w:val="17"/>
          <w:szCs w:val="17"/>
          <w:b w:val="1"/>
          <w:bCs w:val="1"/>
          <w:i w:val="1"/>
          <w:iCs w:val="1"/>
          <w:color w:val="000C55"/>
        </w:rPr>
        <w:t>K</w:t>
      </w:r>
      <w:r>
        <w:rPr>
          <w:rFonts w:ascii="Times New Roman" w:cs="Times New Roman" w:eastAsia="Times New Roman" w:hAnsi="Times New Roman"/>
          <w:sz w:val="17"/>
          <w:szCs w:val="17"/>
          <w:i w:val="1"/>
          <w:iCs w:val="1"/>
          <w:color w:val="000C55"/>
        </w:rPr>
        <w:t>) Representative IHC staining of EGFR in PDOX tissue. wt refers to EGFR wild-type tyrosine kinase domain.</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GLP toxicity study in non-human primates supports ALX2004 design for improved therapeutic window</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9"/>
          <w:szCs w:val="19"/>
          <w:color w:val="auto"/>
        </w:rPr>
        <w:t>The toxicity and toxicokinetic profile of ALX2004 was evaluated in a 6-week repeat-dose (Q3W dosing) GLP toxicity study in monkeys, at doses of 5, 10, and 20 mg/kg. No dose-limiting major target organ toxicity, including on-target toxicity (i.e., skin or other EGFR-expressing cells), was observed. Furthermore, there was no evidence of ILD which is a concern for some Top1i-based ADCs.</w:t>
      </w:r>
    </w:p>
    <w:p>
      <w:pPr>
        <w:spacing w:after="0" w:line="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The no observable adverse event level (NOAEL) was 10 mg/kg and the highest non-severely toxic dose (HNSTD) was 20 mg/kg. All findings were minimal to moderate and fully recoverable.</w:t>
      </w:r>
    </w:p>
    <w:p>
      <w:pPr>
        <w:spacing w:after="0" w:line="77" w:lineRule="exact"/>
        <w:rPr>
          <w:sz w:val="20"/>
          <w:szCs w:val="20"/>
          <w:color w:val="auto"/>
        </w:rPr>
      </w:pPr>
    </w:p>
    <w:p>
      <w:pPr>
        <w:ind w:right="60" w:firstLine="485"/>
        <w:spacing w:after="0" w:line="276" w:lineRule="auto"/>
        <w:rPr>
          <w:sz w:val="20"/>
          <w:szCs w:val="20"/>
          <w:color w:val="auto"/>
        </w:rPr>
      </w:pPr>
      <w:r>
        <w:rPr>
          <w:rFonts w:ascii="Times New Roman" w:cs="Times New Roman" w:eastAsia="Times New Roman" w:hAnsi="Times New Roman"/>
          <w:sz w:val="20"/>
          <w:szCs w:val="20"/>
          <w:color w:val="auto"/>
        </w:rPr>
        <w:t>These findings in addition to the rest of the preclinical data package for ALX2004 allowed us to start at a 1 mg/kg dose level in ALX2004’s first-in-human clinical trial.</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ALX2004 first-in-human study is in patients with EGFR-expressing solid tumors</w:t>
      </w:r>
    </w:p>
    <w:p>
      <w:pPr>
        <w:spacing w:after="0" w:line="121" w:lineRule="exact"/>
        <w:rPr>
          <w:sz w:val="20"/>
          <w:szCs w:val="20"/>
          <w:color w:val="auto"/>
        </w:rPr>
      </w:pPr>
    </w:p>
    <w:p>
      <w:pPr>
        <w:ind w:right="20" w:firstLine="487"/>
        <w:spacing w:after="0" w:line="276" w:lineRule="auto"/>
        <w:rPr>
          <w:sz w:val="20"/>
          <w:szCs w:val="20"/>
          <w:color w:val="auto"/>
        </w:rPr>
      </w:pPr>
      <w:r>
        <w:rPr>
          <w:rFonts w:ascii="Times New Roman" w:cs="Times New Roman" w:eastAsia="Times New Roman" w:hAnsi="Times New Roman"/>
          <w:sz w:val="20"/>
          <w:szCs w:val="20"/>
          <w:color w:val="auto"/>
        </w:rPr>
        <w:t>We designed ALX2004’s Phase 1 study to maximize both efficiency and the probability of technical success by selecting tumor types with the following characteristics:</w:t>
      </w:r>
    </w:p>
    <w:p>
      <w:pPr>
        <w:spacing w:after="0" w:line="4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EGFR expression</w:t>
      </w:r>
    </w:p>
    <w:p>
      <w:pPr>
        <w:spacing w:after="0" w:line="1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Sensitivity to topoisomerase I inhibitors</w:t>
      </w:r>
    </w:p>
    <w:p>
      <w:pPr>
        <w:spacing w:after="0" w:line="11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0"/>
          <w:szCs w:val="20"/>
          <w:color w:val="auto"/>
        </w:rPr>
        <w:t>Sensitivity to EGFR-targeted antibodies</w:t>
      </w:r>
    </w:p>
    <w:p>
      <w:pPr>
        <w:spacing w:after="0" w:line="118" w:lineRule="exact"/>
        <w:rPr>
          <w:sz w:val="20"/>
          <w:szCs w:val="20"/>
          <w:color w:val="auto"/>
        </w:rPr>
      </w:pPr>
    </w:p>
    <w:p>
      <w:pPr>
        <w:ind w:right="260" w:firstLine="490"/>
        <w:spacing w:after="0" w:line="257" w:lineRule="auto"/>
        <w:rPr>
          <w:sz w:val="20"/>
          <w:szCs w:val="20"/>
          <w:color w:val="auto"/>
        </w:rPr>
      </w:pPr>
      <w:r>
        <w:rPr>
          <w:rFonts w:ascii="Times New Roman" w:cs="Times New Roman" w:eastAsia="Times New Roman" w:hAnsi="Times New Roman"/>
          <w:sz w:val="20"/>
          <w:szCs w:val="20"/>
          <w:color w:val="auto"/>
        </w:rPr>
        <w:t>By evaluating tumor types on these criteria, we selected NSCLC, HNSCC, CRC, and esophageal squamous cell carcinoma (ESCC) as eligible tumor types for the dose finding portion of the Phase 1 trial. Importantly, this group of tumor types represents a significant unmet need with over 450,000 patients living with these tumors in the metastatic stage in the US alone.</w:t>
      </w:r>
    </w:p>
    <w:p>
      <w:pPr>
        <w:spacing w:after="0" w:line="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9"/>
          <w:szCs w:val="19"/>
          <w:color w:val="auto"/>
        </w:rPr>
        <w:t>The study consists of a Phase 1a dose escalation portion followed by optional dose exploration, and a Phase 1b dose expansion.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dose escalation portion of the trial is enrolling patients with previously treated NSCLC, HNSCC, CRC, and ESCC.</w:t>
      </w:r>
    </w:p>
    <w:p>
      <w:pPr>
        <w:spacing w:after="0" w:line="90" w:lineRule="exact"/>
        <w:rPr>
          <w:sz w:val="20"/>
          <w:szCs w:val="20"/>
          <w:color w:val="auto"/>
        </w:rPr>
      </w:pPr>
    </w:p>
    <w:p>
      <w:pPr>
        <w:ind w:right="180" w:firstLine="486"/>
        <w:spacing w:after="0" w:line="274" w:lineRule="auto"/>
        <w:rPr>
          <w:sz w:val="20"/>
          <w:szCs w:val="20"/>
          <w:color w:val="auto"/>
        </w:rPr>
      </w:pPr>
      <w:r>
        <w:rPr>
          <w:rFonts w:ascii="Times New Roman" w:cs="Times New Roman" w:eastAsia="Times New Roman" w:hAnsi="Times New Roman"/>
          <w:sz w:val="20"/>
          <w:szCs w:val="20"/>
          <w:color w:val="auto"/>
        </w:rPr>
        <w:t>The first patient was dosed in this trial in August 2025. As of January 2026, the first two dose levels had been cleared with no dose-limiting toxicities. Initial safety data is anticipated in the first half of 2026.</w:t>
      </w:r>
    </w:p>
    <w:p>
      <w:pPr>
        <w:sectPr>
          <w:pgSz w:w="12240" w:h="15840" w:orient="portrait"/>
          <w:cols w:equalWidth="0" w:num="1">
            <w:col w:w="10660"/>
          </w:cols>
          <w:pgMar w:left="760" w:top="1440" w:right="82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19</w:t>
      </w:r>
    </w:p>
    <w:p>
      <w:pPr>
        <w:sectPr>
          <w:pgSz w:w="12240" w:h="15840" w:orient="portrait"/>
          <w:cols w:equalWidth="0" w:num="1">
            <w:col w:w="10660"/>
          </w:cols>
          <w:pgMar w:left="760" w:top="1440" w:right="820" w:bottom="236" w:gutter="0" w:footer="0" w:header="0"/>
          <w:type w:val="continuous"/>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728980</wp:posOffset>
            </wp:positionH>
            <wp:positionV relativeFrom="page">
              <wp:posOffset>635000</wp:posOffset>
            </wp:positionV>
            <wp:extent cx="6309995" cy="3112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309995" cy="311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Licensing and Intellectual Property</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commercial success depends in part on our ability to obtain and maintain proprietary protection for our current and future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candidates, novel discoveries, product development technologies and knowhow and to operate without infringing on the</w:t>
      </w:r>
    </w:p>
    <w:p>
      <w:pPr>
        <w:spacing w:after="0" w:line="238" w:lineRule="auto"/>
        <w:rPr>
          <w:sz w:val="20"/>
          <w:szCs w:val="20"/>
          <w:color w:val="auto"/>
        </w:rPr>
      </w:pPr>
      <w:r>
        <w:rPr>
          <w:rFonts w:ascii="Times New Roman" w:cs="Times New Roman" w:eastAsia="Times New Roman" w:hAnsi="Times New Roman"/>
          <w:sz w:val="20"/>
          <w:szCs w:val="20"/>
          <w:color w:val="auto"/>
        </w:rPr>
        <w:t>proprietary rights of others. We seek to protect our proprietary position by, among other methods, filing or in-licensing U.S. and</w:t>
      </w:r>
    </w:p>
    <w:p>
      <w:pPr>
        <w:spacing w:after="0" w:line="238" w:lineRule="auto"/>
        <w:rPr>
          <w:sz w:val="20"/>
          <w:szCs w:val="20"/>
          <w:color w:val="auto"/>
        </w:rPr>
      </w:pPr>
      <w:r>
        <w:rPr>
          <w:rFonts w:ascii="Times New Roman" w:cs="Times New Roman" w:eastAsia="Times New Roman" w:hAnsi="Times New Roman"/>
          <w:sz w:val="20"/>
          <w:szCs w:val="20"/>
          <w:color w:val="auto"/>
        </w:rPr>
        <w:t>foreign patents and patent applications related to technology, inventions and improvements that are important to the development and</w:t>
      </w:r>
    </w:p>
    <w:p>
      <w:pPr>
        <w:spacing w:after="0"/>
        <w:rPr>
          <w:sz w:val="20"/>
          <w:szCs w:val="20"/>
          <w:color w:val="auto"/>
        </w:rPr>
      </w:pPr>
      <w:r>
        <w:rPr>
          <w:rFonts w:ascii="Times New Roman" w:cs="Times New Roman" w:eastAsia="Times New Roman" w:hAnsi="Times New Roman"/>
          <w:sz w:val="20"/>
          <w:szCs w:val="20"/>
          <w:color w:val="auto"/>
        </w:rPr>
        <w:t>implementation of our business. Our patent portfolio is intended to cover our product candidates and related components, their</w:t>
      </w:r>
    </w:p>
    <w:p>
      <w:pPr>
        <w:spacing w:after="0"/>
        <w:rPr>
          <w:sz w:val="20"/>
          <w:szCs w:val="20"/>
          <w:color w:val="auto"/>
        </w:rPr>
      </w:pPr>
      <w:r>
        <w:rPr>
          <w:rFonts w:ascii="Times New Roman" w:cs="Times New Roman" w:eastAsia="Times New Roman" w:hAnsi="Times New Roman"/>
          <w:sz w:val="19"/>
          <w:szCs w:val="19"/>
          <w:color w:val="auto"/>
        </w:rPr>
        <w:t>methods of use and processes for their manufacture and any other inventions that are commercially important to our business. We also</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rely on trademarks, trade secrets, know-how, continuing technological innovation and confidential information to develop and</w:t>
      </w:r>
    </w:p>
    <w:p>
      <w:pPr>
        <w:spacing w:after="0"/>
        <w:rPr>
          <w:sz w:val="20"/>
          <w:szCs w:val="20"/>
          <w:color w:val="auto"/>
        </w:rPr>
      </w:pPr>
      <w:r>
        <w:rPr>
          <w:rFonts w:ascii="Times New Roman" w:cs="Times New Roman" w:eastAsia="Times New Roman" w:hAnsi="Times New Roman"/>
          <w:sz w:val="20"/>
          <w:szCs w:val="20"/>
          <w:color w:val="auto"/>
        </w:rPr>
        <w:t>maintain our proprietary position.</w:t>
      </w:r>
    </w:p>
    <w:p>
      <w:pPr>
        <w:spacing w:after="0" w:line="89" w:lineRule="exact"/>
        <w:rPr>
          <w:sz w:val="20"/>
          <w:szCs w:val="20"/>
          <w:color w:val="auto"/>
        </w:rPr>
      </w:pPr>
    </w:p>
    <w:p>
      <w:pPr>
        <w:ind w:right="20" w:firstLine="488"/>
        <w:spacing w:after="0" w:line="243" w:lineRule="auto"/>
        <w:rPr>
          <w:sz w:val="20"/>
          <w:szCs w:val="20"/>
          <w:color w:val="auto"/>
        </w:rPr>
      </w:pPr>
      <w:r>
        <w:rPr>
          <w:rFonts w:ascii="Times New Roman" w:cs="Times New Roman" w:eastAsia="Times New Roman" w:hAnsi="Times New Roman"/>
          <w:sz w:val="20"/>
          <w:szCs w:val="20"/>
          <w:color w:val="auto"/>
        </w:rPr>
        <w:t>As of January 4, 2026, we own 11 issued U.S. patents, 86 foreign issued patents, 9 pending U.S. nonprovisional patent applications and a portfolio of national patent application filings in a variety of non-U.S. jurisdictions, including Europe, Hong Kong, Brazil, Mexico, New Zealand, Japan, Australia, Canada, China, India, Israel, Republic of Korea, Singapore, Taiwan and Russia. Of these patents and patent applications, the following relate to evorpacept: seven issued U.S. patents, six pending U.S. nonprovisional patent applications, and a portfolio of granted and pending patent filings in a variety of non-U.S. jurisdictions, including Europe, Hong Kong, Brazil, Mexico, New Zealand, Japan, Australia, Canada, China, India, Israel, Republic of Korea, Singapore and Russia. The following relate to antibody shielding technology and exatecan derivatives: one issued U.S. patent, three pending U.S. nonprovisional patent applications, and 49 pending foreign patent applications.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term of individual patents depends upon the legal term for patents in the countries in which they are granted. Our 11 U.S.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issued patents and, if issued as U.S. patents, our 8 U.S. nonprovisional patent applications are expected to expire between August 2036</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November 2043 excluding any additional term for patent term adjustments or patent term extensions, with an expiration of</w:t>
      </w:r>
    </w:p>
    <w:p>
      <w:pPr>
        <w:spacing w:after="0"/>
        <w:rPr>
          <w:sz w:val="20"/>
          <w:szCs w:val="20"/>
          <w:color w:val="auto"/>
        </w:rPr>
      </w:pPr>
      <w:r>
        <w:rPr>
          <w:rFonts w:ascii="Times New Roman" w:cs="Times New Roman" w:eastAsia="Times New Roman" w:hAnsi="Times New Roman"/>
          <w:sz w:val="19"/>
          <w:szCs w:val="19"/>
          <w:color w:val="auto"/>
        </w:rPr>
        <w:t>between August 2036 and May 2043 with respect to our patent and patent applications related to evorpacept, excluding any additional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term for patent term extensions.</w:t>
      </w:r>
    </w:p>
    <w:p>
      <w:pPr>
        <w:spacing w:after="0" w:line="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obtained a worldwide, royalty-bearing, sublicensable license from the Board of Trustees of the Leland Stanford Junior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University, or Stanford, under certain patents relating to high-affinity 6,53Į variant polypeptides, to develop, manufacture and</w:t>
      </w:r>
    </w:p>
    <w:p>
      <w:pPr>
        <w:spacing w:after="0" w:line="238" w:lineRule="auto"/>
        <w:rPr>
          <w:sz w:val="20"/>
          <w:szCs w:val="20"/>
          <w:color w:val="auto"/>
        </w:rPr>
      </w:pPr>
      <w:r>
        <w:rPr>
          <w:rFonts w:ascii="Times New Roman" w:cs="Times New Roman" w:eastAsia="Times New Roman" w:hAnsi="Times New Roman"/>
          <w:sz w:val="20"/>
          <w:szCs w:val="20"/>
          <w:color w:val="auto"/>
        </w:rPr>
        <w:t>commercialize products for use in certain licensed fields, the scope of which would include the application of the licensed intellectual</w:t>
      </w:r>
    </w:p>
    <w:p>
      <w:pPr>
        <w:spacing w:after="0" w:line="238" w:lineRule="auto"/>
        <w:rPr>
          <w:sz w:val="20"/>
          <w:szCs w:val="20"/>
          <w:color w:val="auto"/>
        </w:rPr>
      </w:pPr>
      <w:r>
        <w:rPr>
          <w:rFonts w:ascii="Times New Roman" w:cs="Times New Roman" w:eastAsia="Times New Roman" w:hAnsi="Times New Roman"/>
          <w:sz w:val="20"/>
          <w:szCs w:val="20"/>
          <w:color w:val="auto"/>
        </w:rPr>
        <w:t>property in oncology. For more information regarding our license agreement with Stanford, please see “—Exclusive (Equity)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Agreement with Stanford University.”</w:t>
      </w:r>
    </w:p>
    <w:p>
      <w:pPr>
        <w:sectPr>
          <w:pgSz w:w="12240" w:h="15840" w:orient="portrait"/>
          <w:cols w:equalWidth="0" w:num="1">
            <w:col w:w="10720"/>
          </w:cols>
          <w:pgMar w:left="760" w:top="1440" w:right="760" w:bottom="2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2240" w:h="15840" w:orient="portrait"/>
          <w:cols w:equalWidth="0" w:num="1">
            <w:col w:w="10720"/>
          </w:cols>
          <w:pgMar w:left="760" w:top="1440" w:right="760" w:bottom="236" w:gutter="0" w:footer="0" w:header="0"/>
          <w:type w:val="continuous"/>
        </w:sectPr>
      </w:pPr>
    </w:p>
    <w:bookmarkStart w:id="30" w:name="page31"/>
    <w:bookmarkEnd w:id="30"/>
    <w:p>
      <w:pPr>
        <w:ind w:firstLine="486"/>
        <w:spacing w:after="0" w:line="243" w:lineRule="auto"/>
        <w:rPr>
          <w:sz w:val="20"/>
          <w:szCs w:val="20"/>
          <w:color w:val="auto"/>
        </w:rPr>
      </w:pPr>
      <w:r>
        <w:rPr>
          <w:rFonts w:ascii="Times New Roman" w:cs="Times New Roman" w:eastAsia="Times New Roman" w:hAnsi="Times New Roman"/>
          <w:sz w:val="20"/>
          <w:szCs w:val="20"/>
          <w:color w:val="auto"/>
        </w:rPr>
        <w:t>The patent portfolio we have exclusively licensed from Stanford contains patent families relating to high-affinity 6,53Į variant polypeptides, which includes three issued patents in the U.S. and one each in Australia, Canada, China, Europe, Hong Kong and four in Japan. The European patent has been validated as national patents in 37 different European countries. The patent family includes one pending patent application in each of U.S., Europe, and China and two pending patent applications in Hong Kong.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84" w:lineRule="exact"/>
        <w:rPr>
          <w:sz w:val="20"/>
          <w:szCs w:val="20"/>
          <w:color w:val="auto"/>
        </w:rPr>
      </w:pPr>
    </w:p>
    <w:p>
      <w:pPr>
        <w:ind w:right="420" w:firstLine="486"/>
        <w:spacing w:after="0" w:line="276" w:lineRule="auto"/>
        <w:rPr>
          <w:sz w:val="20"/>
          <w:szCs w:val="20"/>
          <w:color w:val="auto"/>
        </w:rPr>
      </w:pPr>
      <w:r>
        <w:rPr>
          <w:rFonts w:ascii="Times New Roman" w:cs="Times New Roman" w:eastAsia="Times New Roman" w:hAnsi="Times New Roman"/>
          <w:sz w:val="19"/>
          <w:szCs w:val="19"/>
          <w:color w:val="auto"/>
        </w:rPr>
        <w:t>We are aware of a European patent (EP 2 429 574) owned by UHN and The Hospital for Sick Children that relates to the treatment of hematologic cancers with polypeptides comprising soluble human 6,53Į  or a CD47-binding fragment thereof. This patent was subject to European Patent Office opposition proceedings, which resulted in the patent being upheld in amended form.</w:t>
      </w:r>
    </w:p>
    <w:p>
      <w:pPr>
        <w:spacing w:after="0" w:line="51" w:lineRule="exact"/>
        <w:rPr>
          <w:sz w:val="20"/>
          <w:szCs w:val="20"/>
          <w:color w:val="auto"/>
        </w:rPr>
      </w:pPr>
    </w:p>
    <w:p>
      <w:pPr>
        <w:ind w:right="200" w:firstLine="486"/>
        <w:spacing w:after="0" w:line="250" w:lineRule="auto"/>
        <w:rPr>
          <w:sz w:val="20"/>
          <w:szCs w:val="20"/>
          <w:color w:val="auto"/>
        </w:rPr>
      </w:pPr>
      <w:r>
        <w:rPr>
          <w:rFonts w:ascii="Times New Roman" w:cs="Times New Roman" w:eastAsia="Times New Roman" w:hAnsi="Times New Roman"/>
          <w:sz w:val="20"/>
          <w:szCs w:val="20"/>
          <w:color w:val="auto"/>
        </w:rPr>
        <w:t>Additionally, we are aware of a second European Patent (EP 2 995 315), a divisional of European patent (EP 2 429 574), granted to UHN and The Hospital for Sick Children. This patent relates to the eradication of hematological CD47+ cancer cells and tumors with polypeptides comprising soluble human 6,53Į  or a CD47-binding fragment thereof. This patent was upheld as granted by the European Patent Office Opposition Division on November 28, 2025. This decision is currently under appeal.</w:t>
      </w:r>
    </w:p>
    <w:p>
      <w:pPr>
        <w:spacing w:after="0" w:line="75" w:lineRule="exact"/>
        <w:rPr>
          <w:sz w:val="20"/>
          <w:szCs w:val="20"/>
          <w:color w:val="auto"/>
        </w:rPr>
      </w:pPr>
    </w:p>
    <w:p>
      <w:pPr>
        <w:ind w:right="60" w:firstLine="486"/>
        <w:spacing w:after="0" w:line="241" w:lineRule="auto"/>
        <w:rPr>
          <w:sz w:val="20"/>
          <w:szCs w:val="20"/>
          <w:color w:val="auto"/>
        </w:rPr>
      </w:pPr>
      <w:r>
        <w:rPr>
          <w:rFonts w:ascii="Times New Roman" w:cs="Times New Roman" w:eastAsia="Times New Roman" w:hAnsi="Times New Roman"/>
          <w:sz w:val="20"/>
          <w:szCs w:val="20"/>
          <w:color w:val="auto"/>
        </w:rPr>
        <w:t>The patent claims of both EP 2 429 574 and EP 2 995 315 could potentially limit our ability to pursue evorpacept in certain indications in certain territories in the EU in the future unless we obtain a license under these patents, these patents are determined to be invalid or unenforceable by the European Patent Office or a national court in one or more relevant territories, these patents are revoked or otherwise limited by the European Patent Office or a national court, or until these patents expire. A license may however not be available on commercially reasonable terms or at all. The U.S. counterpart to EP 2 429 574 was granted in 2021 as US patent 10,907,209. However, we believe that we do not infringe claims listed in this U.S. patent. Further, with respect to the development of our ALX2004 program, many companies have filed, and continue to file, patent applications related to antibody drug conjugates and components thereof that are similar to our approach.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if any, or impair our competitive position.</w:t>
      </w:r>
    </w:p>
    <w:p>
      <w:pPr>
        <w:spacing w:after="0" w:line="89" w:lineRule="exact"/>
        <w:rPr>
          <w:sz w:val="20"/>
          <w:szCs w:val="20"/>
          <w:color w:val="auto"/>
        </w:rPr>
      </w:pPr>
    </w:p>
    <w:p>
      <w:pPr>
        <w:ind w:right="20" w:firstLine="486"/>
        <w:spacing w:after="0" w:line="274" w:lineRule="auto"/>
        <w:rPr>
          <w:sz w:val="20"/>
          <w:szCs w:val="20"/>
          <w:color w:val="auto"/>
        </w:rPr>
      </w:pPr>
      <w:r>
        <w:rPr>
          <w:rFonts w:ascii="Times New Roman" w:cs="Times New Roman" w:eastAsia="Times New Roman" w:hAnsi="Times New Roman"/>
          <w:sz w:val="20"/>
          <w:szCs w:val="20"/>
          <w:color w:val="auto"/>
        </w:rPr>
        <w:t>For more information regarding the risks related to our intellectual property, including the above referenced intellectual property proceedings, see “Risk Factors—Risks Related to Our Intellectual Property.”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Exclusive (Equity) Agreement with Stanford University</w:t>
      </w:r>
    </w:p>
    <w:p>
      <w:pPr>
        <w:spacing w:after="0" w:line="122" w:lineRule="exact"/>
        <w:rPr>
          <w:sz w:val="20"/>
          <w:szCs w:val="20"/>
          <w:color w:val="auto"/>
        </w:rPr>
      </w:pPr>
    </w:p>
    <w:p>
      <w:pPr>
        <w:ind w:right="60" w:firstLine="487"/>
        <w:spacing w:after="0" w:line="258" w:lineRule="auto"/>
        <w:rPr>
          <w:sz w:val="20"/>
          <w:szCs w:val="20"/>
          <w:color w:val="auto"/>
        </w:rPr>
      </w:pPr>
      <w:r>
        <w:rPr>
          <w:rFonts w:ascii="Times New Roman" w:cs="Times New Roman" w:eastAsia="Times New Roman" w:hAnsi="Times New Roman"/>
          <w:sz w:val="19"/>
          <w:szCs w:val="19"/>
          <w:color w:val="auto"/>
        </w:rPr>
        <w:t>In March 2015, we entered into a license agreement, or the Stanford Agreement, with The Board of Trustees of the Leland Stanford Junior University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68"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common stock.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We recorded the first milestone payment of $0.2 million during the year ended December 31, 2021. There have been no milestones met during the year ended December 31, 2025.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89" w:lineRule="exact"/>
        <w:rPr>
          <w:sz w:val="20"/>
          <w:szCs w:val="20"/>
          <w:color w:val="auto"/>
        </w:rPr>
      </w:pPr>
    </w:p>
    <w:p>
      <w:pPr>
        <w:ind w:right="80" w:firstLine="486"/>
        <w:spacing w:after="0" w:line="267" w:lineRule="auto"/>
        <w:rPr>
          <w:sz w:val="20"/>
          <w:szCs w:val="20"/>
          <w:color w:val="auto"/>
        </w:rPr>
      </w:pPr>
      <w:r>
        <w:rPr>
          <w:rFonts w:ascii="Times New Roman" w:cs="Times New Roman" w:eastAsia="Times New Roman" w:hAnsi="Times New Roman"/>
          <w:sz w:val="19"/>
          <w:szCs w:val="19"/>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w:t>
      </w:r>
    </w:p>
    <w:p>
      <w:pPr>
        <w:sectPr>
          <w:pgSz w:w="12240" w:h="15840" w:orient="portrait"/>
          <w:cols w:equalWidth="0" w:num="1">
            <w:col w:w="10720"/>
          </w:cols>
          <w:pgMar w:left="760" w:top="978" w:right="760" w:bottom="223" w:gutter="0" w:footer="0" w:header="0"/>
        </w:sect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2240" w:h="15840" w:orient="portrait"/>
          <w:cols w:equalWidth="0" w:num="1">
            <w:col w:w="10720"/>
          </w:cols>
          <w:pgMar w:left="760" w:top="978" w:right="760" w:bottom="223" w:gutter="0" w:footer="0" w:header="0"/>
          <w:type w:val="continuous"/>
        </w:sectPr>
      </w:pPr>
    </w:p>
    <w:bookmarkStart w:id="31" w:name="page32"/>
    <w:bookmarkEnd w:id="31"/>
    <w:p>
      <w:pPr>
        <w:ind w:right="960"/>
        <w:spacing w:after="0" w:line="274" w:lineRule="auto"/>
        <w:rPr>
          <w:sz w:val="20"/>
          <w:szCs w:val="20"/>
          <w:color w:val="auto"/>
        </w:rPr>
      </w:pPr>
      <w:r>
        <w:rPr>
          <w:rFonts w:ascii="Times New Roman" w:cs="Times New Roman" w:eastAsia="Times New Roman" w:hAnsi="Times New Roman"/>
          <w:sz w:val="20"/>
          <w:szCs w:val="20"/>
          <w:color w:val="auto"/>
        </w:rPr>
        <w:t>diligently developing and commercializing such licensed product under certain conditions or if we fail to achieve specified development milestones for such licensed product by certain dates, subject to our extension rights.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Third-Party Agreements</w:t>
      </w:r>
    </w:p>
    <w:p>
      <w:pPr>
        <w:spacing w:after="0" w:line="122" w:lineRule="exact"/>
        <w:rPr>
          <w:sz w:val="20"/>
          <w:szCs w:val="20"/>
          <w:color w:val="auto"/>
        </w:rPr>
      </w:pPr>
    </w:p>
    <w:p>
      <w:pPr>
        <w:ind w:right="260" w:firstLine="487"/>
        <w:spacing w:after="0" w:line="247" w:lineRule="auto"/>
        <w:rPr>
          <w:sz w:val="20"/>
          <w:szCs w:val="20"/>
          <w:color w:val="auto"/>
        </w:rPr>
      </w:pPr>
      <w:r>
        <w:rPr>
          <w:rFonts w:ascii="Times New Roman" w:cs="Times New Roman" w:eastAsia="Times New Roman" w:hAnsi="Times New Roman"/>
          <w:sz w:val="20"/>
          <w:szCs w:val="20"/>
          <w:color w:val="auto"/>
        </w:rPr>
        <w:t>We have entered into license agreements with third parties related to the development and commercialization of our product candidates, including evorpacept, and 6,53Į antibodies which we are exploring in our research program. In consideration of the foregoing, we have agreed to customary payment terms in these agreements, including certain milestone payments upon the achievement of clinical and commercial milestones and low single-digit royalties. See further details in Note 13 to our consolidated financial statements appearing elsewhere in this Annual Report on Form 10-K.</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Commercialization</w:t>
      </w:r>
    </w:p>
    <w:p>
      <w:pPr>
        <w:spacing w:after="0" w:line="122" w:lineRule="exact"/>
        <w:rPr>
          <w:sz w:val="20"/>
          <w:szCs w:val="20"/>
          <w:color w:val="auto"/>
        </w:rPr>
      </w:pPr>
    </w:p>
    <w:p>
      <w:pPr>
        <w:ind w:right="100" w:firstLine="487"/>
        <w:spacing w:after="0" w:line="261" w:lineRule="auto"/>
        <w:rPr>
          <w:sz w:val="20"/>
          <w:szCs w:val="20"/>
          <w:color w:val="auto"/>
        </w:rPr>
      </w:pPr>
      <w:r>
        <w:rPr>
          <w:rFonts w:ascii="Times New Roman" w:cs="Times New Roman" w:eastAsia="Times New Roman" w:hAnsi="Times New Roman"/>
          <w:sz w:val="19"/>
          <w:szCs w:val="19"/>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122"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20"/>
          <w:szCs w:val="20"/>
          <w:color w:val="auto"/>
        </w:rPr>
        <w:t>We do not own or operate and do not intend to establish our own manufacturing facilities. We rely on, and will continue to rely on, CMOs for both drug substance and drug product. Evorpacept and ALX2004 bulk drug substance and finished drug product are produced in accordance with current good manufacturing practices, or cGMPs.</w:t>
      </w:r>
    </w:p>
    <w:p>
      <w:pPr>
        <w:spacing w:after="0" w:line="69"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Our existing supply of evorpacept and ALX2004 is sufficient to complete our clinical trials through the first quarter of 2026. We plan to manufacture additional supplies with our existing CMOs to produce evorpacept and ALX2004 drug product sufficient to complete the ongoing and planned clinical trials described in this document. We first entered into an engagement with KBI Biopharma, Inc. in 2015 for evorpacept analytical method development, formulation development, bulk drug manufacturing, release and stability testing. We first entered into an engagement with Patheon Biologics LLC in 2022 for evorpacept bulk drug manufacturing and release testing. We first entered into a drug product manufacturing agreement with Lyophilization Services of New England, Inc. (now PCI Pharma Services) in 2016 for evorpacept drug product used in clinical trials. We subsequently entered into a drug product manufacturing agreement with Patheon UK Limited in 2022 for drug product production of evorpacept drug product used in clinical trials. We first entered into an engagement with WuXi Biologics and WuXi XDC in 2023 for ALX2004 analytical method development, formulation development, bulk drug manufacturing, drug product manufacturing, release and stability testing, used in clinical trials.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2" w:lineRule="exact"/>
        <w:rPr>
          <w:sz w:val="20"/>
          <w:szCs w:val="20"/>
          <w:color w:val="auto"/>
        </w:rPr>
      </w:pPr>
    </w:p>
    <w:p>
      <w:pPr>
        <w:ind w:right="40" w:firstLine="486"/>
        <w:spacing w:after="0" w:line="243" w:lineRule="auto"/>
        <w:rPr>
          <w:sz w:val="20"/>
          <w:szCs w:val="20"/>
          <w:color w:val="auto"/>
        </w:rPr>
      </w:pPr>
      <w:r>
        <w:rPr>
          <w:rFonts w:ascii="Times New Roman" w:cs="Times New Roman" w:eastAsia="Times New Roman" w:hAnsi="Times New Roman"/>
          <w:sz w:val="20"/>
          <w:szCs w:val="20"/>
          <w:color w:val="auto"/>
        </w:rPr>
        <w:t>The development and commercialization of new product candidates is highly competitive. We face competition with respect to evorpacept and ALX2004,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2240" w:h="15840" w:orient="portrait"/>
          <w:cols w:equalWidth="0" w:num="1">
            <w:col w:w="10720"/>
          </w:cols>
          <w:pgMar w:left="760" w:top="978" w:right="760" w:bottom="223" w:gutter="0" w:footer="0" w:header="0"/>
          <w:type w:val="continuous"/>
        </w:sectPr>
      </w:pPr>
    </w:p>
    <w:bookmarkStart w:id="32" w:name="page33"/>
    <w:bookmarkEnd w:id="32"/>
    <w:p>
      <w:pPr>
        <w:ind w:right="100" w:firstLine="486"/>
        <w:spacing w:after="0" w:line="241" w:lineRule="auto"/>
        <w:rPr>
          <w:sz w:val="20"/>
          <w:szCs w:val="20"/>
          <w:color w:val="auto"/>
        </w:rPr>
      </w:pPr>
      <w:r>
        <w:rPr>
          <w:rFonts w:ascii="Times New Roman" w:cs="Times New Roman" w:eastAsia="Times New Roman" w:hAnsi="Times New Roman"/>
          <w:sz w:val="20"/>
          <w:szCs w:val="20"/>
          <w:color w:val="auto"/>
        </w:rPr>
        <w:t>Some of these competitive products and therapies are based on scientific approaches that are the same as or similar to our approach, including with respect to the targeting of the CD47 pathway, targeting EGFR as an ADC target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We are also aware that AstraZeneca, BioNTech, Bristol Myers Squibb with Systimmune, CSPC, and Henlius, among others, are developing or have begun development of antibody drug conjugates targeting EGFR.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40" w:firstLine="487"/>
        <w:spacing w:after="0" w:line="244" w:lineRule="auto"/>
        <w:rPr>
          <w:sz w:val="20"/>
          <w:szCs w:val="20"/>
          <w:color w:val="auto"/>
        </w:rPr>
      </w:pPr>
      <w:r>
        <w:rPr>
          <w:rFonts w:ascii="Times New Roman" w:cs="Times New Roman" w:eastAsia="Times New Roman" w:hAnsi="Times New Roman"/>
          <w:sz w:val="20"/>
          <w:szCs w:val="20"/>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ALX2004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2" w:lineRule="exact"/>
        <w:rPr>
          <w:sz w:val="20"/>
          <w:szCs w:val="20"/>
          <w:color w:val="auto"/>
        </w:rPr>
      </w:pPr>
    </w:p>
    <w:p>
      <w:pPr>
        <w:ind w:right="80" w:firstLine="486"/>
        <w:spacing w:after="0" w:line="243" w:lineRule="auto"/>
        <w:rPr>
          <w:sz w:val="20"/>
          <w:szCs w:val="20"/>
          <w:color w:val="auto"/>
        </w:rPr>
      </w:pPr>
      <w:r>
        <w:rPr>
          <w:rFonts w:ascii="Times New Roman" w:cs="Times New Roman" w:eastAsia="Times New Roman" w:hAnsi="Times New Roman"/>
          <w:sz w:val="20"/>
          <w:szCs w:val="20"/>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84"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20"/>
          <w:szCs w:val="20"/>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22"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20"/>
          <w:szCs w:val="20"/>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2240" w:h="15840" w:orient="portrait"/>
          <w:cols w:equalWidth="0" w:num="1">
            <w:col w:w="10720"/>
          </w:cols>
          <w:pgMar w:left="760" w:top="978" w:right="760" w:bottom="223" w:gutter="0" w:footer="0" w:header="0"/>
          <w:type w:val="continuous"/>
        </w:sectPr>
      </w:pPr>
    </w:p>
    <w:bookmarkStart w:id="33" w:name="page34"/>
    <w:bookmarkEnd w:id="33"/>
    <w:p>
      <w:pPr>
        <w:ind w:right="140" w:firstLine="486"/>
        <w:spacing w:after="0" w:line="245" w:lineRule="auto"/>
        <w:rPr>
          <w:sz w:val="20"/>
          <w:szCs w:val="20"/>
          <w:color w:val="auto"/>
        </w:rPr>
      </w:pPr>
      <w:r>
        <w:rPr>
          <w:rFonts w:ascii="Times New Roman" w:cs="Times New Roman" w:eastAsia="Times New Roman" w:hAnsi="Times New Roman"/>
          <w:sz w:val="20"/>
          <w:szCs w:val="20"/>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Biologics Regulation</w:t>
      </w:r>
    </w:p>
    <w:p>
      <w:pPr>
        <w:spacing w:after="0" w:line="118" w:lineRule="exact"/>
        <w:rPr>
          <w:sz w:val="20"/>
          <w:szCs w:val="20"/>
          <w:color w:val="auto"/>
        </w:rPr>
      </w:pPr>
    </w:p>
    <w:p>
      <w:pPr>
        <w:ind w:right="160" w:firstLine="487"/>
        <w:spacing w:after="0" w:line="274" w:lineRule="auto"/>
        <w:rPr>
          <w:sz w:val="20"/>
          <w:szCs w:val="20"/>
          <w:color w:val="auto"/>
        </w:rPr>
      </w:pPr>
      <w:r>
        <w:rPr>
          <w:rFonts w:ascii="Times New Roman" w:cs="Times New Roman" w:eastAsia="Times New Roman" w:hAnsi="Times New Roman"/>
          <w:sz w:val="20"/>
          <w:szCs w:val="20"/>
          <w:color w:val="auto"/>
        </w:rPr>
        <w:t>Any future product candidates must be approved by the FDA through the BLA process before they may be legally marketed in the United States.</w:t>
      </w:r>
    </w:p>
    <w:p>
      <w:pPr>
        <w:spacing w:after="0" w:line="5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process generally involves the following:</w:t>
      </w:r>
    </w:p>
    <w:p>
      <w:pPr>
        <w:spacing w:after="0" w:line="118" w:lineRule="exact"/>
        <w:rPr>
          <w:sz w:val="20"/>
          <w:szCs w:val="20"/>
          <w:color w:val="auto"/>
        </w:rPr>
      </w:pPr>
    </w:p>
    <w:p>
      <w:pPr>
        <w:ind w:left="980" w:right="180" w:hanging="496"/>
        <w:spacing w:after="0" w:line="261" w:lineRule="auto"/>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Completion of extensive preclinical laboratory tests and animal studies performed in accordance with the FDA’s current Good Laboratory Practices, or GLP, regulation.</w:t>
      </w:r>
    </w:p>
    <w:p>
      <w:pPr>
        <w:spacing w:after="0" w:line="61" w:lineRule="exact"/>
        <w:rPr>
          <w:rFonts w:ascii="PMingLiU" w:cs="PMingLiU" w:eastAsia="PMingLiU" w:hAnsi="PMingLiU"/>
          <w:sz w:val="20"/>
          <w:szCs w:val="20"/>
          <w:color w:val="auto"/>
        </w:rPr>
      </w:pPr>
    </w:p>
    <w:p>
      <w:pPr>
        <w:ind w:left="980" w:right="140" w:hanging="496"/>
        <w:spacing w:after="0" w:line="261" w:lineRule="auto"/>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Submission to the FDA of an investigational new drug, or IND, application, which must become effective before clinical trials may begin and must be updated annually or when significant changes are made.</w:t>
      </w:r>
    </w:p>
    <w:p>
      <w:pPr>
        <w:spacing w:after="0" w:line="61" w:lineRule="exact"/>
        <w:rPr>
          <w:rFonts w:ascii="PMingLiU" w:cs="PMingLiU" w:eastAsia="PMingLiU" w:hAnsi="PMingLiU"/>
          <w:sz w:val="20"/>
          <w:szCs w:val="20"/>
          <w:color w:val="auto"/>
        </w:rPr>
      </w:pPr>
    </w:p>
    <w:p>
      <w:pPr>
        <w:ind w:left="980" w:right="120" w:hanging="496"/>
        <w:spacing w:after="0" w:line="261" w:lineRule="auto"/>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Approval by an independent institutional review board, or IRB, or ethics committee at each clinical site before the trial is commenced.</w:t>
      </w:r>
    </w:p>
    <w:p>
      <w:pPr>
        <w:spacing w:after="0" w:line="61" w:lineRule="exact"/>
        <w:rPr>
          <w:rFonts w:ascii="PMingLiU" w:cs="PMingLiU" w:eastAsia="PMingLiU" w:hAnsi="PMingLiU"/>
          <w:sz w:val="20"/>
          <w:szCs w:val="20"/>
          <w:color w:val="auto"/>
        </w:rPr>
      </w:pPr>
    </w:p>
    <w:p>
      <w:pPr>
        <w:jc w:val="both"/>
        <w:ind w:left="980" w:right="360" w:hanging="496"/>
        <w:spacing w:after="0" w:line="249" w:lineRule="auto"/>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Performance of adequate and well-controlled human clinical trials in accordance with the applicable IND regulations, good clinical practice, or GCP, requirements to establish the safety and effectiveness of the proposed biologic product candidate for its intended purpose.</w:t>
      </w:r>
    </w:p>
    <w:p>
      <w:pPr>
        <w:spacing w:after="0" w:line="74" w:lineRule="exact"/>
        <w:rPr>
          <w:rFonts w:ascii="PMingLiU" w:cs="PMingLiU" w:eastAsia="PMingLiU" w:hAnsi="PMingLiU"/>
          <w:sz w:val="20"/>
          <w:szCs w:val="20"/>
          <w:color w:val="auto"/>
        </w:rPr>
      </w:pPr>
    </w:p>
    <w:p>
      <w:pPr>
        <w:ind w:left="980" w:right="200" w:hanging="496"/>
        <w:spacing w:after="0" w:line="261" w:lineRule="auto"/>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Compliance with PREA, BPCA and FDARA regarding development of certain molecularly targeted oncology drugs for pediatric use.</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Preparation of and submission to the FDA of a BLA.</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 determination by the FDA within 60 days of its receipt of a BLA to file the application for review.</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Satisfactory completion of any FDA audit of selected clinical trial sites that generated the data in support of the BLA.</w:t>
      </w:r>
    </w:p>
    <w:p>
      <w:pPr>
        <w:spacing w:after="0" w:line="104" w:lineRule="exact"/>
        <w:rPr>
          <w:rFonts w:ascii="PMingLiU" w:cs="PMingLiU" w:eastAsia="PMingLiU" w:hAnsi="PMingLiU"/>
          <w:sz w:val="20"/>
          <w:szCs w:val="20"/>
          <w:color w:val="auto"/>
        </w:rPr>
      </w:pPr>
    </w:p>
    <w:p>
      <w:pPr>
        <w:ind w:left="980" w:right="40" w:hanging="496"/>
        <w:spacing w:after="0" w:line="249" w:lineRule="auto"/>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w:t>
      </w:r>
    </w:p>
    <w:p>
      <w:pPr>
        <w:spacing w:after="0" w:line="74" w:lineRule="exact"/>
        <w:rPr>
          <w:rFonts w:ascii="PMingLiU" w:cs="PMingLiU" w:eastAsia="PMingLiU" w:hAnsi="PMingLiU"/>
          <w:sz w:val="20"/>
          <w:szCs w:val="20"/>
          <w:color w:val="auto"/>
        </w:rPr>
      </w:pPr>
    </w:p>
    <w:p>
      <w:pPr>
        <w:ind w:left="980" w:hanging="496"/>
        <w:spacing w:after="0"/>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Satisfactory completion of an FDA Advisory Committee review, if applicable.</w:t>
      </w:r>
    </w:p>
    <w:p>
      <w:pPr>
        <w:spacing w:after="0" w:line="104" w:lineRule="exact"/>
        <w:rPr>
          <w:rFonts w:ascii="PMingLiU" w:cs="PMingLiU" w:eastAsia="PMingLiU" w:hAnsi="PMingLiU"/>
          <w:sz w:val="20"/>
          <w:szCs w:val="20"/>
          <w:color w:val="auto"/>
        </w:rPr>
      </w:pPr>
    </w:p>
    <w:p>
      <w:pPr>
        <w:ind w:left="980" w:hanging="496"/>
        <w:spacing w:after="0" w:line="261" w:lineRule="auto"/>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FDA review and approval of a BLA to permit commercial marketing of the product for particular indications for use in the United States.</w:t>
      </w:r>
    </w:p>
    <w:p>
      <w:pPr>
        <w:spacing w:after="0" w:line="61" w:lineRule="exact"/>
        <w:rPr>
          <w:rFonts w:ascii="PMingLiU" w:cs="PMingLiU" w:eastAsia="PMingLiU" w:hAnsi="PMingLiU"/>
          <w:sz w:val="20"/>
          <w:szCs w:val="20"/>
          <w:color w:val="auto"/>
        </w:rPr>
      </w:pPr>
    </w:p>
    <w:p>
      <w:pPr>
        <w:ind w:left="980" w:right="100" w:hanging="496"/>
        <w:spacing w:after="0" w:line="288" w:lineRule="auto"/>
        <w:tabs>
          <w:tab w:leader="none" w:pos="980" w:val="left"/>
        </w:tabs>
        <w:numPr>
          <w:ilvl w:val="0"/>
          <w:numId w:val="19"/>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If necessary, FDA review and approval of the combination partner NDA/BLA to address any cross-labeling requirements to permit commercial marketing of the combination product for the particular indications for use in the United States.</w:t>
      </w:r>
    </w:p>
    <w:p>
      <w:pPr>
        <w:spacing w:after="0" w:line="36" w:lineRule="exact"/>
        <w:rPr>
          <w:rFonts w:ascii="PMingLiU" w:cs="PMingLiU" w:eastAsia="PMingLiU" w:hAnsi="PMingLiU"/>
          <w:sz w:val="19"/>
          <w:szCs w:val="19"/>
          <w:color w:val="auto"/>
        </w:rPr>
      </w:pPr>
    </w:p>
    <w:p>
      <w:pPr>
        <w:ind w:left="980" w:right="20" w:hanging="496"/>
        <w:spacing w:after="0" w:line="261" w:lineRule="auto"/>
        <w:tabs>
          <w:tab w:leader="none" w:pos="980" w:val="left"/>
        </w:tabs>
        <w:numPr>
          <w:ilvl w:val="0"/>
          <w:numId w:val="1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Compliance with any post-approval requirements, including the potential requirement to implement a Risk Evaluation and Mitigation Strategy, or REMS, and the potential requirement to conduct post-approval studies.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Preclinical and Clinical Development</w:t>
      </w:r>
    </w:p>
    <w:p>
      <w:pPr>
        <w:spacing w:after="0" w:line="118" w:lineRule="exact"/>
        <w:rPr>
          <w:sz w:val="20"/>
          <w:szCs w:val="20"/>
          <w:color w:val="auto"/>
        </w:rPr>
      </w:pPr>
    </w:p>
    <w:p>
      <w:pPr>
        <w:ind w:right="140" w:firstLine="487"/>
        <w:spacing w:after="0" w:line="256" w:lineRule="auto"/>
        <w:rPr>
          <w:sz w:val="20"/>
          <w:szCs w:val="20"/>
          <w:color w:val="auto"/>
        </w:rPr>
      </w:pPr>
      <w:r>
        <w:rPr>
          <w:rFonts w:ascii="Times New Roman" w:cs="Times New Roman" w:eastAsia="Times New Roman" w:hAnsi="Times New Roman"/>
          <w:sz w:val="20"/>
          <w:szCs w:val="20"/>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69"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20"/>
          <w:szCs w:val="20"/>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82" w:lineRule="exact"/>
        <w:rPr>
          <w:sz w:val="20"/>
          <w:szCs w:val="20"/>
          <w:color w:val="auto"/>
        </w:rPr>
      </w:pPr>
    </w:p>
    <w:p>
      <w:pPr>
        <w:ind w:right="200" w:firstLine="486"/>
        <w:spacing w:after="0" w:line="274" w:lineRule="auto"/>
        <w:rPr>
          <w:sz w:val="20"/>
          <w:szCs w:val="20"/>
          <w:color w:val="auto"/>
        </w:rPr>
      </w:pPr>
      <w:r>
        <w:rPr>
          <w:rFonts w:ascii="Times New Roman" w:cs="Times New Roman" w:eastAsia="Times New Roman" w:hAnsi="Times New Roman"/>
          <w:sz w:val="20"/>
          <w:szCs w:val="20"/>
          <w:color w:val="auto"/>
        </w:rPr>
        <w:t>Prior to beginning the first clinical trial with a product candidate, we must submit an IND to the FDA. An IND is a request for authorization from the FDA to administer an investigational new biopharmaceutical product to humans.</w:t>
      </w:r>
    </w:p>
    <w:p>
      <w:pPr>
        <w:sectPr>
          <w:pgSz w:w="12240" w:h="15840" w:orient="portrait"/>
          <w:cols w:equalWidth="0" w:num="1">
            <w:col w:w="10720"/>
          </w:cols>
          <w:pgMar w:left="760" w:top="978" w:right="760" w:bottom="223"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2240" w:h="15840" w:orient="portrait"/>
          <w:cols w:equalWidth="0" w:num="1">
            <w:col w:w="10720"/>
          </w:cols>
          <w:pgMar w:left="760" w:top="978" w:right="760" w:bottom="223" w:gutter="0" w:footer="0" w:header="0"/>
          <w:type w:val="continuous"/>
        </w:sectPr>
      </w:pPr>
    </w:p>
    <w:bookmarkStart w:id="34" w:name="page35"/>
    <w:bookmarkEnd w:id="34"/>
    <w:p>
      <w:pPr>
        <w:ind w:firstLine="486"/>
        <w:spacing w:after="0" w:line="245" w:lineRule="auto"/>
        <w:rPr>
          <w:sz w:val="20"/>
          <w:szCs w:val="20"/>
          <w:color w:val="auto"/>
        </w:rPr>
      </w:pPr>
      <w:r>
        <w:rPr>
          <w:rFonts w:ascii="Times New Roman" w:cs="Times New Roman" w:eastAsia="Times New Roman" w:hAnsi="Times New Roman"/>
          <w:sz w:val="20"/>
          <w:szCs w:val="20"/>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81"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84"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20"/>
          <w:szCs w:val="20"/>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trial not conducted under an IND if the trial was conducted in accordance with GCP requirements, the clinical data are relevant to the US patient population in terms of medical practice, standard of care, and patient population definition, and the FDA is able to validate the data through an onsite inspection if deemed necessary.</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For purposes of BLA approval, human clinical trials are typically conducted in three sequential phases that may overlap.</w:t>
      </w:r>
    </w:p>
    <w:p>
      <w:pPr>
        <w:spacing w:after="0" w:line="118" w:lineRule="exact"/>
        <w:rPr>
          <w:sz w:val="20"/>
          <w:szCs w:val="20"/>
          <w:color w:val="auto"/>
        </w:rPr>
      </w:pPr>
    </w:p>
    <w:p>
      <w:pPr>
        <w:ind w:left="960" w:right="480" w:hanging="477"/>
        <w:spacing w:after="0" w:line="243" w:lineRule="auto"/>
        <w:tabs>
          <w:tab w:leader="none" w:pos="96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Phase 1. For biologics being studied in oncology indications, the investigational product is initially introduced into patients with a broader range of malignancies, and may later focus on the target disease or condition. These trials are generally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83" w:lineRule="exact"/>
        <w:rPr>
          <w:rFonts w:ascii="PMingLiU" w:cs="PMingLiU" w:eastAsia="PMingLiU" w:hAnsi="PMingLiU"/>
          <w:sz w:val="20"/>
          <w:szCs w:val="20"/>
          <w:color w:val="auto"/>
        </w:rPr>
      </w:pPr>
    </w:p>
    <w:p>
      <w:pPr>
        <w:ind w:left="960" w:hanging="477"/>
        <w:spacing w:after="0" w:line="245" w:lineRule="auto"/>
        <w:tabs>
          <w:tab w:leader="none" w:pos="96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80" w:lineRule="exact"/>
        <w:rPr>
          <w:rFonts w:ascii="PMingLiU" w:cs="PMingLiU" w:eastAsia="PMingLiU" w:hAnsi="PMingLiU"/>
          <w:sz w:val="20"/>
          <w:szCs w:val="20"/>
          <w:color w:val="auto"/>
        </w:rPr>
      </w:pPr>
    </w:p>
    <w:p>
      <w:pPr>
        <w:ind w:left="960" w:right="40" w:hanging="477"/>
        <w:spacing w:after="0" w:line="244" w:lineRule="auto"/>
        <w:tabs>
          <w:tab w:leader="none" w:pos="960" w:val="left"/>
        </w:tabs>
        <w:numPr>
          <w:ilvl w:val="0"/>
          <w:numId w:val="2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usually include comparisons with placebo and/or other comparator treatments.</w:t>
      </w:r>
    </w:p>
    <w:p>
      <w:pPr>
        <w:spacing w:after="0" w:line="7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9"/>
          <w:szCs w:val="19"/>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2240" w:h="15840" w:orient="portrait"/>
          <w:cols w:equalWidth="0" w:num="1">
            <w:col w:w="10720"/>
          </w:cols>
          <w:pgMar w:left="760" w:top="978" w:right="760" w:bottom="223"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i w:val="1"/>
          <w:iCs w:val="1"/>
          <w:color w:val="auto"/>
        </w:rPr>
        <w:t>BLA Submission and Review</w:t>
      </w:r>
    </w:p>
    <w:p>
      <w:pPr>
        <w:spacing w:after="0" w:line="118"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20"/>
          <w:szCs w:val="20"/>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81"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often includes multiple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w:t>
      </w:r>
    </w:p>
    <w:p>
      <w:pPr>
        <w:spacing w:after="0" w:line="88" w:lineRule="exact"/>
        <w:rPr>
          <w:sz w:val="20"/>
          <w:szCs w:val="20"/>
          <w:color w:val="auto"/>
        </w:rPr>
      </w:pPr>
    </w:p>
    <w:p>
      <w:pPr>
        <w:ind w:right="80" w:firstLine="486"/>
        <w:spacing w:after="0" w:line="247" w:lineRule="auto"/>
        <w:rPr>
          <w:sz w:val="20"/>
          <w:szCs w:val="20"/>
          <w:color w:val="auto"/>
        </w:rPr>
      </w:pPr>
      <w:r>
        <w:rPr>
          <w:rFonts w:ascii="Times New Roman" w:cs="Times New Roman" w:eastAsia="Times New Roman" w:hAnsi="Times New Roman"/>
          <w:sz w:val="20"/>
          <w:szCs w:val="20"/>
          <w:color w:val="auto"/>
        </w:rPr>
        <w:t>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7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9"/>
          <w:szCs w:val="19"/>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 Further, FDA’s “real-time” release of newly issued Complete Response Letters associated with withdrawn or abandoned applications, if applicable to any of our product candidates, can materially impact our business and competitive advantage.</w:t>
      </w:r>
    </w:p>
    <w:p>
      <w:pPr>
        <w:spacing w:after="0" w:line="68"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20"/>
          <w:szCs w:val="20"/>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Management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 -marketing requirements is not maintained or if problems occur after the product reaches the marketplace. The FDA may require one or more Phase 4 post-market trials and surveillance to further assess and monitor the product’s safety and effectiveness after commercialization and may limit further marketing of the product based on the results of these post-marketing studies.</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Expedited Development and Review Programs</w:t>
      </w:r>
    </w:p>
    <w:p>
      <w:pPr>
        <w:spacing w:after="0" w:line="118"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20"/>
          <w:szCs w:val="20"/>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2240" w:h="15840" w:orient="portrait"/>
          <w:cols w:equalWidth="0" w:num="1">
            <w:col w:w="10720"/>
          </w:cols>
          <w:pgMar w:left="760" w:top="978" w:right="760" w:bottom="223" w:gutter="0" w:footer="0" w:header="0"/>
          <w:type w:val="continuous"/>
        </w:sectPr>
      </w:pPr>
    </w:p>
    <w:bookmarkStart w:id="36" w:name="page37"/>
    <w:bookmarkEnd w:id="36"/>
    <w:p>
      <w:pPr>
        <w:ind w:right="120" w:firstLine="486"/>
        <w:spacing w:after="0" w:line="244" w:lineRule="auto"/>
        <w:rPr>
          <w:sz w:val="20"/>
          <w:szCs w:val="20"/>
          <w:color w:val="auto"/>
        </w:rPr>
      </w:pPr>
      <w:r>
        <w:rPr>
          <w:rFonts w:ascii="Times New Roman" w:cs="Times New Roman" w:eastAsia="Times New Roman" w:hAnsi="Times New Roman"/>
          <w:sz w:val="20"/>
          <w:szCs w:val="20"/>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81"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20"/>
          <w:szCs w:val="20"/>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81" w:lineRule="exact"/>
        <w:rPr>
          <w:sz w:val="20"/>
          <w:szCs w:val="20"/>
          <w:color w:val="auto"/>
        </w:rPr>
      </w:pPr>
    </w:p>
    <w:p>
      <w:pPr>
        <w:ind w:right="120" w:firstLine="486"/>
        <w:spacing w:after="0" w:line="241" w:lineRule="auto"/>
        <w:rPr>
          <w:sz w:val="20"/>
          <w:szCs w:val="20"/>
          <w:color w:val="auto"/>
        </w:rPr>
      </w:pPr>
      <w:r>
        <w:rPr>
          <w:rFonts w:ascii="Times New Roman" w:cs="Times New Roman" w:eastAsia="Times New Roman" w:hAnsi="Times New Roman"/>
          <w:sz w:val="20"/>
          <w:szCs w:val="20"/>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The Food and Drug Omnibus Reform Act made several changes to the FDA’s authorities and its regulatory framework, including, among other changes, reforms to the accelerated approval pathway, such as requiring the FDA to specify conditions for post-approval study requirements and setting forth procedures for the FDA to withdraw a product on an expedited basis for non-compliance with post-approval requirements.</w:t>
      </w:r>
    </w:p>
    <w:p>
      <w:pPr>
        <w:spacing w:after="0" w:line="89"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20"/>
          <w:szCs w:val="20"/>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Orphan Drug Designation</w:t>
      </w:r>
    </w:p>
    <w:p>
      <w:pPr>
        <w:spacing w:after="0" w:line="118" w:lineRule="exact"/>
        <w:rPr>
          <w:sz w:val="20"/>
          <w:szCs w:val="20"/>
          <w:color w:val="auto"/>
        </w:rPr>
      </w:pPr>
    </w:p>
    <w:p>
      <w:pPr>
        <w:ind w:right="20" w:firstLine="487"/>
        <w:spacing w:after="0" w:line="244" w:lineRule="auto"/>
        <w:rPr>
          <w:sz w:val="20"/>
          <w:szCs w:val="20"/>
          <w:color w:val="auto"/>
        </w:rPr>
      </w:pPr>
      <w:r>
        <w:rPr>
          <w:rFonts w:ascii="Times New Roman" w:cs="Times New Roman" w:eastAsia="Times New Roman" w:hAnsi="Times New Roman"/>
          <w:sz w:val="20"/>
          <w:szCs w:val="20"/>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82"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88" w:lineRule="exact"/>
        <w:rPr>
          <w:sz w:val="20"/>
          <w:szCs w:val="20"/>
          <w:color w:val="auto"/>
        </w:rPr>
      </w:pPr>
    </w:p>
    <w:p>
      <w:pPr>
        <w:ind w:right="180" w:firstLine="486"/>
        <w:spacing w:after="0" w:line="250" w:lineRule="auto"/>
        <w:rPr>
          <w:sz w:val="20"/>
          <w:szCs w:val="20"/>
          <w:color w:val="auto"/>
        </w:rPr>
      </w:pPr>
      <w:r>
        <w:rPr>
          <w:rFonts w:ascii="Times New Roman" w:cs="Times New Roman" w:eastAsia="Times New Roman" w:hAnsi="Times New Roman"/>
          <w:sz w:val="20"/>
          <w:szCs w:val="20"/>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2240" w:h="15840" w:orient="portrait"/>
          <w:cols w:equalWidth="0" w:num="1">
            <w:col w:w="10720"/>
          </w:cols>
          <w:pgMar w:left="760" w:top="978" w:right="760" w:bottom="223" w:gutter="0" w:footer="0" w:header="0"/>
          <w:type w:val="continuous"/>
        </w:sectPr>
      </w:pPr>
    </w:p>
    <w:bookmarkStart w:id="37" w:name="page38"/>
    <w:bookmarkEnd w:id="37"/>
    <w:p>
      <w:pPr>
        <w:ind w:right="100" w:firstLine="486"/>
        <w:spacing w:after="0" w:line="244" w:lineRule="auto"/>
        <w:rPr>
          <w:sz w:val="20"/>
          <w:szCs w:val="20"/>
          <w:color w:val="auto"/>
        </w:rPr>
      </w:pPr>
      <w:r>
        <w:rPr>
          <w:rFonts w:ascii="Times New Roman" w:cs="Times New Roman" w:eastAsia="Times New Roman" w:hAnsi="Times New Roman"/>
          <w:sz w:val="20"/>
          <w:szCs w:val="20"/>
          <w:color w:val="auto"/>
        </w:rPr>
        <w:t>In a 2021 court case, the court expanded the scope of orphan drug exclusivity by finding that orphan drug exclusivity applies to all uses or indications within an entire disease or condition. This position was in contrast to the FDA’s longstanding view which ties the scope of orphan drug exclusivity to the uses or indications for which a drug is approved, and thus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w:t>
      </w:r>
    </w:p>
    <w:p>
      <w:pPr>
        <w:spacing w:after="0" w:line="81" w:lineRule="exact"/>
        <w:rPr>
          <w:sz w:val="20"/>
          <w:szCs w:val="20"/>
          <w:color w:val="auto"/>
        </w:rPr>
      </w:pPr>
    </w:p>
    <w:p>
      <w:pPr>
        <w:jc w:val="both"/>
        <w:ind w:firstLine="486"/>
        <w:spacing w:after="0" w:line="245" w:lineRule="auto"/>
        <w:rPr>
          <w:sz w:val="20"/>
          <w:szCs w:val="20"/>
          <w:color w:val="auto"/>
        </w:rPr>
      </w:pPr>
      <w:r>
        <w:rPr>
          <w:rFonts w:ascii="Times New Roman" w:cs="Times New Roman" w:eastAsia="Times New Roman" w:hAnsi="Times New Roman"/>
          <w:sz w:val="20"/>
          <w:szCs w:val="20"/>
          <w:color w:val="auto"/>
        </w:rPr>
        <w:t xml:space="preserve">In June 2024, the U.S. Supreme Court overruled the </w:t>
      </w:r>
      <w:r>
        <w:rPr>
          <w:rFonts w:ascii="Times New Roman" w:cs="Times New Roman" w:eastAsia="Times New Roman" w:hAnsi="Times New Roman"/>
          <w:sz w:val="20"/>
          <w:szCs w:val="20"/>
          <w:i w:val="1"/>
          <w:iCs w:val="1"/>
          <w:color w:val="auto"/>
        </w:rPr>
        <w:t>Chevron</w:t>
      </w:r>
      <w:r>
        <w:rPr>
          <w:rFonts w:ascii="Times New Roman" w:cs="Times New Roman" w:eastAsia="Times New Roman" w:hAnsi="Times New Roman"/>
          <w:sz w:val="20"/>
          <w:szCs w:val="20"/>
          <w:color w:val="auto"/>
        </w:rPr>
        <w:t xml:space="preserve"> doctrine, which gives deference to regulatory agencies’ statutory interpretations in litigation against federal government agencies, such as the FDA, where the law is ambiguous. This landmark Supreme Court decision may invite various stakeholders to bring lawsuits against the FDA to challenge longstanding decisions and policies, such as market exclusivities, which could lead to uncertainties in the industry. Further, changes in the leadership of the FDA and other federal agencies under the current U.S. presidential administration may lead to new policies, changes in the regulations, or disruptions to the normal operations of federal agencies, any of which may impact our clinical development plans.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Post-Approval Requirements</w:t>
      </w:r>
    </w:p>
    <w:p>
      <w:pPr>
        <w:spacing w:after="0" w:line="118" w:lineRule="exact"/>
        <w:rPr>
          <w:sz w:val="20"/>
          <w:szCs w:val="20"/>
          <w:color w:val="auto"/>
        </w:rPr>
      </w:pPr>
    </w:p>
    <w:p>
      <w:pPr>
        <w:ind w:right="80" w:firstLine="486"/>
        <w:spacing w:after="0"/>
        <w:rPr>
          <w:sz w:val="20"/>
          <w:szCs w:val="20"/>
          <w:color w:val="auto"/>
        </w:rPr>
      </w:pPr>
      <w:r>
        <w:rPr>
          <w:rFonts w:ascii="Times New Roman" w:cs="Times New Roman" w:eastAsia="Times New Roman" w:hAnsi="Times New Roman"/>
          <w:sz w:val="20"/>
          <w:szCs w:val="20"/>
          <w:color w:val="auto"/>
        </w:rPr>
        <w:t>Any products manufactured or distributed by us pursuant to FDA approvals are subject to pervasive and continuing regulation by the FDA, including, among other things, requirements relating to facility registration, biopharmaceutical product listing, record - 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94"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20"/>
          <w:szCs w:val="20"/>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81" w:lineRule="exact"/>
        <w:rPr>
          <w:sz w:val="20"/>
          <w:szCs w:val="20"/>
          <w:color w:val="auto"/>
        </w:rPr>
      </w:pPr>
    </w:p>
    <w:p>
      <w:pPr>
        <w:ind w:left="980" w:right="500" w:hanging="496"/>
        <w:spacing w:after="0" w:line="261" w:lineRule="auto"/>
        <w:tabs>
          <w:tab w:leader="none" w:pos="98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Restrictions on the marketing or manufacturing of a product, complete withdrawal of the product from the market or product recalls.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Fines, warning letters or holds on post-approval clinical trials.</w:t>
      </w:r>
    </w:p>
    <w:p>
      <w:pPr>
        <w:spacing w:after="0" w:line="104" w:lineRule="exact"/>
        <w:rPr>
          <w:rFonts w:ascii="PMingLiU" w:cs="PMingLiU" w:eastAsia="PMingLiU" w:hAnsi="PMingLiU"/>
          <w:sz w:val="20"/>
          <w:szCs w:val="20"/>
          <w:color w:val="auto"/>
        </w:rPr>
      </w:pPr>
    </w:p>
    <w:p>
      <w:pPr>
        <w:ind w:left="980" w:right="40" w:hanging="496"/>
        <w:spacing w:after="0" w:line="261" w:lineRule="auto"/>
        <w:tabs>
          <w:tab w:leader="none" w:pos="98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Refusal of the FDA to approve pending applications or supplements to approved applications, or suspension or revocation of existing product approvals.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Product seizure or detention, or refusal of the FDA to permit the import or export of products.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Consent decrees, corporate integrity agreements, debarment or exclusion from federal healthcare programs.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Mandated modification of promotional materials and labeling and the issuance of corrective information.</w:t>
      </w:r>
    </w:p>
    <w:p>
      <w:pPr>
        <w:spacing w:after="0" w:line="104" w:lineRule="exact"/>
        <w:rPr>
          <w:rFonts w:ascii="PMingLiU" w:cs="PMingLiU" w:eastAsia="PMingLiU" w:hAnsi="PMingLiU"/>
          <w:sz w:val="20"/>
          <w:szCs w:val="20"/>
          <w:color w:val="auto"/>
        </w:rPr>
      </w:pPr>
    </w:p>
    <w:p>
      <w:pPr>
        <w:ind w:left="980" w:right="600" w:hanging="496"/>
        <w:spacing w:after="0" w:line="261" w:lineRule="auto"/>
        <w:tabs>
          <w:tab w:leader="none" w:pos="98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issuance of safety alerts, Dear Healthcare Provider letters, press releases and other communications containing warnings or other safety information about the product.</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04" w:lineRule="exact"/>
        <w:rPr>
          <w:sz w:val="20"/>
          <w:szCs w:val="20"/>
          <w:color w:val="auto"/>
        </w:rPr>
      </w:pPr>
    </w:p>
    <w:p>
      <w:pPr>
        <w:jc w:val="both"/>
        <w:ind w:right="220" w:firstLine="487"/>
        <w:spacing w:after="0" w:line="276" w:lineRule="auto"/>
        <w:rPr>
          <w:sz w:val="20"/>
          <w:szCs w:val="20"/>
          <w:color w:val="auto"/>
        </w:rPr>
      </w:pPr>
      <w:r>
        <w:rPr>
          <w:rFonts w:ascii="Times New Roman" w:cs="Times New Roman" w:eastAsia="Times New Roman" w:hAnsi="Times New Roman"/>
          <w:sz w:val="19"/>
          <w:szCs w:val="19"/>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2240" w:h="15840" w:orient="portrait"/>
          <w:cols w:equalWidth="0" w:num="1">
            <w:col w:w="10720"/>
          </w:cols>
          <w:pgMar w:left="760" w:top="978" w:right="760" w:bottom="223" w:gutter="0" w:footer="0" w:header="0"/>
          <w:type w:val="continuous"/>
        </w:sectPr>
      </w:pPr>
    </w:p>
    <w:bookmarkStart w:id="38" w:name="page39"/>
    <w:bookmarkEnd w:id="38"/>
    <w:p>
      <w:pPr>
        <w:ind w:right="60" w:firstLine="486"/>
        <w:spacing w:after="0" w:line="245" w:lineRule="auto"/>
        <w:rPr>
          <w:sz w:val="20"/>
          <w:szCs w:val="20"/>
          <w:color w:val="auto"/>
        </w:rPr>
      </w:pPr>
      <w:r>
        <w:rPr>
          <w:rFonts w:ascii="Times New Roman" w:cs="Times New Roman" w:eastAsia="Times New Roman" w:hAnsi="Times New Roman"/>
          <w:sz w:val="20"/>
          <w:szCs w:val="20"/>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Biosimilars and Reference Product Exclusivity</w:t>
      </w:r>
    </w:p>
    <w:p>
      <w:pPr>
        <w:spacing w:after="0" w:line="118" w:lineRule="exact"/>
        <w:rPr>
          <w:sz w:val="20"/>
          <w:szCs w:val="20"/>
          <w:color w:val="auto"/>
        </w:rPr>
      </w:pPr>
    </w:p>
    <w:p>
      <w:pPr>
        <w:ind w:right="280" w:firstLine="487"/>
        <w:spacing w:after="0" w:line="256" w:lineRule="auto"/>
        <w:rPr>
          <w:sz w:val="20"/>
          <w:szCs w:val="20"/>
          <w:color w:val="auto"/>
        </w:rPr>
      </w:pPr>
      <w:r>
        <w:rPr>
          <w:rFonts w:ascii="Times New Roman" w:cs="Times New Roman" w:eastAsia="Times New Roman" w:hAnsi="Times New Roman"/>
          <w:sz w:val="20"/>
          <w:szCs w:val="20"/>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69"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20"/>
          <w:szCs w:val="20"/>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81"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20"/>
          <w:szCs w:val="20"/>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85"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20"/>
          <w:szCs w:val="20"/>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Government Regulation Outside of the United States</w:t>
      </w:r>
    </w:p>
    <w:p>
      <w:pPr>
        <w:spacing w:after="0" w:line="118" w:lineRule="exact"/>
        <w:rPr>
          <w:sz w:val="20"/>
          <w:szCs w:val="20"/>
          <w:color w:val="auto"/>
        </w:rPr>
      </w:pPr>
    </w:p>
    <w:p>
      <w:pPr>
        <w:ind w:right="20" w:firstLine="487"/>
        <w:spacing w:after="0" w:line="245" w:lineRule="auto"/>
        <w:rPr>
          <w:sz w:val="20"/>
          <w:szCs w:val="20"/>
          <w:color w:val="auto"/>
        </w:rPr>
      </w:pPr>
      <w:r>
        <w:rPr>
          <w:rFonts w:ascii="Times New Roman" w:cs="Times New Roman" w:eastAsia="Times New Roman" w:hAnsi="Times New Roman"/>
          <w:sz w:val="20"/>
          <w:szCs w:val="20"/>
          <w:color w:val="auto"/>
        </w:rPr>
        <w:t>In addition to regulations in the United States, we are subject to a variety of regulations in other jurisdictions where we seek to commercialize any of our product candidates, including countries in Europe and Asia. Such foreign regulations govern, among other things, research and development, clinical trials, testing, manufacturing, safety, efficacy, labeling, packaging, storage, record keeping, distribution, reporting, advertising and other promotional practices involving biological products as well as authorization and approval of our product candidates. Because biologically sourced raw materials are subject to unique contamination risks, their use may be restricted in some countries.</w:t>
      </w:r>
    </w:p>
    <w:p>
      <w:pPr>
        <w:spacing w:after="0" w:line="81"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Whether or not we obtain FDA approval for a product candidate, we must obtain the requisite approvals from regulatory authorities in foreign countries prior to the commencement of a clinical trial or marketing of a product in those countries. Certain countries outside of the United States have a similar approval process that requires the submission of a clinical trial application, or CTA, much like the IND prior to the commencement of human clinical trials. In the European Union, for example, a CTA must be submitted for each clinical trial to each country’s national health authority and an independent ethics committee, much like the FDA and an IRB, respectively. Once the CTA is approved in accordance with a country’s requirements, the corresponding clinical trial may proceed. The requirements and process governing the conduct of clinical trials, product licensing, pricing and reimbursement vary from country to country. In all cases, the clinical trials must be conducted in accordance with GCP requirements, applicable regulatory requirements and the ethical principles that have their origin in the Declaration of Helsinki.</w:t>
      </w:r>
    </w:p>
    <w:p>
      <w:pPr>
        <w:sectPr>
          <w:pgSz w:w="12240" w:h="15840" w:orient="portrait"/>
          <w:cols w:equalWidth="0" w:num="1">
            <w:col w:w="10700"/>
          </w:cols>
          <w:pgMar w:left="760" w:top="978"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29</w:t>
      </w:r>
    </w:p>
    <w:p>
      <w:pPr>
        <w:sectPr>
          <w:pgSz w:w="12240" w:h="15840" w:orient="portrait"/>
          <w:cols w:equalWidth="0" w:num="1">
            <w:col w:w="10700"/>
          </w:cols>
          <w:pgMar w:left="760" w:top="978" w:right="780" w:bottom="223"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20"/>
          <w:szCs w:val="20"/>
          <w:b w:val="1"/>
          <w:bCs w:val="1"/>
          <w:i w:val="1"/>
          <w:iCs w:val="1"/>
          <w:color w:val="auto"/>
        </w:rPr>
        <w:t>European Union Drug Development</w:t>
      </w:r>
    </w:p>
    <w:p>
      <w:pPr>
        <w:spacing w:after="0" w:line="118"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Similar to the United States, the various phases of preclinical and clinical research in the European Union are subject to significant regulatory controls. Although the E.U. Clinical Trials Directive 2001/20/EC has sought to harmonize the E.U. clinical trials regulatory framework, setting out common rules for the control and authorization of clinical trials in the European Union,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(NCA) and one or more Ethics Committees (ECs) . Under the current regime, all suspected unexpected serious adverse reactions to the investigated drug that occur during the clinical trial have to be reported to the NCA and ECs of the Member State where they occurred. The Clinical Trials Regulation EU No 536/2014, which entered into force in January 2022 with a transition period and aims at harmonizing and streamlining clinical-trial authorization, simplifying adverse-event reporting procedures, improving the supervision of clinical trials and increasing their transparency. From January 31, 2025, or the end of the transition period, any trials approved under the Clinical Trials Directive that continue running will need to comply with the Clinical Trials Regulation, and their sponsors must enter information on the trials in the Clinical Trials Information System.</w:t>
      </w:r>
    </w:p>
    <w:p>
      <w:pPr>
        <w:spacing w:after="0" w:line="87" w:lineRule="exact"/>
        <w:rPr>
          <w:sz w:val="20"/>
          <w:szCs w:val="20"/>
          <w:color w:val="auto"/>
        </w:rPr>
      </w:pPr>
    </w:p>
    <w:p>
      <w:pPr>
        <w:ind w:right="700" w:firstLine="486"/>
        <w:spacing w:after="0" w:line="256" w:lineRule="auto"/>
        <w:rPr>
          <w:sz w:val="20"/>
          <w:szCs w:val="20"/>
          <w:color w:val="auto"/>
        </w:rPr>
      </w:pPr>
      <w:r>
        <w:rPr>
          <w:rFonts w:ascii="Times New Roman" w:cs="Times New Roman" w:eastAsia="Times New Roman" w:hAnsi="Times New Roman"/>
          <w:sz w:val="20"/>
          <w:szCs w:val="20"/>
          <w:color w:val="auto"/>
        </w:rPr>
        <w:t>In the European Economic Area (EEA), which is comprised of the 27 Member States of the European Union (excluding Croatia), Norway, Iceland and Liechtenstein, medicinal products can only be commercialized after obtaining a Marketing Authorization (MA). There are two types of Marketing Authorizations:</w:t>
      </w:r>
    </w:p>
    <w:p>
      <w:pPr>
        <w:spacing w:after="0" w:line="69" w:lineRule="exact"/>
        <w:rPr>
          <w:sz w:val="20"/>
          <w:szCs w:val="20"/>
          <w:color w:val="auto"/>
        </w:rPr>
      </w:pPr>
    </w:p>
    <w:p>
      <w:pPr>
        <w:ind w:left="960" w:right="20" w:hanging="477"/>
        <w:spacing w:after="0" w:line="241" w:lineRule="auto"/>
        <w:tabs>
          <w:tab w:leader="none" w:pos="96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Community MA is issued by the European Commission through the Centralized Procedure, based on the opinion of the Committee for Medicinal Products for Human Use (CHMP), of the European Medicines Agency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for products that are in the interest of public health in the European Union.</w:t>
      </w:r>
    </w:p>
    <w:p>
      <w:pPr>
        <w:spacing w:after="0" w:line="83" w:lineRule="exact"/>
        <w:rPr>
          <w:rFonts w:ascii="PMingLiU" w:cs="PMingLiU" w:eastAsia="PMingLiU" w:hAnsi="PMingLiU"/>
          <w:sz w:val="20"/>
          <w:szCs w:val="20"/>
          <w:color w:val="auto"/>
        </w:rPr>
      </w:pPr>
    </w:p>
    <w:p>
      <w:pPr>
        <w:ind w:left="980" w:right="40" w:hanging="496"/>
        <w:spacing w:after="0"/>
        <w:tabs>
          <w:tab w:leader="none" w:pos="980" w:val="left"/>
        </w:tabs>
        <w:numPr>
          <w:ilvl w:val="0"/>
          <w:numId w:val="2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National MAs, which are issued by the competent authorities of the Member States of the EEA and only cover their respective territory, are available for products not falling within the mandatory scope of the Centralized Procedure. Where a product has already been authorized for marketing in a Member State of the EEA, this National MA can be recognized in another Member States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(RMS). The competent authority of the RMS prepares a draft assessment report, a draft summary of the product characteristics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product is subsequently granted a national MA in all the Member States (i.e., in the RMS and the Member States Concerned).</w:t>
      </w:r>
    </w:p>
    <w:p>
      <w:pPr>
        <w:spacing w:after="0" w:line="86" w:lineRule="exact"/>
        <w:rPr>
          <w:sz w:val="20"/>
          <w:szCs w:val="20"/>
          <w:color w:val="auto"/>
        </w:rPr>
      </w:pPr>
    </w:p>
    <w:p>
      <w:pPr>
        <w:jc w:val="both"/>
        <w:ind w:right="160" w:firstLine="486"/>
        <w:spacing w:after="0" w:line="256" w:lineRule="auto"/>
        <w:rPr>
          <w:sz w:val="20"/>
          <w:szCs w:val="20"/>
          <w:color w:val="auto"/>
        </w:rPr>
      </w:pPr>
      <w:r>
        <w:rPr>
          <w:rFonts w:ascii="Times New Roman" w:cs="Times New Roman" w:eastAsia="Times New Roman" w:hAnsi="Times New Roman"/>
          <w:sz w:val="20"/>
          <w:szCs w:val="20"/>
          <w:color w:val="auto"/>
        </w:rPr>
        <w:t>Under the above described procedures, before granting the MA, the EMA or the competent authorities of the member states of the EEA make an assessment of the risk-benefit balance of the product on the basis of scientific criteria concerning its quality, safety and efficacy.</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ectPr>
          <w:pgSz w:w="12240" w:h="15840" w:orient="portrait"/>
          <w:cols w:equalWidth="0" w:num="1">
            <w:col w:w="10720"/>
          </w:cols>
          <w:pgMar w:left="760" w:top="978" w:right="760" w:bottom="223"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color w:val="auto"/>
        </w:rPr>
        <w:t>Other U.S Healthcare Laws and Compliance Requirements</w:t>
      </w:r>
    </w:p>
    <w:p>
      <w:pPr>
        <w:spacing w:after="0" w:line="122"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the U.S.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88" w:lineRule="exact"/>
        <w:rPr>
          <w:sz w:val="20"/>
          <w:szCs w:val="20"/>
          <w:color w:val="auto"/>
        </w:rPr>
      </w:pPr>
    </w:p>
    <w:p>
      <w:pPr>
        <w:ind w:left="980" w:right="40" w:hanging="496"/>
        <w:spacing w:after="0" w:line="241" w:lineRule="auto"/>
        <w:tabs>
          <w:tab w:leader="none" w:pos="98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or FCA. In addition, the intent standard under the federal Anti-Kickback Statute was amended by the ACA to eliminate the need to prove specific intent and actual knowledge to establish an Anti-Kickback Statute violation.</w:t>
      </w:r>
    </w:p>
    <w:p>
      <w:pPr>
        <w:spacing w:after="0" w:line="83" w:lineRule="exact"/>
        <w:rPr>
          <w:rFonts w:ascii="PMingLiU" w:cs="PMingLiU" w:eastAsia="PMingLiU" w:hAnsi="PMingLiU"/>
          <w:sz w:val="20"/>
          <w:szCs w:val="20"/>
          <w:color w:val="auto"/>
        </w:rPr>
      </w:pPr>
    </w:p>
    <w:p>
      <w:pPr>
        <w:ind w:left="980" w:right="480" w:hanging="496"/>
        <w:spacing w:after="0" w:line="245" w:lineRule="auto"/>
        <w:tabs>
          <w:tab w:leader="none" w:pos="98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80" w:lineRule="exact"/>
        <w:rPr>
          <w:rFonts w:ascii="PMingLiU" w:cs="PMingLiU" w:eastAsia="PMingLiU" w:hAnsi="PMingLiU"/>
          <w:sz w:val="20"/>
          <w:szCs w:val="20"/>
          <w:color w:val="auto"/>
        </w:rPr>
      </w:pPr>
    </w:p>
    <w:p>
      <w:pPr>
        <w:ind w:left="960" w:right="20" w:hanging="477"/>
        <w:spacing w:after="0" w:line="243" w:lineRule="auto"/>
        <w:tabs>
          <w:tab w:leader="none" w:pos="96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83" w:lineRule="exact"/>
        <w:rPr>
          <w:rFonts w:ascii="PMingLiU" w:cs="PMingLiU" w:eastAsia="PMingLiU" w:hAnsi="PMingLiU"/>
          <w:sz w:val="20"/>
          <w:szCs w:val="20"/>
          <w:color w:val="auto"/>
        </w:rPr>
      </w:pPr>
    </w:p>
    <w:p>
      <w:pPr>
        <w:ind w:left="980" w:hanging="496"/>
        <w:spacing w:after="0" w:line="241" w:lineRule="auto"/>
        <w:tabs>
          <w:tab w:leader="none" w:pos="98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and their respective business associates that perform services for them that involve the use, or disclosure of, individually identifiable health information as well as their covered subcontractors, with respect to safeguarding the privacy, security and transmission of individually identifiable health information.</w:t>
      </w:r>
    </w:p>
    <w:p>
      <w:pPr>
        <w:spacing w:after="0" w:line="85" w:lineRule="exact"/>
        <w:rPr>
          <w:rFonts w:ascii="PMingLiU" w:cs="PMingLiU" w:eastAsia="PMingLiU" w:hAnsi="PMingLiU"/>
          <w:sz w:val="20"/>
          <w:szCs w:val="20"/>
          <w:color w:val="auto"/>
        </w:rPr>
      </w:pPr>
    </w:p>
    <w:p>
      <w:pPr>
        <w:ind w:left="980" w:right="40" w:hanging="496"/>
        <w:spacing w:after="0" w:line="261" w:lineRule="auto"/>
        <w:tabs>
          <w:tab w:leader="none" w:pos="98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3"/>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The FDCA, which prohibits, among other things, the adulteration or misbranding of drugs, biologics and medical devices.</w:t>
      </w:r>
    </w:p>
    <w:p>
      <w:pPr>
        <w:spacing w:after="0" w:line="116" w:lineRule="exact"/>
        <w:rPr>
          <w:rFonts w:ascii="PMingLiU" w:cs="PMingLiU" w:eastAsia="PMingLiU" w:hAnsi="PMingLiU"/>
          <w:sz w:val="19"/>
          <w:szCs w:val="19"/>
          <w:color w:val="auto"/>
        </w:rPr>
      </w:pPr>
    </w:p>
    <w:p>
      <w:pPr>
        <w:ind w:left="960" w:right="200" w:hanging="477"/>
        <w:spacing w:after="0" w:line="242" w:lineRule="auto"/>
        <w:tabs>
          <w:tab w:leader="none" w:pos="96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in the previous year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81" w:lineRule="exact"/>
        <w:rPr>
          <w:rFonts w:ascii="PMingLiU" w:cs="PMingLiU" w:eastAsia="PMingLiU" w:hAnsi="PMingLiU"/>
          <w:sz w:val="20"/>
          <w:szCs w:val="20"/>
          <w:color w:val="auto"/>
        </w:rPr>
      </w:pPr>
    </w:p>
    <w:p>
      <w:pPr>
        <w:ind w:left="960" w:right="140" w:hanging="477"/>
        <w:spacing w:after="0" w:line="241" w:lineRule="auto"/>
        <w:tabs>
          <w:tab w:leader="none" w:pos="960" w:val="left"/>
        </w:tabs>
        <w:numPr>
          <w:ilvl w:val="0"/>
          <w:numId w:val="2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ectPr>
          <w:pgSz w:w="12240" w:h="15840" w:orient="portrait"/>
          <w:cols w:equalWidth="0" w:num="1">
            <w:col w:w="10720"/>
          </w:cols>
          <w:pgMar w:left="760" w:top="974" w:right="760" w:bottom="22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2240" w:h="15840" w:orient="portrait"/>
          <w:cols w:equalWidth="0" w:num="1">
            <w:col w:w="10720"/>
          </w:cols>
          <w:pgMar w:left="760" w:top="974" w:right="760" w:bottom="223" w:gutter="0" w:footer="0" w:header="0"/>
          <w:type w:val="continuous"/>
        </w:sectPr>
      </w:pPr>
    </w:p>
    <w:bookmarkStart w:id="41" w:name="page42"/>
    <w:bookmarkEnd w:id="41"/>
    <w:p>
      <w:pPr>
        <w:ind w:left="980" w:right="160" w:hanging="491"/>
        <w:spacing w:after="0" w:line="242" w:lineRule="auto"/>
        <w:tabs>
          <w:tab w:leader="none" w:pos="980" w:val="left"/>
        </w:tabs>
        <w:numPr>
          <w:ilvl w:val="0"/>
          <w:numId w:val="2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81" w:lineRule="exact"/>
        <w:rPr>
          <w:rFonts w:ascii="PMingLiU" w:cs="PMingLiU" w:eastAsia="PMingLiU" w:hAnsi="PMingLiU"/>
          <w:sz w:val="20"/>
          <w:szCs w:val="20"/>
          <w:color w:val="auto"/>
        </w:rPr>
      </w:pPr>
    </w:p>
    <w:p>
      <w:pPr>
        <w:ind w:left="980" w:right="40" w:hanging="491"/>
        <w:spacing w:after="0"/>
        <w:tabs>
          <w:tab w:leader="none" w:pos="980" w:val="left"/>
        </w:tabs>
        <w:numPr>
          <w:ilvl w:val="0"/>
          <w:numId w:val="2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89"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Coverage and Reimbursement</w:t>
      </w:r>
    </w:p>
    <w:p>
      <w:pPr>
        <w:spacing w:after="0" w:line="122"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 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89"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20"/>
          <w:szCs w:val="20"/>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ectPr>
          <w:pgSz w:w="12240" w:h="15840" w:orient="portrait"/>
          <w:cols w:equalWidth="0" w:num="1">
            <w:col w:w="10720"/>
          </w:cols>
          <w:pgMar w:left="760" w:top="978" w:right="760" w:bottom="223" w:gutter="0" w:footer="0" w:header="0"/>
          <w:type w:val="continuous"/>
        </w:sectPr>
      </w:pPr>
    </w:p>
    <w:bookmarkStart w:id="42" w:name="page43"/>
    <w:bookmarkEnd w:id="42"/>
    <w:p>
      <w:pPr>
        <w:ind w:right="120" w:firstLine="486"/>
        <w:spacing w:after="0" w:line="242" w:lineRule="auto"/>
        <w:rPr>
          <w:sz w:val="20"/>
          <w:szCs w:val="20"/>
          <w:color w:val="auto"/>
        </w:rPr>
      </w:pPr>
      <w:r>
        <w:rPr>
          <w:rFonts w:ascii="Times New Roman" w:cs="Times New Roman" w:eastAsia="Times New Roman" w:hAnsi="Times New Roman"/>
          <w:sz w:val="20"/>
          <w:szCs w:val="20"/>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Healthcare Laws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Healthcare Reform</w:t>
      </w:r>
    </w:p>
    <w:p>
      <w:pPr>
        <w:spacing w:after="0" w:line="118"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20"/>
          <w:szCs w:val="20"/>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81"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20"/>
          <w:szCs w:val="20"/>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88"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There have been legislative and judicial efforts to repeal, replace, or change some or all of the ACA, including measures taken during the Trump administration. In June 2021 the U.S. Supreme Court held that Texas and other challengers had no legal standing to challenge the ACA, dismissing the case on procedural grounds without specifically ruling on the constitutionality of the ACA. Thus, the ACA will remain in effect in its current form. It is possible that the ACA will be subject to judicial or Congressional challenges in the future. It is unclear how any such challenges and healthcare measures promulgated by the Trump administration will impact the ACA, our business, financial condition and results of operations.</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9"/>
          <w:szCs w:val="19"/>
          <w:color w:val="auto"/>
        </w:rPr>
        <w:t>Other legislative changes have been proposed and adopted since the ACA was enacted. These changes include aggregate reductions to Medicare payments to providers of up to 2% per fiscal year, effective April 1, 2013, which will stay in effect through 2032, unless additional congressional action is taken.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to review the relationship between pricing and manufacturer patient programs, and to reform government program reimbursement methodologies for pharmaceutical products. For example, under the American Rescue Plan Act of 2021, Medicaid statutory rebates are no longer capped at 100% of the average manufacturer price. Elimination of this cap may require pharmaceutical manufacturers to pay more in rebates than it receives on the sale of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the first year in which negotiated prices become effective, CMS selected 10 high-cost Medicare Part D drugs in 2023, negotiations began in 2024, and the negotiated maximum fair price for each drug has been announced. CMS has selected 15 additional</w:t>
      </w:r>
    </w:p>
    <w:p>
      <w:pPr>
        <w:sectPr>
          <w:pgSz w:w="12240" w:h="15840" w:orient="portrait"/>
          <w:cols w:equalWidth="0" w:num="1">
            <w:col w:w="10700"/>
          </w:cols>
          <w:pgMar w:left="760" w:top="978" w:right="780" w:bottom="223"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2240" w:h="15840" w:orient="portrait"/>
          <w:cols w:equalWidth="0" w:num="1">
            <w:col w:w="10700"/>
          </w:cols>
          <w:pgMar w:left="760" w:top="978" w:right="780" w:bottom="223" w:gutter="0" w:footer="0" w:header="0"/>
          <w:type w:val="continuous"/>
        </w:sectPr>
      </w:pPr>
    </w:p>
    <w:bookmarkStart w:id="43" w:name="page44"/>
    <w:bookmarkEnd w:id="43"/>
    <w:p>
      <w:pPr>
        <w:spacing w:after="0" w:line="253" w:lineRule="auto"/>
        <w:rPr>
          <w:sz w:val="20"/>
          <w:szCs w:val="20"/>
          <w:color w:val="auto"/>
        </w:rPr>
      </w:pPr>
      <w:r>
        <w:rPr>
          <w:rFonts w:ascii="Times New Roman" w:cs="Times New Roman" w:eastAsia="Times New Roman" w:hAnsi="Times New Roman"/>
          <w:sz w:val="19"/>
          <w:szCs w:val="19"/>
          <w:color w:val="auto"/>
        </w:rPr>
        <w:t>Medicare Part D drugs for negotiated maximum fair pricing in 2027. For 2028, up to an additional 15 drugs, which may be covered under either Medicare Part B or Part D, will be selected, and for 2029 and subsequent years, up to 20 additional Part B or Part D drugs will be selected. The impact of these legislative, executive, and administrative actions and any future healthcare measures and agency rules implemented by the current U.S. presidential administration on us and the pharmaceutical industry as a whole is unclear. Various industry stakeholders have initiated lawsuits against the federal government asserting that the price negotiation provisions of the Inflation Reduction Act are unconstitutional. The impact of these judicial challenges and future regulations, healthcare measures and agency rules by the government on us and the pharmaceutical industry as a whole is currently unknown. The implementation of cost containment measures or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FDA has authorized the state of Florida to develop a drug importation program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Employees and Human Capital Resources</w:t>
      </w:r>
    </w:p>
    <w:p>
      <w:pPr>
        <w:spacing w:after="0" w:line="122" w:lineRule="exact"/>
        <w:rPr>
          <w:sz w:val="20"/>
          <w:szCs w:val="20"/>
          <w:color w:val="auto"/>
        </w:rPr>
      </w:pPr>
    </w:p>
    <w:p>
      <w:pPr>
        <w:ind w:right="20" w:firstLine="487"/>
        <w:spacing w:after="0" w:line="245" w:lineRule="auto"/>
        <w:rPr>
          <w:sz w:val="20"/>
          <w:szCs w:val="20"/>
          <w:color w:val="auto"/>
        </w:rPr>
      </w:pPr>
      <w:r>
        <w:rPr>
          <w:rFonts w:ascii="Times New Roman" w:cs="Times New Roman" w:eastAsia="Times New Roman" w:hAnsi="Times New Roman"/>
          <w:sz w:val="20"/>
          <w:szCs w:val="20"/>
          <w:color w:val="auto"/>
        </w:rPr>
        <w:t>As of December 31, 2025, we had 43 employees, 11 of whom hold Ph.D. or M.D. degrees and 29 of whom were engaged in research and development activities. None of our employees are represented by a labor union and we believe we maintain good relations with our employees. We rely on skilled, innovative, and passionate employees to conduct our research, development and business activities. Our employees are united by our goal of developing therapies that help patients fight cancer. Developing a diverse, equitable and inclusive culture is essential to our success and we are committed to building a workplace where all individuals feel welcomed and valued.</w:t>
      </w:r>
    </w:p>
    <w:p>
      <w:pPr>
        <w:spacing w:after="0" w:line="81" w:lineRule="exact"/>
        <w:rPr>
          <w:sz w:val="20"/>
          <w:szCs w:val="20"/>
          <w:color w:val="auto"/>
        </w:rPr>
      </w:pPr>
    </w:p>
    <w:p>
      <w:pPr>
        <w:ind w:right="60" w:firstLine="486"/>
        <w:spacing w:after="0" w:line="244" w:lineRule="auto"/>
        <w:rPr>
          <w:sz w:val="20"/>
          <w:szCs w:val="20"/>
          <w:color w:val="auto"/>
        </w:rPr>
      </w:pPr>
      <w:r>
        <w:rPr>
          <w:rFonts w:ascii="Times New Roman" w:cs="Times New Roman" w:eastAsia="Times New Roman" w:hAnsi="Times New Roman"/>
          <w:sz w:val="20"/>
          <w:szCs w:val="20"/>
          <w:color w:val="auto"/>
        </w:rPr>
        <w:t>The biopharmaceutical industry is highly competitive and recruiting and retaining employees is critical to the continued success of our business. 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We also offer a collaborative work environment, flexible or remote work arrangements, ongoing professional development opportunities, career advancement opportunities, and a culture that values diversity and inclusion.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22" w:lineRule="exact"/>
        <w:rPr>
          <w:sz w:val="20"/>
          <w:szCs w:val="20"/>
          <w:color w:val="auto"/>
        </w:rPr>
      </w:pPr>
    </w:p>
    <w:p>
      <w:pPr>
        <w:ind w:right="80" w:firstLine="487"/>
        <w:spacing w:after="0" w:line="247" w:lineRule="auto"/>
        <w:rPr>
          <w:sz w:val="20"/>
          <w:szCs w:val="20"/>
          <w:color w:val="auto"/>
        </w:rPr>
      </w:pPr>
      <w:r>
        <w:rPr>
          <w:rFonts w:ascii="Times New Roman" w:cs="Times New Roman" w:eastAsia="Times New Roman" w:hAnsi="Times New Roman"/>
          <w:sz w:val="20"/>
          <w:szCs w:val="20"/>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We present the information included in this Annual Report on Form 10-K as that of ALX Oncology Holdings Inc. unless such information refers to a date prior to April 1, 2020, in which case it reflects that of our predecessor company.</w:t>
      </w:r>
    </w:p>
    <w:p>
      <w:pPr>
        <w:spacing w:after="0" w:line="78" w:lineRule="exact"/>
        <w:rPr>
          <w:sz w:val="20"/>
          <w:szCs w:val="20"/>
          <w:color w:val="auto"/>
        </w:rPr>
      </w:pPr>
    </w:p>
    <w:p>
      <w:pPr>
        <w:ind w:right="460" w:firstLine="486"/>
        <w:spacing w:after="0" w:line="274" w:lineRule="auto"/>
        <w:rPr>
          <w:sz w:val="20"/>
          <w:szCs w:val="20"/>
          <w:color w:val="auto"/>
        </w:rPr>
      </w:pPr>
      <w:r>
        <w:rPr>
          <w:rFonts w:ascii="Times New Roman" w:cs="Times New Roman" w:eastAsia="Times New Roman" w:hAnsi="Times New Roman"/>
          <w:sz w:val="20"/>
          <w:szCs w:val="20"/>
          <w:color w:val="auto"/>
        </w:rPr>
        <w:t>Our principal executive offices are located at 323 Allerton Avenue, South San Francisco, California, 94080. Our telephone number is 650-466-7125. Our website address is alxoncology.com.</w:t>
      </w:r>
    </w:p>
    <w:p>
      <w:pPr>
        <w:spacing w:after="0" w:line="51" w:lineRule="exact"/>
        <w:rPr>
          <w:sz w:val="20"/>
          <w:szCs w:val="20"/>
          <w:color w:val="auto"/>
        </w:rPr>
      </w:pPr>
    </w:p>
    <w:p>
      <w:pPr>
        <w:ind w:right="100" w:firstLine="486"/>
        <w:spacing w:after="0" w:line="244" w:lineRule="auto"/>
        <w:rPr>
          <w:sz w:val="20"/>
          <w:szCs w:val="20"/>
          <w:color w:val="auto"/>
        </w:rPr>
      </w:pPr>
      <w:r>
        <w:rPr>
          <w:rFonts w:ascii="Times New Roman" w:cs="Times New Roman" w:eastAsia="Times New Roman" w:hAnsi="Times New Roman"/>
          <w:sz w:val="20"/>
          <w:szCs w:val="20"/>
          <w:color w:val="auto"/>
        </w:rPr>
        <w:t>We use ALX Oncology and other marks as trademarks in the United States and other countries. This Annual Report on Form 10-K contains references to our trademarks and service marks and to those belonging to other entities. Solely for convenience, trademarks and trade names referred to in this Annual Report on Form 10-K,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ectPr>
          <w:pgSz w:w="12240" w:h="15840" w:orient="portrait"/>
          <w:cols w:equalWidth="0" w:num="1">
            <w:col w:w="10700"/>
          </w:cols>
          <w:pgMar w:left="760" w:top="978"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2240" w:h="15840" w:orient="portrait"/>
          <w:cols w:equalWidth="0" w:num="1">
            <w:col w:w="10700"/>
          </w:cols>
          <w:pgMar w:left="760" w:top="978" w:right="780" w:bottom="223"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37" w:lineRule="exact"/>
        <w:rPr>
          <w:sz w:val="20"/>
          <w:szCs w:val="20"/>
          <w:color w:val="auto"/>
        </w:rPr>
      </w:pPr>
    </w:p>
    <w:p>
      <w:pPr>
        <w:ind w:firstLine="487"/>
        <w:spacing w:after="0" w:line="246" w:lineRule="auto"/>
        <w:rPr>
          <w:sz w:val="20"/>
          <w:szCs w:val="20"/>
          <w:color w:val="auto"/>
        </w:rPr>
      </w:pPr>
      <w:r>
        <w:rPr>
          <w:rFonts w:ascii="Times New Roman" w:cs="Times New Roman" w:eastAsia="Times New Roman" w:hAnsi="Times New Roman"/>
          <w:sz w:val="20"/>
          <w:szCs w:val="20"/>
          <w:color w:val="auto"/>
        </w:rPr>
        <w:t>Our Annual Reports on Form 10</w:t>
      </w:r>
      <w:r>
        <w:rPr>
          <w:rFonts w:ascii="Arial" w:cs="Arial" w:eastAsia="Arial" w:hAnsi="Arial"/>
          <w:sz w:val="20"/>
          <w:szCs w:val="20"/>
          <w:color w:val="auto"/>
        </w:rPr>
        <w:t>̻</w:t>
      </w:r>
      <w:r>
        <w:rPr>
          <w:rFonts w:ascii="Times New Roman" w:cs="Times New Roman" w:eastAsia="Times New Roman" w:hAnsi="Times New Roman"/>
          <w:sz w:val="20"/>
          <w:szCs w:val="20"/>
          <w:color w:val="auto"/>
        </w:rPr>
        <w:t>K, Quarterly Reports on Form 10</w:t>
      </w:r>
      <w:r>
        <w:rPr>
          <w:rFonts w:ascii="Arial" w:cs="Arial" w:eastAsia="Arial" w:hAnsi="Arial"/>
          <w:sz w:val="20"/>
          <w:szCs w:val="20"/>
          <w:color w:val="auto"/>
        </w:rPr>
        <w:t>̻</w:t>
      </w:r>
      <w:r>
        <w:rPr>
          <w:rFonts w:ascii="Times New Roman" w:cs="Times New Roman" w:eastAsia="Times New Roman" w:hAnsi="Times New Roman"/>
          <w:sz w:val="20"/>
          <w:szCs w:val="20"/>
          <w:color w:val="auto"/>
        </w:rPr>
        <w:t>Q, Current Reports on Form 8</w:t>
      </w:r>
      <w:r>
        <w:rPr>
          <w:rFonts w:ascii="Arial" w:cs="Arial" w:eastAsia="Arial" w:hAnsi="Arial"/>
          <w:sz w:val="20"/>
          <w:szCs w:val="20"/>
          <w:color w:val="auto"/>
        </w:rPr>
        <w:t>̻</w:t>
      </w:r>
      <w:r>
        <w:rPr>
          <w:rFonts w:ascii="Times New Roman" w:cs="Times New Roman" w:eastAsia="Times New Roman" w:hAnsi="Times New Roman"/>
          <w:sz w:val="20"/>
          <w:szCs w:val="20"/>
          <w:color w:val="auto"/>
        </w:rPr>
        <w:t>K, proxy and information statements and amendments to reports filed pursuant to Sections 13(a), and 15(d) of the Securities Exchange Act of 1934, as amended (the Exchange Act) are filed with the U.S. Securities and Exchange Commission (SEC). We are subject to the informational requirements of the Exchange Act and file or furnish reports, proxy statements and other information with the SEC. The SEC maintains an Internet site that contains reports, proxy and information statements and other information regarding issuers that file electronically with the SEC at www.sec.gov. Such documents and other information filed by us with the SEC are available free of charge on the Investor section of our website (ir.alxoncology.com) when such reports are available on the SEC’s website.</w:t>
      </w:r>
    </w:p>
    <w:p>
      <w:pPr>
        <w:spacing w:after="0" w:line="82"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20"/>
          <w:szCs w:val="20"/>
          <w:color w:val="auto"/>
        </w:rPr>
        <w:t>Investors and others should note that we may announce material information to the public through filings with the SEC, our website (alxoncology.com),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ectPr>
          <w:pgSz w:w="12240" w:h="15840" w:orient="portrait"/>
          <w:cols w:equalWidth="0" w:num="1">
            <w:col w:w="10640"/>
          </w:cols>
          <w:pgMar w:left="760" w:top="974" w:right="84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35</w:t>
      </w:r>
    </w:p>
    <w:p>
      <w:pPr>
        <w:sectPr>
          <w:pgSz w:w="12240" w:h="15840" w:orient="portrait"/>
          <w:cols w:equalWidth="0" w:num="1">
            <w:col w:w="10640"/>
          </w:cols>
          <w:pgMar w:left="760" w:top="974" w:right="840" w:bottom="223"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RISK FACTORS</w:t>
      </w:r>
    </w:p>
    <w:p>
      <w:pPr>
        <w:spacing w:after="0" w:line="243"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i w:val="1"/>
          <w:iCs w:val="1"/>
          <w:color w:val="auto"/>
        </w:rPr>
        <w:t>Investing in our common stock involves a high degree of risk. You should carefully consider the risks described below, together with the other information contained elsewhere in this Annual Report on Form 10-K, including our consolidated financial statements and the related notes, Part II, Item 7.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Factors Summary</w:t>
      </w:r>
    </w:p>
    <w:p>
      <w:pPr>
        <w:spacing w:after="0" w:line="122"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Investing in our common stock involves a high degree of risk because our business is subject to numerous risks and uncertainties, as fully described below. These risks include, but are not limited to, the following:</w:t>
      </w:r>
    </w:p>
    <w:p>
      <w:pPr>
        <w:spacing w:after="0" w:line="51" w:lineRule="exact"/>
        <w:rPr>
          <w:sz w:val="20"/>
          <w:szCs w:val="20"/>
          <w:color w:val="auto"/>
        </w:rPr>
      </w:pPr>
    </w:p>
    <w:p>
      <w:pPr>
        <w:ind w:left="980" w:right="220" w:hanging="496"/>
        <w:spacing w:after="0" w:line="261"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have incurred significant net losses since our inception, and we expect to continue to incur significant net losses for the foreseeable future;</w:t>
      </w:r>
    </w:p>
    <w:p>
      <w:pPr>
        <w:spacing w:after="0" w:line="61" w:lineRule="exact"/>
        <w:rPr>
          <w:rFonts w:ascii="PMingLiU" w:cs="PMingLiU" w:eastAsia="PMingLiU" w:hAnsi="PMingLiU"/>
          <w:sz w:val="20"/>
          <w:szCs w:val="20"/>
          <w:color w:val="auto"/>
        </w:rPr>
      </w:pPr>
    </w:p>
    <w:p>
      <w:pPr>
        <w:ind w:left="980" w:right="480" w:hanging="496"/>
        <w:spacing w:after="0" w:line="261"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will require substantial additional capital to finance our operations, such capital may not be available to us when needed or may only be available on terms that are unfavorable to us;</w:t>
      </w:r>
    </w:p>
    <w:p>
      <w:pPr>
        <w:spacing w:after="0" w:line="61" w:lineRule="exact"/>
        <w:rPr>
          <w:rFonts w:ascii="PMingLiU" w:cs="PMingLiU" w:eastAsia="PMingLiU" w:hAnsi="PMingLiU"/>
          <w:sz w:val="20"/>
          <w:szCs w:val="20"/>
          <w:color w:val="auto"/>
        </w:rPr>
      </w:pPr>
    </w:p>
    <w:p>
      <w:pPr>
        <w:ind w:left="980" w:right="60" w:hanging="496"/>
        <w:spacing w:after="0" w:line="261"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have a limited operating history, have no products approved for commercial sale, and have not generated any revenue from product sales, licenses or collaborations;</w:t>
      </w:r>
    </w:p>
    <w:p>
      <w:pPr>
        <w:spacing w:after="0" w:line="61" w:lineRule="exact"/>
        <w:rPr>
          <w:rFonts w:ascii="PMingLiU" w:cs="PMingLiU" w:eastAsia="PMingLiU" w:hAnsi="PMingLiU"/>
          <w:sz w:val="20"/>
          <w:szCs w:val="20"/>
          <w:color w:val="auto"/>
        </w:rPr>
      </w:pPr>
    </w:p>
    <w:p>
      <w:pPr>
        <w:ind w:left="980" w:right="100" w:hanging="496"/>
        <w:spacing w:after="0" w:line="261"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are substantially dependent on the success of our lead product candidate, evorpacept, also known as ALX 148, which is in clinical development and which has not completed a pivotal trial;</w:t>
      </w:r>
    </w:p>
    <w:p>
      <w:pPr>
        <w:spacing w:after="0" w:line="61" w:lineRule="exact"/>
        <w:rPr>
          <w:rFonts w:ascii="PMingLiU" w:cs="PMingLiU" w:eastAsia="PMingLiU" w:hAnsi="PMingLiU"/>
          <w:sz w:val="20"/>
          <w:szCs w:val="20"/>
          <w:color w:val="auto"/>
        </w:rPr>
      </w:pPr>
    </w:p>
    <w:p>
      <w:pPr>
        <w:ind w:left="980" w:right="120" w:hanging="496"/>
        <w:spacing w:after="0" w:line="249"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outcome of preclinical testing and early clinical trials may not be predictive of the success of later clinical trials, and the results of our clinical trials may not satisfy the requirements of the U.S. Food and Drug Administration, or FDA, or other comparable foreign regulatory authorities;</w:t>
      </w:r>
    </w:p>
    <w:p>
      <w:pPr>
        <w:spacing w:after="0" w:line="74" w:lineRule="exact"/>
        <w:rPr>
          <w:rFonts w:ascii="PMingLiU" w:cs="PMingLiU" w:eastAsia="PMingLiU" w:hAnsi="PMingLiU"/>
          <w:sz w:val="20"/>
          <w:szCs w:val="20"/>
          <w:color w:val="auto"/>
        </w:rPr>
      </w:pPr>
    </w:p>
    <w:p>
      <w:pPr>
        <w:ind w:left="980" w:hanging="496"/>
        <w:spacing w:after="0" w:line="249"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74" w:lineRule="exact"/>
        <w:rPr>
          <w:rFonts w:ascii="PMingLiU" w:cs="PMingLiU" w:eastAsia="PMingLiU" w:hAnsi="PMingLiU"/>
          <w:sz w:val="20"/>
          <w:szCs w:val="20"/>
          <w:color w:val="auto"/>
        </w:rPr>
      </w:pPr>
    </w:p>
    <w:p>
      <w:pPr>
        <w:ind w:left="980" w:right="520" w:hanging="496"/>
        <w:spacing w:after="0" w:line="261"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product candidates may cause significant adverse events or other undesirable side effects when used alone or in combination with other treatments;</w:t>
      </w:r>
    </w:p>
    <w:p>
      <w:pPr>
        <w:spacing w:after="0" w:line="61" w:lineRule="exact"/>
        <w:rPr>
          <w:rFonts w:ascii="PMingLiU" w:cs="PMingLiU" w:eastAsia="PMingLiU" w:hAnsi="PMingLiU"/>
          <w:sz w:val="20"/>
          <w:szCs w:val="20"/>
          <w:color w:val="auto"/>
        </w:rPr>
      </w:pPr>
    </w:p>
    <w:p>
      <w:pPr>
        <w:ind w:left="960" w:right="20" w:hanging="477"/>
        <w:spacing w:after="0" w:line="261" w:lineRule="auto"/>
        <w:tabs>
          <w:tab w:leader="none" w:pos="96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regulatory approval processes of the FDA and comparable foreign regulatory authorities are lengthy, time-consuming and inherently unpredictable, which could lead to our inability to generate product revenue;</w:t>
      </w:r>
    </w:p>
    <w:p>
      <w:pPr>
        <w:spacing w:after="0" w:line="61" w:lineRule="exact"/>
        <w:rPr>
          <w:rFonts w:ascii="PMingLiU" w:cs="PMingLiU" w:eastAsia="PMingLiU" w:hAnsi="PMingLiU"/>
          <w:sz w:val="20"/>
          <w:szCs w:val="20"/>
          <w:color w:val="auto"/>
        </w:rPr>
      </w:pPr>
    </w:p>
    <w:p>
      <w:pPr>
        <w:ind w:left="980" w:right="820" w:hanging="496"/>
        <w:spacing w:after="0" w:line="261"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we are unable to obtain, maintain and enforce patent protection and other intellectual property for our product candidates and related technology, our business could be materially harmed;</w:t>
      </w:r>
    </w:p>
    <w:p>
      <w:pPr>
        <w:spacing w:after="0" w:line="61" w:lineRule="exact"/>
        <w:rPr>
          <w:rFonts w:ascii="PMingLiU" w:cs="PMingLiU" w:eastAsia="PMingLiU" w:hAnsi="PMingLiU"/>
          <w:sz w:val="20"/>
          <w:szCs w:val="20"/>
          <w:color w:val="auto"/>
        </w:rPr>
      </w:pPr>
    </w:p>
    <w:p>
      <w:pPr>
        <w:ind w:left="960" w:right="60" w:hanging="477"/>
        <w:spacing w:after="0" w:line="261" w:lineRule="auto"/>
        <w:tabs>
          <w:tab w:leader="none" w:pos="96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are highly dependent on our key personnel, and if we are not successful in attracting, motivating, and retaining highly qualified personnel, we may not be able to successfully implement our business strategy;</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rely on third-party manufacturers for clinical supplies of our product candidates;</w:t>
      </w:r>
    </w:p>
    <w:p>
      <w:pPr>
        <w:spacing w:after="0" w:line="104" w:lineRule="exact"/>
        <w:rPr>
          <w:rFonts w:ascii="PMingLiU" w:cs="PMingLiU" w:eastAsia="PMingLiU" w:hAnsi="PMingLiU"/>
          <w:sz w:val="20"/>
          <w:szCs w:val="20"/>
          <w:color w:val="auto"/>
        </w:rPr>
      </w:pPr>
    </w:p>
    <w:p>
      <w:pPr>
        <w:ind w:left="960" w:right="580" w:hanging="477"/>
        <w:spacing w:after="0" w:line="261" w:lineRule="auto"/>
        <w:tabs>
          <w:tab w:leader="none" w:pos="96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levels of our debt and compliance with the terms of our loan agreement could restrict our ability to operate our business;</w:t>
      </w:r>
    </w:p>
    <w:p>
      <w:pPr>
        <w:spacing w:after="0" w:line="61" w:lineRule="exact"/>
        <w:rPr>
          <w:rFonts w:ascii="PMingLiU" w:cs="PMingLiU" w:eastAsia="PMingLiU" w:hAnsi="PMingLiU"/>
          <w:sz w:val="20"/>
          <w:szCs w:val="20"/>
          <w:color w:val="auto"/>
        </w:rPr>
      </w:pPr>
    </w:p>
    <w:p>
      <w:pPr>
        <w:ind w:left="980" w:right="380" w:hanging="496"/>
        <w:spacing w:after="0" w:line="243"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could adversely impact our business including our ongoing and planned clinical trials and preclinical research;</w:t>
      </w:r>
    </w:p>
    <w:p>
      <w:pPr>
        <w:spacing w:after="0" w:line="83" w:lineRule="exact"/>
        <w:rPr>
          <w:rFonts w:ascii="PMingLiU" w:cs="PMingLiU" w:eastAsia="PMingLiU" w:hAnsi="PMingLiU"/>
          <w:sz w:val="20"/>
          <w:szCs w:val="20"/>
          <w:color w:val="auto"/>
        </w:rPr>
      </w:pPr>
    </w:p>
    <w:p>
      <w:pPr>
        <w:ind w:left="980" w:hanging="496"/>
        <w:spacing w:after="0"/>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price of our stock may be volatile, and you could lose all or part of your investment; and</w:t>
      </w:r>
    </w:p>
    <w:p>
      <w:pPr>
        <w:spacing w:after="0" w:line="104" w:lineRule="exact"/>
        <w:rPr>
          <w:rFonts w:ascii="PMingLiU" w:cs="PMingLiU" w:eastAsia="PMingLiU" w:hAnsi="PMingLiU"/>
          <w:sz w:val="20"/>
          <w:szCs w:val="20"/>
          <w:color w:val="auto"/>
        </w:rPr>
      </w:pPr>
    </w:p>
    <w:p>
      <w:pPr>
        <w:ind w:left="980" w:right="100" w:hanging="496"/>
        <w:spacing w:after="0" w:line="261" w:lineRule="auto"/>
        <w:tabs>
          <w:tab w:leader="none" w:pos="980" w:val="left"/>
        </w:tabs>
        <w:numPr>
          <w:ilvl w:val="0"/>
          <w:numId w:val="2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If we are unable to implement and maintain effective internal control over financial reporting in the future, investors may lose confidence in our financial reports.</w:t>
      </w:r>
    </w:p>
    <w:p>
      <w:pPr>
        <w:sectPr>
          <w:pgSz w:w="12240" w:h="15840" w:orient="portrait"/>
          <w:cols w:equalWidth="0" w:num="1">
            <w:col w:w="10700"/>
          </w:cols>
          <w:pgMar w:left="760" w:top="974" w:right="780" w:bottom="223"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36</w:t>
      </w:r>
    </w:p>
    <w:p>
      <w:pPr>
        <w:sectPr>
          <w:pgSz w:w="12240" w:h="15840" w:orient="portrait"/>
          <w:cols w:equalWidth="0" w:num="1">
            <w:col w:w="10700"/>
          </w:cols>
          <w:pgMar w:left="760" w:top="974" w:right="780" w:bottom="223"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Additional Capital</w:t>
      </w:r>
    </w:p>
    <w:p>
      <w:pPr>
        <w:spacing w:after="0" w:line="122" w:lineRule="exact"/>
        <w:rPr>
          <w:sz w:val="20"/>
          <w:szCs w:val="20"/>
          <w:color w:val="auto"/>
        </w:rPr>
      </w:pPr>
    </w:p>
    <w:p>
      <w:pPr>
        <w:ind w:right="6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net losses since our inception, and we expect to continue to incur significant net losses for the foreseeable future.</w:t>
      </w:r>
    </w:p>
    <w:p>
      <w:pPr>
        <w:spacing w:after="0" w:line="51"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$101.7 million, $134.9 million and $160.8 million for the years ended December 31, 2025, 2024 and 2023, respectively. As of December 31, 2025, we had an accumulated deficit of $722.8 million. We have devoted substantially all of our resources and efforts to research and development. Our product candidates, evorpacept and ALX2004, are in early-stage clinical trials.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88"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20"/>
          <w:szCs w:val="20"/>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81"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9" w:lineRule="exact"/>
        <w:rPr>
          <w:sz w:val="20"/>
          <w:szCs w:val="20"/>
          <w:color w:val="auto"/>
        </w:rPr>
      </w:pPr>
    </w:p>
    <w:p>
      <w:pPr>
        <w:ind w:right="60" w:firstLine="487"/>
        <w:spacing w:after="0"/>
        <w:rPr>
          <w:sz w:val="20"/>
          <w:szCs w:val="20"/>
          <w:color w:val="auto"/>
        </w:rPr>
      </w:pPr>
      <w:r>
        <w:rPr>
          <w:rFonts w:ascii="Times New Roman" w:cs="Times New Roman" w:eastAsia="Times New Roman" w:hAnsi="Times New Roman"/>
          <w:sz w:val="20"/>
          <w:szCs w:val="20"/>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ALX2004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spacing w:after="0" w:line="94" w:lineRule="exact"/>
        <w:rPr>
          <w:sz w:val="20"/>
          <w:szCs w:val="20"/>
          <w:color w:val="auto"/>
        </w:rPr>
      </w:pPr>
    </w:p>
    <w:p>
      <w:pPr>
        <w:ind w:right="40" w:firstLine="487"/>
        <w:spacing w:after="0" w:line="243" w:lineRule="auto"/>
        <w:rPr>
          <w:sz w:val="20"/>
          <w:szCs w:val="20"/>
          <w:color w:val="auto"/>
        </w:rPr>
      </w:pPr>
      <w:r>
        <w:rPr>
          <w:rFonts w:ascii="Times New Roman" w:cs="Times New Roman" w:eastAsia="Times New Roman" w:hAnsi="Times New Roman"/>
          <w:sz w:val="20"/>
          <w:szCs w:val="20"/>
          <w:color w:val="auto"/>
        </w:rPr>
        <w:t>As of December 31, 2025, we had cash, cash equivalents and investments of $48.3 million. Based on our current operating plan, we believe that our existing cash, cash equivalents, and investments and net proceeds of $140.3 million raised in our registered offering that closed in February 2026 (the February 2026 Offering) will be sufficient to fund our operations through the first half of 2028.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w:t>
      </w:r>
    </w:p>
    <w:p>
      <w:pPr>
        <w:spacing w:after="0" w:line="84" w:lineRule="exact"/>
        <w:rPr>
          <w:sz w:val="20"/>
          <w:szCs w:val="20"/>
          <w:color w:val="auto"/>
        </w:rPr>
      </w:pPr>
    </w:p>
    <w:p>
      <w:pPr>
        <w:ind w:right="40" w:firstLine="486"/>
        <w:spacing w:after="0" w:line="244" w:lineRule="auto"/>
        <w:rPr>
          <w:sz w:val="20"/>
          <w:szCs w:val="20"/>
          <w:color w:val="auto"/>
        </w:rPr>
      </w:pPr>
      <w:r>
        <w:rPr>
          <w:rFonts w:ascii="Times New Roman" w:cs="Times New Roman" w:eastAsia="Times New Roman" w:hAnsi="Times New Roman"/>
          <w:sz w:val="20"/>
          <w:szCs w:val="20"/>
          <w:color w:val="auto"/>
        </w:rPr>
        <w:t>We plan to use our cash, cash equivalents and investments to advance the clinical development of evorpacept and ALX2004,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ALX2004, and our other programs will require a significant amount of capital. Our current cash, cash equivalents and investments on hand, may not be sufficient to fund all of the actions that are necessary to complete the development of evorpacept and ALX2004, or our other programs.</w:t>
      </w:r>
    </w:p>
    <w:p>
      <w:pPr>
        <w:sectPr>
          <w:pgSz w:w="12240" w:h="15840" w:orient="portrait"/>
          <w:cols w:equalWidth="0" w:num="1">
            <w:col w:w="10720"/>
          </w:cols>
          <w:pgMar w:left="760" w:top="974"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2240" w:h="15840" w:orient="portrait"/>
          <w:cols w:equalWidth="0" w:num="1">
            <w:col w:w="10720"/>
          </w:cols>
          <w:pgMar w:left="760" w:top="974" w:right="760" w:bottom="223" w:gutter="0" w:footer="0" w:header="0"/>
          <w:type w:val="continuous"/>
        </w:sectPr>
      </w:pPr>
    </w:p>
    <w:bookmarkStart w:id="47" w:name="page48"/>
    <w:bookmarkEnd w:id="47"/>
    <w:p>
      <w:pPr>
        <w:ind w:right="60" w:firstLine="486"/>
        <w:spacing w:after="0"/>
        <w:rPr>
          <w:sz w:val="20"/>
          <w:szCs w:val="20"/>
          <w:color w:val="auto"/>
        </w:rPr>
      </w:pPr>
      <w:r>
        <w:rPr>
          <w:rFonts w:ascii="Times New Roman" w:cs="Times New Roman" w:eastAsia="Times New Roman" w:hAnsi="Times New Roman"/>
          <w:sz w:val="20"/>
          <w:szCs w:val="20"/>
          <w:color w:val="auto"/>
        </w:rPr>
        <w:t>We will be required to obtain further funding through public or private equity offerings, debt financings, collaborations and licensing arrangements or other sources, which may dilute our stockholders or restrict our operating activities. Our ability to raise additional funds may be adversely impacted by market perceptions of our ability to maintain our listing on the Nasdaq.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Under the Loan Agreement, $25.0 million is available for us to draw down at the Lenders’ sole discretion as of December 31, 2025.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a stockholder’s ownership interest will be diluted, and the terms may include liquidation or other preferences that adversely affect one’s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93"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20"/>
          <w:szCs w:val="20"/>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69"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9"/>
          <w:szCs w:val="19"/>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and Phase 1 clinical trials of ALX2004.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80"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51" w:lineRule="exact"/>
        <w:rPr>
          <w:sz w:val="20"/>
          <w:szCs w:val="20"/>
          <w:color w:val="auto"/>
        </w:rPr>
      </w:pPr>
    </w:p>
    <w:p>
      <w:pPr>
        <w:ind w:right="120" w:firstLine="486"/>
        <w:spacing w:after="0" w:line="247" w:lineRule="auto"/>
        <w:rPr>
          <w:sz w:val="20"/>
          <w:szCs w:val="20"/>
          <w:color w:val="auto"/>
        </w:rPr>
      </w:pPr>
      <w:r>
        <w:rPr>
          <w:rFonts w:ascii="Times New Roman" w:cs="Times New Roman" w:eastAsia="Times New Roman" w:hAnsi="Times New Roman"/>
          <w:sz w:val="20"/>
          <w:szCs w:val="20"/>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78" w:lineRule="exact"/>
        <w:rPr>
          <w:sz w:val="20"/>
          <w:szCs w:val="20"/>
          <w:color w:val="auto"/>
        </w:rPr>
      </w:pPr>
    </w:p>
    <w:p>
      <w:pPr>
        <w:ind w:left="980" w:right="620" w:hanging="496"/>
        <w:spacing w:after="0" w:line="261" w:lineRule="auto"/>
        <w:tabs>
          <w:tab w:leader="none" w:pos="98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successful and timely completion of preclinical and clinical development of our product candidates evorpacept and ALX2004, and our other future product candidates;</w:t>
      </w:r>
    </w:p>
    <w:p>
      <w:pPr>
        <w:spacing w:after="0" w:line="61" w:lineRule="exact"/>
        <w:rPr>
          <w:rFonts w:ascii="PMingLiU" w:cs="PMingLiU" w:eastAsia="PMingLiU" w:hAnsi="PMingLiU"/>
          <w:sz w:val="20"/>
          <w:szCs w:val="20"/>
          <w:color w:val="auto"/>
        </w:rPr>
      </w:pPr>
    </w:p>
    <w:p>
      <w:pPr>
        <w:ind w:left="960" w:right="40" w:hanging="477"/>
        <w:spacing w:after="0" w:line="261" w:lineRule="auto"/>
        <w:tabs>
          <w:tab w:leader="none" w:pos="96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establishing and maintaining relationships with contract research organizations, or CROs, and clinical sites for the clinical development of evorpacept, ALX2004 and our other future product candidates;</w:t>
      </w:r>
    </w:p>
    <w:p>
      <w:pPr>
        <w:spacing w:after="0" w:line="61" w:lineRule="exact"/>
        <w:rPr>
          <w:rFonts w:ascii="PMingLiU" w:cs="PMingLiU" w:eastAsia="PMingLiU" w:hAnsi="PMingLiU"/>
          <w:sz w:val="20"/>
          <w:szCs w:val="20"/>
          <w:color w:val="auto"/>
        </w:rPr>
      </w:pPr>
    </w:p>
    <w:p>
      <w:pPr>
        <w:ind w:left="960" w:right="440" w:hanging="477"/>
        <w:spacing w:after="0" w:line="261" w:lineRule="auto"/>
        <w:tabs>
          <w:tab w:leader="none" w:pos="96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timely receipt of marketing approvals from applicable regulatory authorities for any product candidates for which we successfully complete clinical development;</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extent of any required post-marketing approval commitments to applicable regulatory authorities;</w:t>
      </w:r>
    </w:p>
    <w:p>
      <w:pPr>
        <w:spacing w:after="0" w:line="104" w:lineRule="exact"/>
        <w:rPr>
          <w:rFonts w:ascii="PMingLiU" w:cs="PMingLiU" w:eastAsia="PMingLiU" w:hAnsi="PMingLiU"/>
          <w:sz w:val="20"/>
          <w:szCs w:val="20"/>
          <w:color w:val="auto"/>
        </w:rPr>
      </w:pPr>
    </w:p>
    <w:p>
      <w:pPr>
        <w:jc w:val="both"/>
        <w:ind w:left="980" w:right="140" w:hanging="496"/>
        <w:spacing w:after="0" w:line="249" w:lineRule="auto"/>
        <w:tabs>
          <w:tab w:leader="none" w:pos="980" w:val="left"/>
        </w:tabs>
        <w:numPr>
          <w:ilvl w:val="0"/>
          <w:numId w:val="2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developing an efficient and scalable manufacturing process for evorpacept, ALX2004 and any future product candidates, including establishing and maintaining commercially viable supply and manufacturing relationships with third parties to obtain finished products that are appropriately packaged for sale;</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2240" w:h="15840" w:orient="portrait"/>
          <w:cols w:equalWidth="0" w:num="1">
            <w:col w:w="10720"/>
          </w:cols>
          <w:pgMar w:left="760" w:top="978" w:right="760" w:bottom="223" w:gutter="0" w:footer="0" w:header="0"/>
          <w:type w:val="continuous"/>
        </w:sectPr>
      </w:pPr>
    </w:p>
    <w:bookmarkStart w:id="48" w:name="page49"/>
    <w:bookmarkEnd w:id="48"/>
    <w:p>
      <w:pPr>
        <w:ind w:left="980" w:right="100" w:hanging="496"/>
        <w:spacing w:after="0" w:line="249" w:lineRule="auto"/>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74" w:lineRule="exact"/>
        <w:rPr>
          <w:rFonts w:ascii="PMingLiU" w:cs="PMingLiU" w:eastAsia="PMingLiU" w:hAnsi="PMingLiU"/>
          <w:sz w:val="20"/>
          <w:szCs w:val="20"/>
          <w:color w:val="auto"/>
        </w:rPr>
      </w:pPr>
    </w:p>
    <w:p>
      <w:pPr>
        <w:ind w:left="980" w:right="1040" w:hanging="496"/>
        <w:spacing w:after="0" w:line="261" w:lineRule="auto"/>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successful commercial launch following any marketing approval, including the development of a commercial infrastructure, whether in-house or with one or more collaborators;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 continued acceptable safety profile following any marketing approval;</w:t>
      </w:r>
    </w:p>
    <w:p>
      <w:pPr>
        <w:spacing w:after="0" w:line="104" w:lineRule="exact"/>
        <w:rPr>
          <w:rFonts w:ascii="PMingLiU" w:cs="PMingLiU" w:eastAsia="PMingLiU" w:hAnsi="PMingLiU"/>
          <w:sz w:val="20"/>
          <w:szCs w:val="20"/>
          <w:color w:val="auto"/>
        </w:rPr>
      </w:pPr>
    </w:p>
    <w:p>
      <w:pPr>
        <w:ind w:left="980" w:right="340" w:hanging="496"/>
        <w:spacing w:after="0" w:line="261" w:lineRule="auto"/>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commercial acceptance of evorpacept and ALX2004, and any future product candidates as viable treatment options by patients, the medical community and third-party payors;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obtaining favorable coverage and adequate reimbursement by third-party payors for our product candidates;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addressing any competing therapies and technological and market developments;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identifying, assessing, acquiring and developing new product candidates;</w:t>
      </w:r>
    </w:p>
    <w:p>
      <w:pPr>
        <w:spacing w:after="0" w:line="104" w:lineRule="exact"/>
        <w:rPr>
          <w:rFonts w:ascii="PMingLiU" w:cs="PMingLiU" w:eastAsia="PMingLiU" w:hAnsi="PMingLiU"/>
          <w:sz w:val="20"/>
          <w:szCs w:val="20"/>
          <w:color w:val="auto"/>
        </w:rPr>
      </w:pPr>
    </w:p>
    <w:p>
      <w:pPr>
        <w:ind w:left="960" w:right="400" w:hanging="477"/>
        <w:spacing w:after="0" w:line="261" w:lineRule="auto"/>
        <w:tabs>
          <w:tab w:leader="none" w:pos="96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obtaining, maintaining and expanding patent protection, trade secret protection and regulatory exclusivity, both in the United States and internationally;</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protecting our rights in our intellectual property portfolio, including our licensed intellectual property;</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defending against third-party interference or infringement claims, if any;</w:t>
      </w:r>
    </w:p>
    <w:p>
      <w:pPr>
        <w:spacing w:after="0" w:line="104" w:lineRule="exact"/>
        <w:rPr>
          <w:rFonts w:ascii="PMingLiU" w:cs="PMingLiU" w:eastAsia="PMingLiU" w:hAnsi="PMingLiU"/>
          <w:sz w:val="20"/>
          <w:szCs w:val="20"/>
          <w:color w:val="auto"/>
        </w:rPr>
      </w:pPr>
    </w:p>
    <w:p>
      <w:pPr>
        <w:ind w:left="980" w:right="80" w:hanging="496"/>
        <w:spacing w:after="0" w:line="261" w:lineRule="auto"/>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entering into, on favorable terms, any collaboration, licensing or other arrangements that may be necessary or desirable to develop, manufacture or commercialize our product candidates;</w:t>
      </w:r>
    </w:p>
    <w:p>
      <w:pPr>
        <w:spacing w:after="0" w:line="61" w:lineRule="exact"/>
        <w:rPr>
          <w:rFonts w:ascii="PMingLiU" w:cs="PMingLiU" w:eastAsia="PMingLiU" w:hAnsi="PMingLiU"/>
          <w:sz w:val="20"/>
          <w:szCs w:val="20"/>
          <w:color w:val="auto"/>
        </w:rPr>
      </w:pPr>
    </w:p>
    <w:p>
      <w:pPr>
        <w:ind w:left="980" w:right="580" w:hanging="496"/>
        <w:spacing w:after="0" w:line="261" w:lineRule="auto"/>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negotiating favorable terms in any collaboration, licensing or other arrangements that may be necessary to develop, manufacture or commercialize our product candidate; and</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2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attracting, hiring and retaining qualified personnel.</w:t>
      </w:r>
    </w:p>
    <w:p>
      <w:pPr>
        <w:spacing w:after="0" w:line="104"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20"/>
          <w:szCs w:val="20"/>
          <w:color w:val="auto"/>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7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The terms of our Loan Agreement require us to meet certain operating and financial covenants, place restrictions on our operating and financial flexibility, and may subject us to default.</w:t>
      </w:r>
    </w:p>
    <w:p>
      <w:pPr>
        <w:spacing w:after="0" w:line="51" w:lineRule="exact"/>
        <w:rPr>
          <w:sz w:val="20"/>
          <w:szCs w:val="20"/>
          <w:color w:val="auto"/>
        </w:rPr>
      </w:pPr>
    </w:p>
    <w:p>
      <w:pPr>
        <w:ind w:right="180" w:firstLine="486"/>
        <w:spacing w:after="0" w:line="276" w:lineRule="auto"/>
        <w:rPr>
          <w:sz w:val="20"/>
          <w:szCs w:val="20"/>
          <w:color w:val="auto"/>
        </w:rPr>
      </w:pPr>
      <w:r>
        <w:rPr>
          <w:rFonts w:ascii="Times New Roman" w:cs="Times New Roman" w:eastAsia="Times New Roman" w:hAnsi="Times New Roman"/>
          <w:sz w:val="19"/>
          <w:szCs w:val="19"/>
          <w:color w:val="auto"/>
        </w:rPr>
        <w:t>In October 2022, we entered into the Loan Agreement, most recently amended in December 2023, under which we have borrowed $10.0 million. Under the Loan Agreement, $ 25.0 million is available for us to draw at the Lenders’ sole discretion as of December 31, 2025. The proceeds of the loans may be used by us for working capital and to fund our general business requirements.</w:t>
      </w:r>
    </w:p>
    <w:p>
      <w:pPr>
        <w:spacing w:after="0" w:line="51"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20"/>
          <w:szCs w:val="20"/>
          <w:color w:val="auto"/>
        </w:rPr>
        <w:t>The term loans under the Loan Agreement mature on October 1, 2027. We began to make principal payments in equal monthly installments beginning on December 1, 2025.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spacing w:after="0" w:line="82" w:lineRule="exact"/>
        <w:rPr>
          <w:sz w:val="20"/>
          <w:szCs w:val="20"/>
          <w:color w:val="auto"/>
        </w:rPr>
      </w:pPr>
    </w:p>
    <w:p>
      <w:pPr>
        <w:ind w:right="140" w:firstLine="486"/>
        <w:spacing w:after="0" w:line="274" w:lineRule="auto"/>
        <w:rPr>
          <w:sz w:val="20"/>
          <w:szCs w:val="20"/>
          <w:color w:val="auto"/>
        </w:rPr>
      </w:pPr>
      <w:r>
        <w:rPr>
          <w:rFonts w:ascii="Times New Roman" w:cs="Times New Roman" w:eastAsia="Times New Roman" w:hAnsi="Times New Roman"/>
          <w:sz w:val="20"/>
          <w:szCs w:val="20"/>
          <w:color w:val="auto"/>
        </w:rPr>
        <w:t>The term loans under the Loan Agreement are secured by substantially all of our assets, except our intellectual property, which is the subject of a negative pledge, and will be guaranteed by our future subsidiaries, subject to certain limitations.</w:t>
      </w:r>
    </w:p>
    <w:p>
      <w:pPr>
        <w:spacing w:after="0" w:line="51"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20"/>
          <w:szCs w:val="20"/>
          <w:color w:val="auto"/>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2240" w:h="15840" w:orient="portrait"/>
          <w:cols w:equalWidth="0" w:num="1">
            <w:col w:w="10720"/>
          </w:cols>
          <w:pgMar w:left="760" w:top="978" w:right="760" w:bottom="223" w:gutter="0" w:footer="0" w:header="0"/>
          <w:type w:val="continuous"/>
        </w:sectPr>
      </w:pPr>
    </w:p>
    <w:bookmarkStart w:id="49" w:name="page50"/>
    <w:bookmarkEnd w:id="49"/>
    <w:p>
      <w:pPr>
        <w:ind w:firstLine="486"/>
        <w:spacing w:after="0" w:line="243" w:lineRule="auto"/>
        <w:rPr>
          <w:sz w:val="20"/>
          <w:szCs w:val="20"/>
          <w:color w:val="auto"/>
        </w:rPr>
      </w:pPr>
      <w:r>
        <w:rPr>
          <w:rFonts w:ascii="Times New Roman" w:cs="Times New Roman" w:eastAsia="Times New Roman" w:hAnsi="Times New Roman"/>
          <w:sz w:val="20"/>
          <w:szCs w:val="20"/>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Discovery, Development and Commercialization of Our Product Candidates</w:t>
      </w:r>
    </w:p>
    <w:p>
      <w:pPr>
        <w:spacing w:after="0" w:line="122"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are substantially dependent on the success of our lead product candidate, evorpacept, or our second product candidate, ALX2004, which are both in clinical development and have not completed a pivotal trial. If we do not obtain regulatory approval for and successfully commercialize evorpacept or ALX2004 in one or more indications, or we experience significant delays in doing so, we may never generate any revenue or become profitable.</w:t>
      </w:r>
    </w:p>
    <w:p>
      <w:pPr>
        <w:spacing w:after="0" w:line="75"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20"/>
          <w:szCs w:val="20"/>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product candidates evorpacept and ALX2004, in our ongoing clinical trials. As a result, our business currently depends heavily on the successful development, regulatory approval and, if approved, commercialization of evorpacept in one or more of these indications, such as gastric/gastroesophageal junction, or GEJ, carcinoma, breast cancer, NHL or multiple myeloma.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ALX2004 or any of our future product candidates, would materially harm our business, financial condition and results of operations. We are not permitted to market or promote evorpacept, ALX2004 or any other product candidate, before we receive marketing approval from the FDA and comparable foreign regulatory authorities, and we may never receive such marketing approvals. If we do not receive marketing approvals for evorpacept or ALX2004, we may not be able to continue our operations.</w:t>
      </w:r>
    </w:p>
    <w:p>
      <w:pPr>
        <w:spacing w:after="0" w:line="87"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75"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9"/>
          <w:szCs w:val="19"/>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head and neck squamous cell carcinoma (HNSCC).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70"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20"/>
          <w:szCs w:val="20"/>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ALX2004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including with respect to our single-arm ASPEN-09-Breast study in HER2-positive breast cancer, our clinical timelines may be delayed.</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2240" w:h="15840" w:orient="portrait"/>
          <w:cols w:equalWidth="0" w:num="1">
            <w:col w:w="10720"/>
          </w:cols>
          <w:pgMar w:left="760" w:top="978" w:right="760" w:bottom="223" w:gutter="0" w:footer="0" w:header="0"/>
          <w:type w:val="continuous"/>
        </w:sectPr>
      </w:pPr>
    </w:p>
    <w:bookmarkStart w:id="50" w:name="page51"/>
    <w:bookmarkEnd w:id="50"/>
    <w:p>
      <w:pPr>
        <w:ind w:right="50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69"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Before obtaining marketing approval from regulatory authorities for the sale of our product candidates, we must conduct preclinical development and then extensive clinical trials (including initiation of any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HNSCC.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85" w:lineRule="exact"/>
        <w:rPr>
          <w:sz w:val="20"/>
          <w:szCs w:val="20"/>
          <w:color w:val="auto"/>
        </w:rPr>
      </w:pPr>
    </w:p>
    <w:p>
      <w:pPr>
        <w:ind w:right="20" w:firstLine="486"/>
        <w:spacing w:after="0" w:line="302" w:lineRule="auto"/>
        <w:rPr>
          <w:sz w:val="20"/>
          <w:szCs w:val="20"/>
          <w:color w:val="auto"/>
        </w:rPr>
      </w:pPr>
      <w:r>
        <w:rPr>
          <w:rFonts w:ascii="Times New Roman" w:cs="Times New Roman" w:eastAsia="Times New Roman" w:hAnsi="Times New Roman"/>
          <w:sz w:val="19"/>
          <w:szCs w:val="19"/>
          <w:color w:val="auto"/>
        </w:rPr>
        <w:t>We do not know whether our future clinical trials will begin or enroll subjects on time or whether our ongoing and/or future clinical trials will be completed on schedule or at all. Clinical trials can be delayed for a variety of reasons, including delays related to:</w:t>
      </w:r>
    </w:p>
    <w:p>
      <w:pPr>
        <w:spacing w:after="0" w:line="26" w:lineRule="exact"/>
        <w:rPr>
          <w:sz w:val="20"/>
          <w:szCs w:val="20"/>
          <w:color w:val="auto"/>
        </w:rPr>
      </w:pPr>
    </w:p>
    <w:p>
      <w:pPr>
        <w:ind w:left="960" w:hanging="477"/>
        <w:spacing w:after="0"/>
        <w:tabs>
          <w:tab w:leader="none" w:pos="96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obtaining approval to commence a clinical trial;</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reaching agreement on acceptable terms with prospective CROs and clinical trial sites;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obtaining institutional review board approval at each clinical trial site;</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adding necessary new clinical trial sites;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recruiting suitable subjects to participate in a trial;</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noncompliance with clinical trial protocols;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investigational site or trial subjects withdrawing or dropping out of clinical trials at a higher rate than anticipated; and</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2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manufacturing sufficient quantities of product candidate for use in clinical trials.</w:t>
      </w:r>
    </w:p>
    <w:p>
      <w:pPr>
        <w:spacing w:after="0" w:line="104" w:lineRule="exact"/>
        <w:rPr>
          <w:sz w:val="20"/>
          <w:szCs w:val="20"/>
          <w:color w:val="auto"/>
        </w:rPr>
      </w:pPr>
    </w:p>
    <w:p>
      <w:pPr>
        <w:ind w:right="340" w:firstLine="486"/>
        <w:spacing w:after="0" w:line="274" w:lineRule="auto"/>
        <w:rPr>
          <w:sz w:val="20"/>
          <w:szCs w:val="20"/>
          <w:color w:val="auto"/>
        </w:rPr>
      </w:pPr>
      <w:r>
        <w:rPr>
          <w:rFonts w:ascii="Times New Roman" w:cs="Times New Roman" w:eastAsia="Times New Roman" w:hAnsi="Times New Roman"/>
          <w:sz w:val="20"/>
          <w:szCs w:val="20"/>
          <w:color w:val="auto"/>
        </w:rPr>
        <w:t>We may experience numerous unforeseen events during, or as a result of, clinical trials that could delay or prevent receipt of marketing approval or our ability to commercialize our product candidates, including:</w:t>
      </w:r>
    </w:p>
    <w:p>
      <w:pPr>
        <w:spacing w:after="0" w:line="51" w:lineRule="exact"/>
        <w:rPr>
          <w:sz w:val="20"/>
          <w:szCs w:val="20"/>
          <w:color w:val="auto"/>
        </w:rPr>
      </w:pPr>
    </w:p>
    <w:p>
      <w:pPr>
        <w:ind w:left="960" w:hanging="477"/>
        <w:spacing w:after="0"/>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receipt of feedback from regulatory authorities that requires us to modify the design of our clinical trials;</w:t>
      </w:r>
    </w:p>
    <w:p>
      <w:pPr>
        <w:spacing w:after="0" w:line="104" w:lineRule="exact"/>
        <w:rPr>
          <w:rFonts w:ascii="PMingLiU" w:cs="PMingLiU" w:eastAsia="PMingLiU" w:hAnsi="PMingLiU"/>
          <w:sz w:val="20"/>
          <w:szCs w:val="20"/>
          <w:color w:val="auto"/>
        </w:rPr>
      </w:pPr>
    </w:p>
    <w:p>
      <w:pPr>
        <w:ind w:left="960" w:right="300" w:hanging="477"/>
        <w:spacing w:after="0" w:line="261" w:lineRule="auto"/>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negative or inconclusive clinical trial results or interval changes to standards of care for the treatment of specific tumor types that may require us to conduct additional clinical trials or abandon certain drug development programs;</w:t>
      </w:r>
    </w:p>
    <w:p>
      <w:pPr>
        <w:spacing w:after="0" w:line="61" w:lineRule="exact"/>
        <w:rPr>
          <w:rFonts w:ascii="PMingLiU" w:cs="PMingLiU" w:eastAsia="PMingLiU" w:hAnsi="PMingLiU"/>
          <w:sz w:val="20"/>
          <w:szCs w:val="20"/>
          <w:color w:val="auto"/>
        </w:rPr>
      </w:pPr>
    </w:p>
    <w:p>
      <w:pPr>
        <w:ind w:left="960" w:hanging="477"/>
        <w:spacing w:after="0" w:line="261" w:lineRule="auto"/>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number of subjects required for clinical trials is larger than anticipated, enrollment in these clinical trials is slower than anticipated or subjects dropping out of these clinical trials at a higher rate than anticipated;</w:t>
      </w:r>
    </w:p>
    <w:p>
      <w:pPr>
        <w:spacing w:after="0" w:line="61" w:lineRule="exact"/>
        <w:rPr>
          <w:rFonts w:ascii="PMingLiU" w:cs="PMingLiU" w:eastAsia="PMingLiU" w:hAnsi="PMingLiU"/>
          <w:sz w:val="20"/>
          <w:szCs w:val="20"/>
          <w:color w:val="auto"/>
        </w:rPr>
      </w:pPr>
    </w:p>
    <w:p>
      <w:pPr>
        <w:ind w:left="960" w:right="300" w:hanging="477"/>
        <w:spacing w:after="0" w:line="261" w:lineRule="auto"/>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delays in clinical trials due to outbreaks or public health crises, such as the COVID-19 pandemic, that impact both trial site operations, subject selection and participation;</w:t>
      </w:r>
    </w:p>
    <w:p>
      <w:pPr>
        <w:spacing w:after="0" w:line="61" w:lineRule="exact"/>
        <w:rPr>
          <w:rFonts w:ascii="PMingLiU" w:cs="PMingLiU" w:eastAsia="PMingLiU" w:hAnsi="PMingLiU"/>
          <w:sz w:val="20"/>
          <w:szCs w:val="20"/>
          <w:color w:val="auto"/>
        </w:rPr>
      </w:pPr>
    </w:p>
    <w:p>
      <w:pPr>
        <w:ind w:left="960" w:right="500" w:hanging="477"/>
        <w:spacing w:after="0" w:line="261" w:lineRule="auto"/>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third-party contractors failing to comply with regulatory requirements or meet their contractual obligations to us in a timely manner, or at all;</w:t>
      </w:r>
    </w:p>
    <w:p>
      <w:pPr>
        <w:spacing w:after="0" w:line="61" w:lineRule="exact"/>
        <w:rPr>
          <w:rFonts w:ascii="PMingLiU" w:cs="PMingLiU" w:eastAsia="PMingLiU" w:hAnsi="PMingLiU"/>
          <w:sz w:val="20"/>
          <w:szCs w:val="20"/>
          <w:color w:val="auto"/>
        </w:rPr>
      </w:pPr>
    </w:p>
    <w:p>
      <w:pPr>
        <w:ind w:left="960" w:right="320" w:hanging="477"/>
        <w:spacing w:after="0" w:line="249" w:lineRule="auto"/>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74" w:lineRule="exact"/>
        <w:rPr>
          <w:rFonts w:ascii="PMingLiU" w:cs="PMingLiU" w:eastAsia="PMingLiU" w:hAnsi="PMingLiU"/>
          <w:sz w:val="20"/>
          <w:szCs w:val="20"/>
          <w:color w:val="auto"/>
        </w:rPr>
      </w:pPr>
    </w:p>
    <w:p>
      <w:pPr>
        <w:ind w:left="960" w:hanging="477"/>
        <w:spacing w:after="0"/>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cost of clinical trials of our product candidates are greater than anticipated;</w:t>
      </w:r>
    </w:p>
    <w:p>
      <w:pPr>
        <w:spacing w:after="0" w:line="104" w:lineRule="exact"/>
        <w:rPr>
          <w:rFonts w:ascii="PMingLiU" w:cs="PMingLiU" w:eastAsia="PMingLiU" w:hAnsi="PMingLiU"/>
          <w:sz w:val="20"/>
          <w:szCs w:val="20"/>
          <w:color w:val="auto"/>
        </w:rPr>
      </w:pPr>
    </w:p>
    <w:p>
      <w:pPr>
        <w:ind w:left="960" w:right="620" w:hanging="477"/>
        <w:spacing w:after="0" w:line="261" w:lineRule="auto"/>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supply or quality of our product candidates or other materials necessary to conduct clinical trials of our product candidates being insufficient or inadequate;</w:t>
      </w:r>
    </w:p>
    <w:p>
      <w:pPr>
        <w:spacing w:after="0" w:line="61" w:lineRule="exact"/>
        <w:rPr>
          <w:rFonts w:ascii="PMingLiU" w:cs="PMingLiU" w:eastAsia="PMingLiU" w:hAnsi="PMingLiU"/>
          <w:sz w:val="20"/>
          <w:szCs w:val="20"/>
          <w:color w:val="auto"/>
        </w:rPr>
      </w:pPr>
    </w:p>
    <w:p>
      <w:pPr>
        <w:ind w:left="960" w:right="20" w:hanging="477"/>
        <w:spacing w:after="0" w:line="261" w:lineRule="auto"/>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any development and approval of FDA or other comparable foreign regulatory authorities required companion diagnostics necessary for use with our product candidates; and</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2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regulators revising the requirements for approving our product candidates.</w:t>
      </w:r>
    </w:p>
    <w:p>
      <w:pPr>
        <w:spacing w:after="0" w:line="104"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20"/>
          <w:szCs w:val="20"/>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2240" w:h="15840" w:orient="portrait"/>
          <w:cols w:equalWidth="0" w:num="1">
            <w:col w:w="10720"/>
          </w:cols>
          <w:pgMar w:left="760" w:top="978" w:right="760" w:bottom="223" w:gutter="0" w:footer="0" w:header="0"/>
          <w:type w:val="continuous"/>
        </w:sectPr>
      </w:pPr>
    </w:p>
    <w:bookmarkStart w:id="51" w:name="page52"/>
    <w:bookmarkEnd w:id="51"/>
    <w:p>
      <w:pPr>
        <w:ind w:right="680" w:firstLine="486"/>
        <w:spacing w:after="0" w:line="274" w:lineRule="auto"/>
        <w:rPr>
          <w:sz w:val="20"/>
          <w:szCs w:val="20"/>
          <w:color w:val="auto"/>
        </w:rPr>
      </w:pPr>
      <w:r>
        <w:rPr>
          <w:rFonts w:ascii="Times New Roman" w:cs="Times New Roman" w:eastAsia="Times New Roman" w:hAnsi="Times New Roman"/>
          <w:sz w:val="20"/>
          <w:szCs w:val="20"/>
          <w:color w:val="auto"/>
        </w:rPr>
        <w:t>We do not know whether any clinical trials we may conduct will demonstrate consistent or adequate safety and efficacy sufficient to obtain marketing approval of our product candidates or to market our drugs after any such approval.</w:t>
      </w:r>
    </w:p>
    <w:p>
      <w:pPr>
        <w:spacing w:after="0" w:line="51"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p>
    <w:p>
      <w:pPr>
        <w:spacing w:after="0" w:line="69" w:lineRule="exact"/>
        <w:rPr>
          <w:sz w:val="20"/>
          <w:szCs w:val="20"/>
          <w:color w:val="auto"/>
        </w:rPr>
      </w:pPr>
    </w:p>
    <w:p>
      <w:pPr>
        <w:ind w:right="160" w:firstLine="486"/>
        <w:spacing w:after="0" w:line="247" w:lineRule="auto"/>
        <w:rPr>
          <w:sz w:val="20"/>
          <w:szCs w:val="20"/>
          <w:color w:val="auto"/>
        </w:rPr>
      </w:pPr>
      <w:r>
        <w:rPr>
          <w:rFonts w:ascii="Times New Roman" w:cs="Times New Roman" w:eastAsia="Times New Roman" w:hAnsi="Times New Roman"/>
          <w:sz w:val="20"/>
          <w:szCs w:val="20"/>
          <w:color w:val="auto"/>
        </w:rPr>
        <w:t>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and ALX2004 are focused on indications with small patient populations, our ability to enroll eligible subjects may be limited or may result in slower enrollment than we anticipate.</w:t>
      </w:r>
    </w:p>
    <w:p>
      <w:pPr>
        <w:spacing w:after="0" w:line="78" w:lineRule="exact"/>
        <w:rPr>
          <w:sz w:val="20"/>
          <w:szCs w:val="20"/>
          <w:color w:val="auto"/>
        </w:rPr>
      </w:pPr>
    </w:p>
    <w:p>
      <w:pPr>
        <w:jc w:val="both"/>
        <w:ind w:right="440" w:firstLine="486"/>
        <w:spacing w:after="0" w:line="256" w:lineRule="auto"/>
        <w:rPr>
          <w:sz w:val="20"/>
          <w:szCs w:val="20"/>
          <w:color w:val="auto"/>
        </w:rPr>
      </w:pPr>
      <w:r>
        <w:rPr>
          <w:rFonts w:ascii="Times New Roman" w:cs="Times New Roman" w:eastAsia="Times New Roman" w:hAnsi="Times New Roman"/>
          <w:sz w:val="20"/>
          <w:szCs w:val="20"/>
          <w:color w:val="auto"/>
        </w:rPr>
        <w:t>In the past, clinical trial enrollment and data collection has been adversely impacted by staff shortages, site closures, travel limitations and physical distancing requirements and personal safety concerns resulting from and associated with the COVID-19 pandemic.</w:t>
      </w:r>
    </w:p>
    <w:p>
      <w:pPr>
        <w:spacing w:after="0" w:line="6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9"/>
          <w:szCs w:val="19"/>
          <w:color w:val="auto"/>
        </w:rPr>
        <w:t>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w:t>
      </w:r>
    </w:p>
    <w:p>
      <w:pPr>
        <w:spacing w:after="0" w:line="64" w:lineRule="exact"/>
        <w:rPr>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size and nature of the patient population;</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severity of the disease under investigation;</w:t>
      </w:r>
    </w:p>
    <w:p>
      <w:pPr>
        <w:spacing w:after="0" w:line="104" w:lineRule="exact"/>
        <w:rPr>
          <w:rFonts w:ascii="PMingLiU" w:cs="PMingLiU" w:eastAsia="PMingLiU" w:hAnsi="PMingLiU"/>
          <w:sz w:val="20"/>
          <w:szCs w:val="20"/>
          <w:color w:val="auto"/>
        </w:rPr>
      </w:pPr>
    </w:p>
    <w:p>
      <w:pPr>
        <w:ind w:left="980" w:right="460" w:hanging="496"/>
        <w:spacing w:after="0" w:line="249" w:lineRule="auto"/>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availability and efficacy or potency of current or newly approved drugs for the disease under investigation and other changes in standard of care that could make our clinical trials less attractive, including the drugs or other product candidates we use in our combination studies;</w:t>
      </w:r>
    </w:p>
    <w:p>
      <w:pPr>
        <w:spacing w:after="0" w:line="74"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patient eligibility criteria for the trial in question;</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perceived risks and benefits of the product candidate under study;</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efforts to facilitate timely enrollment in clinical trials by us and the clinical trial sites;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patient referral practices of physicians;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ability to monitor subjects adequately during and after the clinical trial;</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proximity of clinical trial sites to prospective subjects;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risk of subjects enrolled in clinical trials dropping out before completion;</w:t>
      </w:r>
    </w:p>
    <w:p>
      <w:pPr>
        <w:spacing w:after="0" w:line="104" w:lineRule="exact"/>
        <w:rPr>
          <w:rFonts w:ascii="PMingLiU" w:cs="PMingLiU" w:eastAsia="PMingLiU" w:hAnsi="PMingLiU"/>
          <w:sz w:val="20"/>
          <w:szCs w:val="20"/>
          <w:color w:val="auto"/>
        </w:rPr>
      </w:pPr>
    </w:p>
    <w:p>
      <w:pPr>
        <w:ind w:left="980" w:right="140" w:hanging="496"/>
        <w:spacing w:after="0" w:line="261" w:lineRule="auto"/>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inability or delay in enrollment of subjects due to a variety of reasons, including outbreaks and public health crises, such as the COVID-19 pandemic;</w:t>
      </w:r>
    </w:p>
    <w:p>
      <w:pPr>
        <w:spacing w:after="0" w:line="61" w:lineRule="exact"/>
        <w:rPr>
          <w:rFonts w:ascii="PMingLiU" w:cs="PMingLiU" w:eastAsia="PMingLiU" w:hAnsi="PMingLiU"/>
          <w:sz w:val="20"/>
          <w:szCs w:val="20"/>
          <w:color w:val="auto"/>
        </w:rPr>
      </w:pPr>
    </w:p>
    <w:p>
      <w:pPr>
        <w:ind w:left="980" w:right="60" w:hanging="496"/>
        <w:spacing w:after="0" w:line="261" w:lineRule="auto"/>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 inability to appropriately enroll an ethnically and racially diverse patient population representative of the target patient population;</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non-compliance with regulatory requirements; and</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subjects experiencing severe or unexpected adverse effects related to our product candidates.</w:t>
      </w:r>
    </w:p>
    <w:p>
      <w:pPr>
        <w:spacing w:after="0" w:line="10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20"/>
          <w:szCs w:val="20"/>
          <w:color w:val="auto"/>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42</w:t>
      </w:r>
    </w:p>
    <w:p>
      <w:pPr>
        <w:sectPr>
          <w:pgSz w:w="12240" w:h="15840" w:orient="portrait"/>
          <w:cols w:equalWidth="0" w:num="1">
            <w:col w:w="10680"/>
          </w:cols>
          <w:pgMar w:left="760" w:top="978" w:right="800" w:bottom="223" w:gutter="0" w:footer="0" w:header="0"/>
          <w:type w:val="continuous"/>
        </w:sectPr>
      </w:pPr>
    </w:p>
    <w:bookmarkStart w:id="52" w:name="page53"/>
    <w:bookmarkEnd w:id="52"/>
    <w:p>
      <w:pPr>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p>
    <w:p>
      <w:pPr>
        <w:spacing w:after="0" w:line="69"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20"/>
          <w:szCs w:val="20"/>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93"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51"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20"/>
          <w:szCs w:val="20"/>
          <w:color w:val="auto"/>
        </w:rPr>
        <w:t xml:space="preserve">If evorpacept, ALX2004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 sponsored clinical trials, the most common adverse events of any grade associated with evorpacept (frequency </w:t>
      </w:r>
      <w:r>
        <w:rPr>
          <w:rFonts w:ascii="PMingLiU" w:cs="PMingLiU" w:eastAsia="PMingLiU" w:hAnsi="PMingLiU"/>
          <w:sz w:val="20"/>
          <w:szCs w:val="20"/>
          <w:color w:val="auto"/>
        </w:rPr>
        <w:t></w:t>
      </w:r>
      <w:r>
        <w:rPr>
          <w:rFonts w:ascii="Times New Roman" w:cs="Times New Roman" w:eastAsia="Times New Roman" w:hAnsi="Times New Roman"/>
          <w:sz w:val="20"/>
          <w:szCs w:val="20"/>
          <w:color w:val="auto"/>
        </w:rPr>
        <w:t xml:space="preserve"> are fatigue, anemia, nausea, diarrhea, constipation, and neutrophil count decrease. These events have been reported across the program in patients administered evorpacept as a single agent, in combination with pembrolizumab, trastuzumab, rituximab, azacitidine, or enfortumab vedotin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spacing w:after="0" w:line="86"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face substantial competition which may result in others discovering, developing or commercializing products before or more successfully than we do.</w:t>
      </w:r>
    </w:p>
    <w:p>
      <w:pPr>
        <w:spacing w:after="0" w:line="51" w:lineRule="exact"/>
        <w:rPr>
          <w:sz w:val="20"/>
          <w:szCs w:val="20"/>
          <w:color w:val="auto"/>
        </w:rPr>
      </w:pPr>
    </w:p>
    <w:p>
      <w:pPr>
        <w:ind w:right="40" w:firstLine="486"/>
        <w:spacing w:after="0" w:line="243" w:lineRule="auto"/>
        <w:rPr>
          <w:sz w:val="20"/>
          <w:szCs w:val="20"/>
          <w:color w:val="auto"/>
        </w:rPr>
      </w:pPr>
      <w:r>
        <w:rPr>
          <w:rFonts w:ascii="Times New Roman" w:cs="Times New Roman" w:eastAsia="Times New Roman" w:hAnsi="Times New Roman"/>
          <w:sz w:val="20"/>
          <w:szCs w:val="20"/>
          <w:color w:val="auto"/>
        </w:rPr>
        <w:t>The development and commercialization of new product candidates is highly competitive. We face competition with respect to evorpacept and ALX2004,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2240" w:h="15840" w:orient="portrait"/>
          <w:cols w:equalWidth="0" w:num="1">
            <w:col w:w="10720"/>
          </w:cols>
          <w:pgMar w:left="760" w:top="978" w:right="760" w:bottom="223" w:gutter="0" w:footer="0" w:header="0"/>
          <w:type w:val="continuous"/>
        </w:sectPr>
      </w:pPr>
    </w:p>
    <w:bookmarkStart w:id="53" w:name="page54"/>
    <w:bookmarkEnd w:id="53"/>
    <w:p>
      <w:pPr>
        <w:ind w:right="40" w:firstLine="486"/>
        <w:spacing w:after="0" w:line="241" w:lineRule="auto"/>
        <w:rPr>
          <w:sz w:val="20"/>
          <w:szCs w:val="20"/>
          <w:color w:val="auto"/>
        </w:rPr>
      </w:pPr>
      <w:r>
        <w:rPr>
          <w:rFonts w:ascii="Times New Roman" w:cs="Times New Roman" w:eastAsia="Times New Roman" w:hAnsi="Times New Roman"/>
          <w:sz w:val="20"/>
          <w:szCs w:val="20"/>
          <w:color w:val="auto"/>
        </w:rPr>
        <w:t>Some of these competitive products and therapies are based on scientific approaches that are the same as or similar to our approaches, including with respect to the targeting of the CD47 pathway, targeting epidermal growth factor receptor (EGFR) as an antibody-drug conjugate target,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We are also aware that AstraZeneca, BioNTech, Bristol Myers Squibb with Systimmune, CSPC, and Henlius, among others, are developing or have begun development of antibody drug conjugates (ADCs) targeting EGFR.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4" w:lineRule="exact"/>
        <w:rPr>
          <w:sz w:val="20"/>
          <w:szCs w:val="20"/>
          <w:color w:val="auto"/>
        </w:rPr>
      </w:pPr>
    </w:p>
    <w:p>
      <w:pPr>
        <w:ind w:right="40" w:firstLine="486"/>
        <w:spacing w:after="0" w:line="244" w:lineRule="auto"/>
        <w:rPr>
          <w:sz w:val="20"/>
          <w:szCs w:val="20"/>
          <w:color w:val="auto"/>
        </w:rPr>
      </w:pPr>
      <w:r>
        <w:rPr>
          <w:rFonts w:ascii="Times New Roman" w:cs="Times New Roman" w:eastAsia="Times New Roman" w:hAnsi="Times New Roman"/>
          <w:sz w:val="20"/>
          <w:szCs w:val="20"/>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ALX2004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82" w:lineRule="exact"/>
        <w:rPr>
          <w:sz w:val="20"/>
          <w:szCs w:val="20"/>
          <w:color w:val="auto"/>
        </w:rPr>
      </w:pPr>
    </w:p>
    <w:p>
      <w:pPr>
        <w:ind w:right="80" w:firstLine="486"/>
        <w:spacing w:after="0" w:line="243" w:lineRule="auto"/>
        <w:rPr>
          <w:sz w:val="20"/>
          <w:szCs w:val="20"/>
          <w:color w:val="auto"/>
        </w:rPr>
      </w:pPr>
      <w:r>
        <w:rPr>
          <w:rFonts w:ascii="Times New Roman" w:cs="Times New Roman" w:eastAsia="Times New Roman" w:hAnsi="Times New Roman"/>
          <w:sz w:val="20"/>
          <w:szCs w:val="20"/>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84"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20"/>
          <w:szCs w:val="20"/>
          <w:color w:val="auto"/>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84" w:lineRule="exact"/>
        <w:rPr>
          <w:sz w:val="20"/>
          <w:szCs w:val="20"/>
          <w:color w:val="auto"/>
        </w:rPr>
      </w:pPr>
    </w:p>
    <w:p>
      <w:pPr>
        <w:ind w:right="9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Even if our product candidates receive regulatory approval, they will be subject to significant post-marketing regulatory requirements and oversight.</w:t>
      </w:r>
    </w:p>
    <w:p>
      <w:pPr>
        <w:spacing w:after="0" w:line="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9"/>
          <w:szCs w:val="19"/>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based on biomarker analyses or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2240" w:h="15840" w:orient="portrait"/>
          <w:cols w:equalWidth="0" w:num="1">
            <w:col w:w="10720"/>
          </w:cols>
          <w:pgMar w:left="760" w:top="978" w:right="760" w:bottom="223" w:gutter="0" w:footer="0" w:header="0"/>
          <w:type w:val="continuous"/>
        </w:sectPr>
      </w:pPr>
    </w:p>
    <w:bookmarkStart w:id="54" w:name="page55"/>
    <w:bookmarkEnd w:id="54"/>
    <w:p>
      <w:pPr>
        <w:ind w:firstLine="486"/>
        <w:spacing w:after="0" w:line="243" w:lineRule="auto"/>
        <w:rPr>
          <w:sz w:val="20"/>
          <w:szCs w:val="20"/>
          <w:color w:val="auto"/>
        </w:rPr>
      </w:pPr>
      <w:r>
        <w:rPr>
          <w:rFonts w:ascii="Times New Roman" w:cs="Times New Roman" w:eastAsia="Times New Roman" w:hAnsi="Times New Roman"/>
          <w:sz w:val="20"/>
          <w:szCs w:val="20"/>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European Medicines Agency (EMA) and other comparable foreign regulatory requirements may subject our company to administrative or judicially imposed sanctions or enforcement actions, including:</w:t>
      </w:r>
    </w:p>
    <w:p>
      <w:pPr>
        <w:spacing w:after="0" w:line="84" w:lineRule="exact"/>
        <w:rPr>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delays in or the rejection of product approvals;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restrictions on our ability to conduct clinical trials, including full or partial clinical holds on ongoing or planned trials;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restrictions on the products, manufacturers or manufacturing process;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warning or untitled letters;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civil and criminal penalties;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injunctions;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suspension or withdrawal of regulatory approvals;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product seizures, detentions or import bans;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voluntary or mandatory product recalls and publicity requirements;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total or partial suspension of production; and</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imposition of restrictions on operations, including costly new manufacturing requirements.</w:t>
      </w:r>
    </w:p>
    <w:p>
      <w:pPr>
        <w:spacing w:after="0" w:line="104" w:lineRule="exact"/>
        <w:rPr>
          <w:sz w:val="20"/>
          <w:szCs w:val="20"/>
          <w:color w:val="auto"/>
        </w:rPr>
      </w:pPr>
    </w:p>
    <w:p>
      <w:pPr>
        <w:ind w:right="940" w:firstLine="486"/>
        <w:spacing w:after="0" w:line="274" w:lineRule="auto"/>
        <w:rPr>
          <w:sz w:val="20"/>
          <w:szCs w:val="20"/>
          <w:color w:val="auto"/>
        </w:rPr>
      </w:pPr>
      <w:r>
        <w:rPr>
          <w:rFonts w:ascii="Times New Roman" w:cs="Times New Roman" w:eastAsia="Times New Roman" w:hAnsi="Times New Roman"/>
          <w:sz w:val="20"/>
          <w:szCs w:val="20"/>
          <w:color w:val="auto"/>
        </w:rPr>
        <w:t>The occurrence of any of these sanctions, enforcement actions or penalties described above may inhibit our ability to commercialize our product candidates, even if approved, and generate revenue.</w:t>
      </w:r>
    </w:p>
    <w:p>
      <w:pPr>
        <w:spacing w:after="0" w:line="5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75" w:lineRule="exact"/>
        <w:rPr>
          <w:sz w:val="20"/>
          <w:szCs w:val="20"/>
          <w:color w:val="auto"/>
        </w:rPr>
      </w:pPr>
    </w:p>
    <w:p>
      <w:pPr>
        <w:ind w:firstLine="487"/>
        <w:spacing w:after="0" w:line="242" w:lineRule="auto"/>
        <w:rPr>
          <w:sz w:val="20"/>
          <w:szCs w:val="20"/>
          <w:color w:val="auto"/>
        </w:rPr>
      </w:pPr>
      <w:r>
        <w:rPr>
          <w:rFonts w:ascii="Times New Roman" w:cs="Times New Roman" w:eastAsia="Times New Roman" w:hAnsi="Times New Roman"/>
          <w:sz w:val="20"/>
          <w:szCs w:val="20"/>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81" w:lineRule="exact"/>
        <w:rPr>
          <w:sz w:val="20"/>
          <w:szCs w:val="20"/>
          <w:color w:val="auto"/>
        </w:rPr>
      </w:pPr>
    </w:p>
    <w:p>
      <w:pPr>
        <w:ind w:right="100" w:firstLine="486"/>
        <w:spacing w:after="0"/>
        <w:rPr>
          <w:sz w:val="20"/>
          <w:szCs w:val="20"/>
          <w:color w:val="auto"/>
        </w:rPr>
      </w:pPr>
      <w:r>
        <w:rPr>
          <w:rFonts w:ascii="Times New Roman" w:cs="Times New Roman" w:eastAsia="Times New Roman" w:hAnsi="Times New Roman"/>
          <w:sz w:val="20"/>
          <w:szCs w:val="20"/>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ectPr>
          <w:pgSz w:w="12240" w:h="15840" w:orient="portrait"/>
          <w:cols w:equalWidth="0" w:num="1">
            <w:col w:w="10720"/>
          </w:cols>
          <w:pgMar w:left="760" w:top="978" w:right="760" w:bottom="223"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2240" w:h="15840" w:orient="portrait"/>
          <w:cols w:equalWidth="0" w:num="1">
            <w:col w:w="10720"/>
          </w:cols>
          <w:pgMar w:left="760" w:top="978" w:right="760" w:bottom="223" w:gutter="0" w:footer="0" w:header="0"/>
          <w:type w:val="continuous"/>
        </w:sectPr>
      </w:pPr>
    </w:p>
    <w:bookmarkStart w:id="55" w:name="page56"/>
    <w:bookmarkEnd w:id="55"/>
    <w:p>
      <w:pPr>
        <w:ind w:right="100" w:firstLine="486"/>
        <w:spacing w:after="0" w:line="256" w:lineRule="auto"/>
        <w:rPr>
          <w:sz w:val="20"/>
          <w:szCs w:val="20"/>
          <w:color w:val="auto"/>
        </w:rPr>
      </w:pPr>
      <w:r>
        <w:rPr>
          <w:rFonts w:ascii="Times New Roman" w:cs="Times New Roman" w:eastAsia="Times New Roman" w:hAnsi="Times New Roman"/>
          <w:sz w:val="20"/>
          <w:szCs w:val="20"/>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69" w:lineRule="exact"/>
        <w:rPr>
          <w:sz w:val="20"/>
          <w:szCs w:val="20"/>
          <w:color w:val="auto"/>
        </w:rPr>
      </w:pPr>
    </w:p>
    <w:p>
      <w:pPr>
        <w:jc w:val="both"/>
        <w:ind w:right="300" w:firstLine="486"/>
        <w:spacing w:after="0" w:line="276" w:lineRule="auto"/>
        <w:rPr>
          <w:sz w:val="20"/>
          <w:szCs w:val="20"/>
          <w:color w:val="auto"/>
        </w:rPr>
      </w:pPr>
      <w:r>
        <w:rPr>
          <w:rFonts w:ascii="Times New Roman" w:cs="Times New Roman" w:eastAsia="Times New Roman" w:hAnsi="Times New Roman"/>
          <w:sz w:val="19"/>
          <w:szCs w:val="19"/>
          <w:color w:val="auto"/>
        </w:rPr>
        <w:t>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51" w:lineRule="exact"/>
        <w:rPr>
          <w:sz w:val="20"/>
          <w:szCs w:val="20"/>
          <w:color w:val="auto"/>
        </w:rPr>
      </w:pPr>
    </w:p>
    <w:p>
      <w:pPr>
        <w:ind w:firstLine="486"/>
        <w:spacing w:after="0" w:line="276" w:lineRule="auto"/>
        <w:rPr>
          <w:sz w:val="20"/>
          <w:szCs w:val="20"/>
          <w:color w:val="auto"/>
        </w:rPr>
      </w:pPr>
      <w:r>
        <w:rPr>
          <w:rFonts w:ascii="Times New Roman" w:cs="Times New Roman" w:eastAsia="Times New Roman" w:hAnsi="Times New Roman"/>
          <w:sz w:val="19"/>
          <w:szCs w:val="19"/>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Material modifications in the methods of product candidate manufacturing or formulation may result in additional costs or delay.</w:t>
      </w:r>
    </w:p>
    <w:p>
      <w:pPr>
        <w:spacing w:after="0" w:line="118" w:lineRule="exact"/>
        <w:rPr>
          <w:sz w:val="20"/>
          <w:szCs w:val="20"/>
          <w:color w:val="auto"/>
        </w:rPr>
      </w:pPr>
    </w:p>
    <w:p>
      <w:pPr>
        <w:ind w:right="120" w:firstLine="486"/>
        <w:spacing w:after="0" w:line="241" w:lineRule="auto"/>
        <w:rPr>
          <w:sz w:val="20"/>
          <w:szCs w:val="20"/>
          <w:color w:val="auto"/>
        </w:rPr>
      </w:pPr>
      <w:r>
        <w:rPr>
          <w:rFonts w:ascii="Times New Roman" w:cs="Times New Roman" w:eastAsia="Times New Roman" w:hAnsi="Times New Roman"/>
          <w:sz w:val="20"/>
          <w:szCs w:val="20"/>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89" w:lineRule="exact"/>
        <w:rPr>
          <w:sz w:val="20"/>
          <w:szCs w:val="20"/>
          <w:color w:val="auto"/>
        </w:rPr>
      </w:pPr>
    </w:p>
    <w:p>
      <w:pPr>
        <w:ind w:right="3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Development of product candidates in combination with other therapies could expose us to additional risks. Lack of third-party combination drugs may materially and adversely affect demand for our product candidates.</w:t>
      </w:r>
    </w:p>
    <w:p>
      <w:pPr>
        <w:spacing w:after="0" w:line="51"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20"/>
          <w:szCs w:val="20"/>
          <w:color w:val="auto"/>
        </w:rPr>
        <w:t>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87"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9"/>
          <w:szCs w:val="19"/>
          <w:color w:val="auto"/>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68" w:lineRule="exact"/>
        <w:rPr>
          <w:sz w:val="20"/>
          <w:szCs w:val="20"/>
          <w:color w:val="auto"/>
        </w:rPr>
      </w:pPr>
    </w:p>
    <w:p>
      <w:pPr>
        <w:ind w:right="180" w:firstLine="486"/>
        <w:spacing w:after="0" w:line="244" w:lineRule="auto"/>
        <w:rPr>
          <w:sz w:val="20"/>
          <w:szCs w:val="20"/>
          <w:color w:val="auto"/>
        </w:rPr>
      </w:pPr>
      <w:r>
        <w:rPr>
          <w:rFonts w:ascii="Times New Roman" w:cs="Times New Roman" w:eastAsia="Times New Roman" w:hAnsi="Times New Roman"/>
          <w:sz w:val="20"/>
          <w:szCs w:val="20"/>
          <w:color w:val="auto"/>
        </w:rPr>
        <w:t>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2/3 clinical trials of evorpacept in combination with trastuzumab for gastric/GEJ carcinoma. As a result, the results of our clinical trials and the sales of our drugs may be affected by the availability of these third -party drugs. For instance, we entered into clinical trial collaboration and supply agreements with Eli Lilly, pursuant to which our collaboration counterparties will supply doses of ramucirumab for use in certain clinical trials. If the agreement with Eli Lilly is terminated before the trial is completed, we may need to find another source of ramucirumab in order to continue our trial.</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2240" w:h="15840" w:orient="portrait"/>
          <w:cols w:equalWidth="0" w:num="1">
            <w:col w:w="10720"/>
          </w:cols>
          <w:pgMar w:left="760" w:top="978" w:right="760" w:bottom="223" w:gutter="0" w:footer="0" w:header="0"/>
          <w:type w:val="continuous"/>
        </w:sectPr>
      </w:pPr>
    </w:p>
    <w:bookmarkStart w:id="56" w:name="page57"/>
    <w:bookmarkEnd w:id="56"/>
    <w:p>
      <w:pPr>
        <w:ind w:right="300" w:firstLine="486"/>
        <w:spacing w:after="0" w:line="245" w:lineRule="auto"/>
        <w:rPr>
          <w:sz w:val="20"/>
          <w:szCs w:val="20"/>
          <w:color w:val="auto"/>
        </w:rPr>
      </w:pPr>
      <w:r>
        <w:rPr>
          <w:rFonts w:ascii="Times New Roman" w:cs="Times New Roman" w:eastAsia="Times New Roman" w:hAnsi="Times New Roman"/>
          <w:sz w:val="20"/>
          <w:szCs w:val="20"/>
          <w:color w:val="auto"/>
        </w:rPr>
        <w:t>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8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9"/>
          <w:szCs w:val="19"/>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61"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20"/>
          <w:szCs w:val="20"/>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96" w:lineRule="exact"/>
        <w:rPr>
          <w:sz w:val="20"/>
          <w:szCs w:val="20"/>
          <w:color w:val="auto"/>
        </w:rPr>
      </w:pPr>
    </w:p>
    <w:p>
      <w:pPr>
        <w:ind w:right="40" w:firstLine="486"/>
        <w:spacing w:after="0" w:line="244" w:lineRule="auto"/>
        <w:rPr>
          <w:sz w:val="20"/>
          <w:szCs w:val="20"/>
          <w:color w:val="auto"/>
        </w:rPr>
      </w:pPr>
      <w:r>
        <w:rPr>
          <w:rFonts w:ascii="Times New Roman" w:cs="Times New Roman" w:eastAsia="Times New Roman" w:hAnsi="Times New Roman"/>
          <w:sz w:val="20"/>
          <w:szCs w:val="20"/>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w:t>
      </w:r>
    </w:p>
    <w:p>
      <w:pPr>
        <w:spacing w:after="0" w:line="82" w:lineRule="exact"/>
        <w:rPr>
          <w:sz w:val="20"/>
          <w:szCs w:val="20"/>
          <w:color w:val="auto"/>
        </w:rPr>
      </w:pPr>
    </w:p>
    <w:p>
      <w:pPr>
        <w:ind w:right="640" w:firstLine="486"/>
        <w:spacing w:after="0" w:line="274" w:lineRule="auto"/>
        <w:rPr>
          <w:sz w:val="20"/>
          <w:szCs w:val="20"/>
          <w:color w:val="auto"/>
        </w:rPr>
      </w:pPr>
      <w:r>
        <w:rPr>
          <w:rFonts w:ascii="Times New Roman" w:cs="Times New Roman" w:eastAsia="Times New Roman" w:hAnsi="Times New Roman"/>
          <w:sz w:val="20"/>
          <w:szCs w:val="20"/>
          <w:color w:val="auto"/>
        </w:rPr>
        <w:t>Our business also may be implicated if any of our CROs violates fraud and abuse or false claims laws and regulations or healthcare privacy and security laws.</w:t>
      </w:r>
    </w:p>
    <w:p>
      <w:pPr>
        <w:spacing w:after="0" w:line="51"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20"/>
          <w:szCs w:val="20"/>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89"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51"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20"/>
          <w:szCs w:val="20"/>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ALX2004 and any other product candidates, if any are approved, will depend on a number of factors, including, among others:</w:t>
      </w:r>
    </w:p>
    <w:p>
      <w:pPr>
        <w:spacing w:after="0" w:line="78" w:lineRule="exact"/>
        <w:rPr>
          <w:sz w:val="20"/>
          <w:szCs w:val="20"/>
          <w:color w:val="auto"/>
        </w:rPr>
      </w:pPr>
    </w:p>
    <w:p>
      <w:pPr>
        <w:ind w:left="960" w:right="40" w:hanging="477"/>
        <w:spacing w:after="0" w:line="261" w:lineRule="auto"/>
        <w:tabs>
          <w:tab w:leader="none" w:pos="960" w:val="left"/>
        </w:tabs>
        <w:numPr>
          <w:ilvl w:val="0"/>
          <w:numId w:val="3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ability of evorpacept, ALX2004, and our other product candidates to treat cancer or other applicable targeted diseases, as compared with other available drugs, treatments or therapies;</w:t>
      </w:r>
    </w:p>
    <w:p>
      <w:pPr>
        <w:sectPr>
          <w:pgSz w:w="12240" w:h="15840" w:orient="portrait"/>
          <w:cols w:equalWidth="0" w:num="1">
            <w:col w:w="10700"/>
          </w:cols>
          <w:pgMar w:left="760" w:top="978" w:right="780" w:bottom="223" w:gutter="0" w:footer="0" w:header="0"/>
        </w:sect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2240" w:h="15840" w:orient="portrait"/>
          <w:cols w:equalWidth="0" w:num="1">
            <w:col w:w="10700"/>
          </w:cols>
          <w:pgMar w:left="760" w:top="978" w:right="780" w:bottom="223" w:gutter="0" w:footer="0" w:header="0"/>
          <w:type w:val="continuous"/>
        </w:sectPr>
      </w:pPr>
    </w:p>
    <w:bookmarkStart w:id="57" w:name="page58"/>
    <w:bookmarkEnd w:id="57"/>
    <w:p>
      <w:pPr>
        <w:ind w:left="960" w:hanging="477"/>
        <w:spacing w:after="0"/>
        <w:tabs>
          <w:tab w:leader="none" w:pos="96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timing of market introduction of the product candidate as well as competitive products;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clinical indications for which a product candidate is approved;</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approval of other new therapies for the same indications;</w:t>
      </w:r>
    </w:p>
    <w:p>
      <w:pPr>
        <w:spacing w:after="0" w:line="104" w:lineRule="exact"/>
        <w:rPr>
          <w:rFonts w:ascii="PMingLiU" w:cs="PMingLiU" w:eastAsia="PMingLiU" w:hAnsi="PMingLiU"/>
          <w:sz w:val="20"/>
          <w:szCs w:val="20"/>
          <w:color w:val="auto"/>
        </w:rPr>
      </w:pPr>
    </w:p>
    <w:p>
      <w:pPr>
        <w:ind w:left="980" w:right="480" w:hanging="496"/>
        <w:spacing w:after="0" w:line="261" w:lineRule="auto"/>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prevalence and severity of any adverse side effects associated with evorpacept, ALX2004, and our other product candidates;</w:t>
      </w:r>
    </w:p>
    <w:p>
      <w:pPr>
        <w:spacing w:after="0" w:line="61" w:lineRule="exact"/>
        <w:rPr>
          <w:rFonts w:ascii="PMingLiU" w:cs="PMingLiU" w:eastAsia="PMingLiU" w:hAnsi="PMingLiU"/>
          <w:sz w:val="20"/>
          <w:szCs w:val="20"/>
          <w:color w:val="auto"/>
        </w:rPr>
      </w:pPr>
    </w:p>
    <w:p>
      <w:pPr>
        <w:ind w:left="980" w:right="140" w:hanging="496"/>
        <w:spacing w:after="0" w:line="261" w:lineRule="auto"/>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limitations or warnings contained in the labeling approved for evorpacept, ALX2004, or our other product candidates by the FDA or foreign regulatory authorities;</w:t>
      </w:r>
    </w:p>
    <w:p>
      <w:pPr>
        <w:spacing w:after="0" w:line="61" w:lineRule="exact"/>
        <w:rPr>
          <w:rFonts w:ascii="PMingLiU" w:cs="PMingLiU" w:eastAsia="PMingLiU" w:hAnsi="PMingLiU"/>
          <w:sz w:val="20"/>
          <w:szCs w:val="20"/>
          <w:color w:val="auto"/>
        </w:rPr>
      </w:pPr>
    </w:p>
    <w:p>
      <w:pPr>
        <w:ind w:left="980" w:hanging="496"/>
        <w:spacing w:after="0" w:line="261" w:lineRule="auto"/>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availability of alternative treatments and the potential and perceived advantages of our product candidates over alternative treatments;</w:t>
      </w:r>
    </w:p>
    <w:p>
      <w:pPr>
        <w:spacing w:after="0" w:line="61" w:lineRule="exact"/>
        <w:rPr>
          <w:rFonts w:ascii="PMingLiU" w:cs="PMingLiU" w:eastAsia="PMingLiU" w:hAnsi="PMingLiU"/>
          <w:sz w:val="20"/>
          <w:szCs w:val="20"/>
          <w:color w:val="auto"/>
        </w:rPr>
      </w:pPr>
    </w:p>
    <w:p>
      <w:pPr>
        <w:ind w:left="980" w:right="360" w:hanging="496"/>
        <w:spacing w:after="0" w:line="261" w:lineRule="auto"/>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size of the target patient population and the willingness of the target patient population to try new therapies and of physicians to prescribe these therapies;</w:t>
      </w:r>
    </w:p>
    <w:p>
      <w:pPr>
        <w:spacing w:after="0" w:line="61" w:lineRule="exact"/>
        <w:rPr>
          <w:rFonts w:ascii="PMingLiU" w:cs="PMingLiU" w:eastAsia="PMingLiU" w:hAnsi="PMingLiU"/>
          <w:sz w:val="20"/>
          <w:szCs w:val="20"/>
          <w:color w:val="auto"/>
        </w:rPr>
      </w:pPr>
    </w:p>
    <w:p>
      <w:pPr>
        <w:ind w:left="980" w:right="380" w:hanging="496"/>
        <w:spacing w:after="0" w:line="261" w:lineRule="auto"/>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strength and effectiveness of marketing and distribution support and timing of market introduction of competitive products;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publicity for our product candidates and competing products and treatments;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pricing and cost-effectiveness in relation to alternative treatments;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relative convenience and ease of administration;</w:t>
      </w:r>
    </w:p>
    <w:p>
      <w:pPr>
        <w:spacing w:after="0" w:line="104" w:lineRule="exact"/>
        <w:rPr>
          <w:rFonts w:ascii="PMingLiU" w:cs="PMingLiU" w:eastAsia="PMingLiU" w:hAnsi="PMingLiU"/>
          <w:sz w:val="20"/>
          <w:szCs w:val="20"/>
          <w:color w:val="auto"/>
        </w:rPr>
      </w:pPr>
    </w:p>
    <w:p>
      <w:pPr>
        <w:ind w:left="980" w:right="160" w:hanging="496"/>
        <w:spacing w:after="0" w:line="261" w:lineRule="auto"/>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obtain sufficient third-party coverage or reimbursement by government, insurers or third-party payors, and the willingness of patients to pay out-of-pocket in the absence of third-party coverage; and</w:t>
      </w:r>
    </w:p>
    <w:p>
      <w:pPr>
        <w:spacing w:after="0" w:line="61" w:lineRule="exact"/>
        <w:rPr>
          <w:rFonts w:ascii="PMingLiU" w:cs="PMingLiU" w:eastAsia="PMingLiU" w:hAnsi="PMingLiU"/>
          <w:sz w:val="20"/>
          <w:szCs w:val="20"/>
          <w:color w:val="auto"/>
        </w:rPr>
      </w:pPr>
    </w:p>
    <w:p>
      <w:pPr>
        <w:ind w:left="980" w:right="700" w:hanging="496"/>
        <w:spacing w:after="0" w:line="261" w:lineRule="auto"/>
        <w:tabs>
          <w:tab w:leader="none" w:pos="980" w:val="left"/>
        </w:tabs>
        <w:numPr>
          <w:ilvl w:val="0"/>
          <w:numId w:val="3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likelihood that the FDA or any foreign regulatory authority may impose additional requirements that limit the promotion, advertising, distribution or sales of our product candidates.</w:t>
      </w:r>
    </w:p>
    <w:p>
      <w:pPr>
        <w:spacing w:after="0" w:line="61" w:lineRule="exact"/>
        <w:rPr>
          <w:sz w:val="20"/>
          <w:szCs w:val="20"/>
          <w:color w:val="auto"/>
        </w:rPr>
      </w:pPr>
    </w:p>
    <w:p>
      <w:pPr>
        <w:ind w:right="80" w:firstLine="486"/>
        <w:spacing w:after="0" w:line="245" w:lineRule="auto"/>
        <w:rPr>
          <w:sz w:val="20"/>
          <w:szCs w:val="20"/>
          <w:color w:val="auto"/>
        </w:rPr>
      </w:pPr>
      <w:r>
        <w:rPr>
          <w:rFonts w:ascii="Times New Roman" w:cs="Times New Roman" w:eastAsia="Times New Roman" w:hAnsi="Times New Roman"/>
          <w:sz w:val="20"/>
          <w:szCs w:val="20"/>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ALX2004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81"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20"/>
          <w:szCs w:val="20"/>
          <w:color w:val="auto"/>
        </w:rPr>
        <w:t>If any of our product candidates is approved but does not achieve an adequate level of acceptance by patients, physicians and/or third-party payors, we may not generate sufficient revenue to become or remain profitable and our business may be harmed.</w:t>
      </w:r>
    </w:p>
    <w:p>
      <w:pPr>
        <w:spacing w:after="0" w:line="51" w:lineRule="exact"/>
        <w:rPr>
          <w:sz w:val="20"/>
          <w:szCs w:val="20"/>
          <w:color w:val="auto"/>
        </w:rPr>
      </w:pPr>
    </w:p>
    <w:p>
      <w:pPr>
        <w:ind w:right="8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51" w:lineRule="exact"/>
        <w:rPr>
          <w:sz w:val="20"/>
          <w:szCs w:val="20"/>
          <w:color w:val="auto"/>
        </w:rPr>
      </w:pPr>
    </w:p>
    <w:p>
      <w:pPr>
        <w:ind w:right="60" w:firstLine="487"/>
        <w:spacing w:after="0" w:line="256" w:lineRule="auto"/>
        <w:rPr>
          <w:sz w:val="20"/>
          <w:szCs w:val="20"/>
          <w:color w:val="auto"/>
        </w:rPr>
      </w:pPr>
      <w:r>
        <w:rPr>
          <w:rFonts w:ascii="Times New Roman" w:cs="Times New Roman" w:eastAsia="Times New Roman" w:hAnsi="Times New Roman"/>
          <w:sz w:val="20"/>
          <w:szCs w:val="20"/>
          <w:color w:val="auto"/>
        </w:rPr>
        <w:t>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w:t>
      </w:r>
    </w:p>
    <w:p>
      <w:pPr>
        <w:spacing w:after="0" w:line="69"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20"/>
          <w:szCs w:val="20"/>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48</w:t>
      </w:r>
    </w:p>
    <w:p>
      <w:pPr>
        <w:sectPr>
          <w:pgSz w:w="12240" w:h="15840" w:orient="portrait"/>
          <w:cols w:equalWidth="0" w:num="1">
            <w:col w:w="10680"/>
          </w:cols>
          <w:pgMar w:left="760" w:top="978" w:right="800" w:bottom="223" w:gutter="0" w:footer="0" w:header="0"/>
          <w:type w:val="continuous"/>
        </w:sectPr>
      </w:pPr>
    </w:p>
    <w:bookmarkStart w:id="58" w:name="page59"/>
    <w:bookmarkEnd w:id="58"/>
    <w:p>
      <w:pPr>
        <w:ind w:firstLine="487"/>
        <w:spacing w:after="0" w:line="242" w:lineRule="auto"/>
        <w:rPr>
          <w:sz w:val="20"/>
          <w:szCs w:val="20"/>
          <w:color w:val="auto"/>
        </w:rPr>
      </w:pPr>
      <w:r>
        <w:rPr>
          <w:rFonts w:ascii="Times New Roman" w:cs="Times New Roman" w:eastAsia="Times New Roman" w:hAnsi="Times New Roman"/>
          <w:sz w:val="20"/>
          <w:szCs w:val="20"/>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market opportunities for the product candidates we develop, if approved, may be limited to certain smaller patient subsets.</w:t>
      </w:r>
    </w:p>
    <w:p>
      <w:pPr>
        <w:spacing w:after="0" w:line="118" w:lineRule="exact"/>
        <w:rPr>
          <w:sz w:val="20"/>
          <w:szCs w:val="20"/>
          <w:color w:val="auto"/>
        </w:rPr>
      </w:pPr>
    </w:p>
    <w:p>
      <w:pPr>
        <w:jc w:val="both"/>
        <w:ind w:right="100" w:firstLine="486"/>
        <w:spacing w:after="0" w:line="250" w:lineRule="auto"/>
        <w:rPr>
          <w:sz w:val="20"/>
          <w:szCs w:val="20"/>
          <w:color w:val="auto"/>
        </w:rPr>
      </w:pPr>
      <w:r>
        <w:rPr>
          <w:rFonts w:ascii="Times New Roman" w:cs="Times New Roman" w:eastAsia="Times New Roman" w:hAnsi="Times New Roman"/>
          <w:sz w:val="20"/>
          <w:szCs w:val="20"/>
          <w:color w:val="auto"/>
        </w:rPr>
        <w:t>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w:t>
      </w:r>
    </w:p>
    <w:p>
      <w:pPr>
        <w:spacing w:after="0" w:line="7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75"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9"/>
          <w:szCs w:val="19"/>
          <w:color w:val="auto"/>
        </w:rPr>
        <w:t>Our product candidates, evorpacept and ALX2004, are at an early stage of clinical development and not all adverse effects can be predicted or anticipated. Unforeseen side effects from evorpacept, ALX2004, or any of our future product candidates may arise at any time during clinical development or, if approved by regulatory authorities, after the approved drug product has been marketed.</w:t>
      </w:r>
    </w:p>
    <w:p>
      <w:pPr>
        <w:spacing w:after="0" w:line="1"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0"/>
          <w:szCs w:val="20"/>
          <w:color w:val="auto"/>
        </w:rPr>
        <w:t>Any undesirable or unacceptable side effects of evorpacept, ALX2004,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88" w:lineRule="exact"/>
        <w:rPr>
          <w:sz w:val="20"/>
          <w:szCs w:val="20"/>
          <w:color w:val="auto"/>
        </w:rPr>
      </w:pPr>
    </w:p>
    <w:p>
      <w:pPr>
        <w:ind w:right="60" w:firstLine="486"/>
        <w:spacing w:after="0" w:line="274" w:lineRule="auto"/>
        <w:rPr>
          <w:sz w:val="20"/>
          <w:szCs w:val="20"/>
          <w:color w:val="auto"/>
        </w:rPr>
      </w:pPr>
      <w:r>
        <w:rPr>
          <w:rFonts w:ascii="Times New Roman" w:cs="Times New Roman" w:eastAsia="Times New Roman" w:hAnsi="Times New Roman"/>
          <w:sz w:val="20"/>
          <w:szCs w:val="20"/>
          <w:color w:val="auto"/>
        </w:rPr>
        <w:t>Even if any of our product candidates receive marketing approval, if we or others later identify undesirable or unacceptable side effects caused by such products:</w:t>
      </w:r>
    </w:p>
    <w:p>
      <w:pPr>
        <w:spacing w:after="0" w:line="51" w:lineRule="exact"/>
        <w:rPr>
          <w:sz w:val="20"/>
          <w:szCs w:val="20"/>
          <w:color w:val="auto"/>
        </w:rPr>
      </w:pPr>
    </w:p>
    <w:p>
      <w:pPr>
        <w:ind w:left="980" w:hanging="496"/>
        <w:spacing w:after="0"/>
        <w:tabs>
          <w:tab w:leader="none" w:pos="980" w:val="left"/>
        </w:tabs>
        <w:numPr>
          <w:ilvl w:val="0"/>
          <w:numId w:val="3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regulatory authorities may require us to take our approved product off the market;</w:t>
      </w:r>
    </w:p>
    <w:p>
      <w:pPr>
        <w:spacing w:after="0" w:line="104" w:lineRule="exact"/>
        <w:rPr>
          <w:rFonts w:ascii="PMingLiU" w:cs="PMingLiU" w:eastAsia="PMingLiU" w:hAnsi="PMingLiU"/>
          <w:sz w:val="20"/>
          <w:szCs w:val="20"/>
          <w:color w:val="auto"/>
        </w:rPr>
      </w:pPr>
    </w:p>
    <w:p>
      <w:pPr>
        <w:ind w:left="980" w:right="220" w:hanging="496"/>
        <w:spacing w:after="0" w:line="261" w:lineRule="auto"/>
        <w:tabs>
          <w:tab w:leader="none" w:pos="980" w:val="left"/>
        </w:tabs>
        <w:numPr>
          <w:ilvl w:val="0"/>
          <w:numId w:val="3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regulatory authorities may require the addition of labeling statements, specific warnings, contraindication, precaution or field alerts to physicians and pharmacies;</w:t>
      </w:r>
    </w:p>
    <w:p>
      <w:pPr>
        <w:spacing w:after="0" w:line="61" w:lineRule="exact"/>
        <w:rPr>
          <w:rFonts w:ascii="PMingLiU" w:cs="PMingLiU" w:eastAsia="PMingLiU" w:hAnsi="PMingLiU"/>
          <w:sz w:val="20"/>
          <w:szCs w:val="20"/>
          <w:color w:val="auto"/>
        </w:rPr>
      </w:pPr>
    </w:p>
    <w:p>
      <w:pPr>
        <w:ind w:left="960" w:right="620" w:hanging="477"/>
        <w:spacing w:after="0" w:line="261" w:lineRule="auto"/>
        <w:tabs>
          <w:tab w:leader="none" w:pos="960" w:val="left"/>
        </w:tabs>
        <w:numPr>
          <w:ilvl w:val="0"/>
          <w:numId w:val="3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may be required to change the way the product is administered, including changing the dose and/or schedule of administration, limit the patient population who can use the product or conduct additional clinical trials;</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3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may be subject to limitations on how we may promote the product;</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sales of the product may decrease significantly;</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may be subject to litigation or product liability claims; and</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reputation may suffer.</w:t>
      </w:r>
    </w:p>
    <w:p>
      <w:pPr>
        <w:spacing w:after="0" w:line="104" w:lineRule="exact"/>
        <w:rPr>
          <w:sz w:val="20"/>
          <w:szCs w:val="20"/>
          <w:color w:val="auto"/>
        </w:rPr>
      </w:pPr>
    </w:p>
    <w:p>
      <w:pPr>
        <w:ind w:right="280" w:firstLine="486"/>
        <w:spacing w:after="0" w:line="256"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2240" w:h="15840" w:orient="portrait"/>
          <w:cols w:equalWidth="0" w:num="1">
            <w:col w:w="10720"/>
          </w:cols>
          <w:pgMar w:left="760" w:top="978" w:right="760" w:bottom="223" w:gutter="0" w:footer="0" w:header="0"/>
          <w:type w:val="continuous"/>
        </w:sectPr>
      </w:pPr>
    </w:p>
    <w:bookmarkStart w:id="59" w:name="page60"/>
    <w:bookmarkEnd w:id="59"/>
    <w:p>
      <w:pPr>
        <w:ind w:right="5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51"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20"/>
          <w:szCs w:val="20"/>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88"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88"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20"/>
          <w:szCs w:val="20"/>
          <w:color w:val="auto"/>
        </w:rPr>
        <w:t>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82"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20"/>
          <w:szCs w:val="20"/>
          <w:color w:val="auto"/>
        </w:rPr>
        <w:t>Moreover, increasing efforts by governmental and third- 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84" w:lineRule="exact"/>
        <w:rPr>
          <w:sz w:val="20"/>
          <w:szCs w:val="20"/>
          <w:color w:val="auto"/>
        </w:rPr>
      </w:pPr>
    </w:p>
    <w:p>
      <w:pPr>
        <w:ind w:left="960" w:hanging="477"/>
        <w:spacing w:after="0"/>
        <w:tabs>
          <w:tab w:leader="none" w:pos="960" w:val="left"/>
        </w:tabs>
        <w:numPr>
          <w:ilvl w:val="0"/>
          <w:numId w:val="3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demand for any products for which we may obtain regulatory approval;</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set a price that we believe is fair for our products;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obtain and maintain coverage and adequate reimbursement for a product;</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generate revenue and achieve or maintain profitability; and</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level of taxes that we are required to pay.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w:t>
      </w:r>
    </w:p>
    <w:p>
      <w:pPr>
        <w:spacing w:after="0" w:line="118"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20"/>
          <w:szCs w:val="20"/>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50</w:t>
      </w:r>
    </w:p>
    <w:p>
      <w:pPr>
        <w:sectPr>
          <w:pgSz w:w="12240" w:h="15840" w:orient="portrait"/>
          <w:cols w:equalWidth="0" w:num="1">
            <w:col w:w="10680"/>
          </w:cols>
          <w:pgMar w:left="760" w:top="978" w:right="800" w:bottom="223"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122" w:lineRule="exact"/>
        <w:rPr>
          <w:sz w:val="20"/>
          <w:szCs w:val="20"/>
          <w:color w:val="auto"/>
        </w:rPr>
      </w:pPr>
    </w:p>
    <w:p>
      <w:pPr>
        <w:ind w:right="220"/>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26"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9"/>
          <w:szCs w:val="19"/>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980" w:hanging="496"/>
        <w:spacing w:after="0"/>
        <w:tabs>
          <w:tab w:leader="none" w:pos="980" w:val="left"/>
        </w:tabs>
        <w:numPr>
          <w:ilvl w:val="0"/>
          <w:numId w:val="3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restrictions on the marketing or manufacturing of the drug;</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withdrawal of the drug from the market or voluntary or mandatory product recalls;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adverse publicity, fines, warning letters or holds on clinical trials;</w:t>
      </w:r>
    </w:p>
    <w:p>
      <w:pPr>
        <w:spacing w:after="0" w:line="104" w:lineRule="exact"/>
        <w:rPr>
          <w:rFonts w:ascii="PMingLiU" w:cs="PMingLiU" w:eastAsia="PMingLiU" w:hAnsi="PMingLiU"/>
          <w:sz w:val="20"/>
          <w:szCs w:val="20"/>
          <w:color w:val="auto"/>
        </w:rPr>
      </w:pPr>
    </w:p>
    <w:p>
      <w:pPr>
        <w:ind w:left="960" w:right="600" w:hanging="477"/>
        <w:spacing w:after="0" w:line="261" w:lineRule="auto"/>
        <w:tabs>
          <w:tab w:leader="none" w:pos="960" w:val="left"/>
        </w:tabs>
        <w:numPr>
          <w:ilvl w:val="0"/>
          <w:numId w:val="3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refusal by the FDA or any other applicable regulatory authority to approve pending applications or supplements to approved applications filed by us, or suspension or revocation of product license approvals;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3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drug product seizure or detention, or refusal to permit the import or export of product candidates; and</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3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injunctions or the imposition of civil or criminal penalties.</w:t>
      </w:r>
    </w:p>
    <w:p>
      <w:pPr>
        <w:spacing w:after="0" w:line="104"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20"/>
          <w:szCs w:val="20"/>
          <w:color w:val="auto"/>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w:t>
      </w:r>
      <w:r>
        <w:rPr>
          <w:rFonts w:ascii="Times New Roman" w:cs="Times New Roman" w:eastAsia="Times New Roman" w:hAnsi="Times New Roman"/>
          <w:sz w:val="20"/>
          <w:szCs w:val="20"/>
          <w:i w:val="1"/>
          <w:iCs w:val="1"/>
          <w:color w:val="auto"/>
        </w:rPr>
        <w:t>Chevron</w:t>
      </w:r>
      <w:r>
        <w:rPr>
          <w:rFonts w:ascii="Times New Roman" w:cs="Times New Roman" w:eastAsia="Times New Roman" w:hAnsi="Times New Roman"/>
          <w:sz w:val="20"/>
          <w:szCs w:val="20"/>
          <w:color w:val="auto"/>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ectPr>
          <w:pgSz w:w="12240" w:h="15840" w:orient="portrait"/>
          <w:cols w:equalWidth="0" w:num="1">
            <w:col w:w="10660"/>
          </w:cols>
          <w:pgMar w:left="760" w:top="974" w:right="82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51</w:t>
      </w:r>
    </w:p>
    <w:p>
      <w:pPr>
        <w:sectPr>
          <w:pgSz w:w="12240" w:h="15840" w:orient="portrait"/>
          <w:cols w:equalWidth="0" w:num="1">
            <w:col w:w="10660"/>
          </w:cols>
          <w:pgMar w:left="760" w:top="974" w:right="820" w:bottom="223" w:gutter="0" w:footer="0" w:header="0"/>
          <w:type w:val="continuous"/>
        </w:sectPr>
      </w:pPr>
    </w:p>
    <w:bookmarkStart w:id="61" w:name="page62"/>
    <w:bookmarkEnd w:id="61"/>
    <w:p>
      <w:pPr>
        <w:ind w:right="8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75"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20"/>
          <w:szCs w:val="20"/>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ALX2004,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87" w:lineRule="exact"/>
        <w:rPr>
          <w:sz w:val="20"/>
          <w:szCs w:val="20"/>
          <w:color w:val="auto"/>
        </w:rPr>
      </w:pPr>
    </w:p>
    <w:p>
      <w:pPr>
        <w:ind w:right="140" w:firstLine="486"/>
        <w:spacing w:after="0" w:line="274" w:lineRule="auto"/>
        <w:rPr>
          <w:sz w:val="20"/>
          <w:szCs w:val="20"/>
          <w:color w:val="auto"/>
        </w:rPr>
      </w:pPr>
      <w:r>
        <w:rPr>
          <w:rFonts w:ascii="Times New Roman" w:cs="Times New Roman" w:eastAsia="Times New Roman" w:hAnsi="Times New Roman"/>
          <w:sz w:val="20"/>
          <w:szCs w:val="20"/>
          <w:color w:val="auto"/>
        </w:rPr>
        <w:t>Applications for our product candidates could fail to receive regulatory approval for many reasons, including but not limited to the following:</w:t>
      </w:r>
    </w:p>
    <w:p>
      <w:pPr>
        <w:spacing w:after="0" w:line="51" w:lineRule="exact"/>
        <w:rPr>
          <w:sz w:val="20"/>
          <w:szCs w:val="20"/>
          <w:color w:val="auto"/>
        </w:rPr>
      </w:pPr>
    </w:p>
    <w:p>
      <w:pPr>
        <w:ind w:left="980" w:right="40" w:hanging="496"/>
        <w:spacing w:after="0" w:line="261" w:lineRule="auto"/>
        <w:tabs>
          <w:tab w:leader="none" w:pos="98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FDA or comparable international regulatory authorities may disagree with the design, implementation or results of our clinical trials;</w:t>
      </w:r>
    </w:p>
    <w:p>
      <w:pPr>
        <w:spacing w:after="0" w:line="61" w:lineRule="exact"/>
        <w:rPr>
          <w:rFonts w:ascii="PMingLiU" w:cs="PMingLiU" w:eastAsia="PMingLiU" w:hAnsi="PMingLiU"/>
          <w:sz w:val="20"/>
          <w:szCs w:val="20"/>
          <w:color w:val="auto"/>
        </w:rPr>
      </w:pPr>
    </w:p>
    <w:p>
      <w:pPr>
        <w:ind w:left="980" w:right="180" w:hanging="496"/>
        <w:spacing w:after="0" w:line="249" w:lineRule="auto"/>
        <w:tabs>
          <w:tab w:leader="none" w:pos="98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74" w:lineRule="exact"/>
        <w:rPr>
          <w:rFonts w:ascii="PMingLiU" w:cs="PMingLiU" w:eastAsia="PMingLiU" w:hAnsi="PMingLiU"/>
          <w:sz w:val="20"/>
          <w:szCs w:val="20"/>
          <w:color w:val="auto"/>
        </w:rPr>
      </w:pPr>
    </w:p>
    <w:p>
      <w:pPr>
        <w:ind w:left="980" w:right="580" w:hanging="496"/>
        <w:spacing w:after="0" w:line="261" w:lineRule="auto"/>
        <w:tabs>
          <w:tab w:leader="none" w:pos="98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population studied in the clinical program may not be sufficiently broad or representative to assure efficacy and potency and safety in the full population for which we seek approval;</w:t>
      </w:r>
    </w:p>
    <w:p>
      <w:pPr>
        <w:spacing w:after="0" w:line="61" w:lineRule="exact"/>
        <w:rPr>
          <w:rFonts w:ascii="PMingLiU" w:cs="PMingLiU" w:eastAsia="PMingLiU" w:hAnsi="PMingLiU"/>
          <w:sz w:val="20"/>
          <w:szCs w:val="20"/>
          <w:color w:val="auto"/>
        </w:rPr>
      </w:pPr>
    </w:p>
    <w:p>
      <w:pPr>
        <w:ind w:left="980" w:right="200" w:hanging="496"/>
        <w:spacing w:after="0" w:line="261" w:lineRule="auto"/>
        <w:tabs>
          <w:tab w:leader="none" w:pos="98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FDA or comparable international regulatory authorities may disagree with our interpretation of data from preclinical studies or clinical trials;</w:t>
      </w:r>
    </w:p>
    <w:p>
      <w:pPr>
        <w:spacing w:after="0" w:line="61" w:lineRule="exact"/>
        <w:rPr>
          <w:rFonts w:ascii="PMingLiU" w:cs="PMingLiU" w:eastAsia="PMingLiU" w:hAnsi="PMingLiU"/>
          <w:sz w:val="20"/>
          <w:szCs w:val="20"/>
          <w:color w:val="auto"/>
        </w:rPr>
      </w:pPr>
    </w:p>
    <w:p>
      <w:pPr>
        <w:ind w:left="960" w:right="140" w:hanging="477"/>
        <w:spacing w:after="0" w:line="249" w:lineRule="auto"/>
        <w:tabs>
          <w:tab w:leader="none" w:pos="96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74" w:lineRule="exact"/>
        <w:rPr>
          <w:rFonts w:ascii="PMingLiU" w:cs="PMingLiU" w:eastAsia="PMingLiU" w:hAnsi="PMingLiU"/>
          <w:sz w:val="20"/>
          <w:szCs w:val="20"/>
          <w:color w:val="auto"/>
        </w:rPr>
      </w:pPr>
    </w:p>
    <w:p>
      <w:pPr>
        <w:ind w:left="980" w:right="40" w:hanging="496"/>
        <w:spacing w:after="0" w:line="261" w:lineRule="auto"/>
        <w:tabs>
          <w:tab w:leader="none" w:pos="98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may be unable to demonstrate to the FDA or comparable international regulatory authorities that a product candidate’s risk-benefit ratio for its proposed indication is acceptable;</w:t>
      </w:r>
    </w:p>
    <w:p>
      <w:pPr>
        <w:spacing w:after="0" w:line="61" w:lineRule="exact"/>
        <w:rPr>
          <w:rFonts w:ascii="PMingLiU" w:cs="PMingLiU" w:eastAsia="PMingLiU" w:hAnsi="PMingLiU"/>
          <w:sz w:val="20"/>
          <w:szCs w:val="20"/>
          <w:color w:val="auto"/>
        </w:rPr>
      </w:pPr>
    </w:p>
    <w:p>
      <w:pPr>
        <w:ind w:left="980" w:hanging="496"/>
        <w:spacing w:after="0" w:line="249" w:lineRule="auto"/>
        <w:tabs>
          <w:tab w:leader="none" w:pos="98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74" w:lineRule="exact"/>
        <w:rPr>
          <w:rFonts w:ascii="PMingLiU" w:cs="PMingLiU" w:eastAsia="PMingLiU" w:hAnsi="PMingLiU"/>
          <w:sz w:val="20"/>
          <w:szCs w:val="20"/>
          <w:color w:val="auto"/>
        </w:rPr>
      </w:pPr>
    </w:p>
    <w:p>
      <w:pPr>
        <w:ind w:left="980" w:right="100" w:hanging="496"/>
        <w:spacing w:after="0" w:line="261" w:lineRule="auto"/>
        <w:tabs>
          <w:tab w:leader="none" w:pos="980" w:val="left"/>
        </w:tabs>
        <w:numPr>
          <w:ilvl w:val="0"/>
          <w:numId w:val="3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approval policies or regulations of the FDA or international foreign regulatory authorities may significantly change in a manner rendering our clinical data insufficient for approval.</w:t>
      </w:r>
    </w:p>
    <w:p>
      <w:pPr>
        <w:spacing w:after="0" w:line="61" w:lineRule="exact"/>
        <w:rPr>
          <w:sz w:val="20"/>
          <w:szCs w:val="20"/>
          <w:color w:val="auto"/>
        </w:rPr>
      </w:pPr>
    </w:p>
    <w:p>
      <w:pPr>
        <w:ind w:right="280" w:firstLine="486"/>
        <w:spacing w:after="0" w:line="250" w:lineRule="auto"/>
        <w:rPr>
          <w:sz w:val="20"/>
          <w:szCs w:val="20"/>
          <w:color w:val="auto"/>
        </w:rPr>
      </w:pPr>
      <w:r>
        <w:rPr>
          <w:rFonts w:ascii="Times New Roman" w:cs="Times New Roman" w:eastAsia="Times New Roman" w:hAnsi="Times New Roman"/>
          <w:sz w:val="20"/>
          <w:szCs w:val="20"/>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2240" w:h="15840" w:orient="portrait"/>
          <w:cols w:equalWidth="0" w:num="1">
            <w:col w:w="10720"/>
          </w:cols>
          <w:pgMar w:left="760" w:top="978" w:right="760" w:bottom="223" w:gutter="0" w:footer="0" w:header="0"/>
          <w:type w:val="continuous"/>
        </w:sectPr>
      </w:pPr>
    </w:p>
    <w:bookmarkStart w:id="62" w:name="page63"/>
    <w:bookmarkEnd w:id="62"/>
    <w:p>
      <w:pPr>
        <w:ind w:firstLine="486"/>
        <w:spacing w:after="0" w:line="244" w:lineRule="auto"/>
        <w:rPr>
          <w:sz w:val="20"/>
          <w:szCs w:val="20"/>
          <w:color w:val="auto"/>
        </w:rPr>
      </w:pPr>
      <w:r>
        <w:rPr>
          <w:rFonts w:ascii="Times New Roman" w:cs="Times New Roman" w:eastAsia="Times New Roman" w:hAnsi="Times New Roman"/>
          <w:sz w:val="20"/>
          <w:szCs w:val="20"/>
          <w:color w:val="auto"/>
        </w:rPr>
        <w:t>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81"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20"/>
          <w:szCs w:val="20"/>
          <w:color w:val="auto"/>
        </w:rPr>
        <w:t>Further, under the new leadership at the HHS, reorganization of that department, departure of senior leadership at the FDA and other agencies under HHS, mass layoffs at HHS, government shutdown, and a lapse in U.S. government appropriations may impact operations at the FDA as well as other federal agencies, which can materially delay our timelines. The FDA may lack adequate staff and resources to meet current review, approval, and inspection schedules, which could delay our anticipated timelines. These new policies are also expected to lead to fewer agency guidance documents that could result in interference with FDA programs or lead to delays or refusals to approve products.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or regulations implemented under the current presidential administration and the new FDA commissioner or other executive orders. To the extent the agency reorganization and other agency changes lead to disruptions in the FDA’s operations, our interactions, correspondence, and regulatory review processes with the FDA may be delayed.</w:t>
      </w:r>
    </w:p>
    <w:p>
      <w:pPr>
        <w:spacing w:after="0" w:line="81" w:lineRule="exact"/>
        <w:rPr>
          <w:sz w:val="20"/>
          <w:szCs w:val="20"/>
          <w:color w:val="auto"/>
        </w:rPr>
      </w:pPr>
    </w:p>
    <w:p>
      <w:pPr>
        <w:ind w:right="160"/>
        <w:spacing w:after="0" w:line="302" w:lineRule="auto"/>
        <w:rPr>
          <w:sz w:val="20"/>
          <w:szCs w:val="20"/>
          <w:color w:val="auto"/>
        </w:rPr>
      </w:pPr>
      <w:r>
        <w:rPr>
          <w:rFonts w:ascii="Times New Roman" w:cs="Times New Roman" w:eastAsia="Times New Roman" w:hAnsi="Times New Roman"/>
          <w:sz w:val="19"/>
          <w:szCs w:val="19"/>
          <w:b w:val="1"/>
          <w:bCs w:val="1"/>
          <w:i w:val="1"/>
          <w:iCs w:val="1"/>
          <w:color w:val="auto"/>
        </w:rPr>
        <w:t>While we have received certain FDA Fast Track designations, such Fast Track designations may not lead to a faster development or regulatory review or approval process, and do not increase the likelihood that the drug will receive marketing approval.</w:t>
      </w:r>
    </w:p>
    <w:p>
      <w:pPr>
        <w:spacing w:after="0" w:line="26"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2240" w:h="15840" w:orient="portrait"/>
          <w:cols w:equalWidth="0" w:num="1">
            <w:col w:w="10720"/>
          </w:cols>
          <w:pgMar w:left="760" w:top="978" w:right="760" w:bottom="223" w:gutter="0" w:footer="0" w:header="0"/>
          <w:type w:val="continuous"/>
        </w:sectPr>
      </w:pPr>
    </w:p>
    <w:bookmarkStart w:id="63" w:name="page64"/>
    <w:bookmarkEnd w:id="63"/>
    <w:p>
      <w:pPr>
        <w:ind w:right="2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spacing w:after="0" w:line="69" w:lineRule="exact"/>
        <w:rPr>
          <w:sz w:val="20"/>
          <w:szCs w:val="20"/>
          <w:color w:val="auto"/>
        </w:rPr>
      </w:pPr>
    </w:p>
    <w:p>
      <w:pPr>
        <w:ind w:right="20" w:firstLine="486"/>
        <w:spacing w:after="0" w:line="239" w:lineRule="auto"/>
        <w:rPr>
          <w:sz w:val="20"/>
          <w:szCs w:val="20"/>
          <w:color w:val="auto"/>
        </w:rPr>
      </w:pPr>
      <w:r>
        <w:rPr>
          <w:rFonts w:ascii="Times New Roman" w:cs="Times New Roman" w:eastAsia="Times New Roman" w:hAnsi="Times New Roman"/>
          <w:sz w:val="20"/>
          <w:szCs w:val="20"/>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The Consolidated Appropriations Act of 2026, signed into law in February 2026, codified this longstanding FDA interpretation of the Orphan Drug Act, allowing the FDA to approve multiple versions of the same orphan drug for different subindications and subpopulations. Changes in the leadership of the FDA and other federal agencies under the current U.S. presidential administration may also lead to new policies and changes in the regulations and operations of the FDA, which may impact our clinical development plans.</w:t>
      </w:r>
    </w:p>
    <w:p>
      <w:pPr>
        <w:spacing w:after="0" w:line="10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9"/>
          <w:szCs w:val="19"/>
          <w:color w:val="auto"/>
        </w:rPr>
        <w:t>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w:t>
      </w:r>
    </w:p>
    <w:p>
      <w:pPr>
        <w:spacing w:after="0" w:line="6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51"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20"/>
          <w:szCs w:val="20"/>
          <w:color w:val="auto"/>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w:t>
      </w:r>
      <w:r>
        <w:rPr>
          <w:rFonts w:ascii="Times New Roman" w:cs="Times New Roman" w:eastAsia="Times New Roman" w:hAnsi="Times New Roman"/>
          <w:sz w:val="20"/>
          <w:szCs w:val="20"/>
          <w:i w:val="1"/>
          <w:iCs w:val="1"/>
          <w:color w:val="auto"/>
        </w:rPr>
        <w:t>Chevron</w:t>
      </w:r>
      <w:r>
        <w:rPr>
          <w:rFonts w:ascii="Times New Roman" w:cs="Times New Roman" w:eastAsia="Times New Roman" w:hAnsi="Times New Roman"/>
          <w:sz w:val="20"/>
          <w:szCs w:val="20"/>
          <w:color w:val="auto"/>
        </w:rPr>
        <w:t xml:space="preserve"> doctrine, which may invite more companies and other stakeholders to bring lawsuits against the FDA to challenge longstanding decisions and policies of the FDA and other federal agencies, which could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5"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20"/>
          <w:szCs w:val="20"/>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81" w:lineRule="exact"/>
        <w:rPr>
          <w:sz w:val="20"/>
          <w:szCs w:val="20"/>
          <w:color w:val="auto"/>
        </w:rPr>
      </w:pPr>
    </w:p>
    <w:p>
      <w:pPr>
        <w:ind w:left="960" w:hanging="477"/>
        <w:spacing w:after="0"/>
        <w:tabs>
          <w:tab w:leader="none" w:pos="960" w:val="left"/>
        </w:tabs>
        <w:numPr>
          <w:ilvl w:val="0"/>
          <w:numId w:val="3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demand for our drugs, if we obtain regulatory approval;</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receive or set a price that we believe is fair for our drugs;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2240" w:h="15840" w:orient="portrait"/>
          <w:cols w:equalWidth="0" w:num="1">
            <w:col w:w="10720"/>
          </w:cols>
          <w:pgMar w:left="760" w:top="978" w:right="760" w:bottom="223" w:gutter="0" w:footer="0" w:header="0"/>
          <w:type w:val="continuous"/>
        </w:sectPr>
      </w:pPr>
    </w:p>
    <w:bookmarkStart w:id="64" w:name="page65"/>
    <w:bookmarkEnd w:id="64"/>
    <w:p>
      <w:pPr>
        <w:ind w:left="960" w:hanging="477"/>
        <w:spacing w:after="0"/>
        <w:tabs>
          <w:tab w:leader="none" w:pos="960" w:val="left"/>
        </w:tabs>
        <w:numPr>
          <w:ilvl w:val="0"/>
          <w:numId w:val="3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generate revenue and achieve or maintain profitability;</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level of taxes that we are required to pay; and</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3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availability of capital.</w:t>
      </w:r>
    </w:p>
    <w:p>
      <w:pPr>
        <w:spacing w:after="0" w:line="104"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20"/>
          <w:szCs w:val="20"/>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w:t>
      </w:r>
    </w:p>
    <w:p>
      <w:pPr>
        <w:spacing w:after="0" w:line="88" w:lineRule="exact"/>
        <w:rPr>
          <w:sz w:val="20"/>
          <w:szCs w:val="20"/>
          <w:color w:val="auto"/>
        </w:rPr>
      </w:pPr>
    </w:p>
    <w:p>
      <w:pPr>
        <w:ind w:firstLine="486"/>
        <w:spacing w:after="0" w:line="276" w:lineRule="auto"/>
        <w:rPr>
          <w:sz w:val="20"/>
          <w:szCs w:val="20"/>
          <w:color w:val="auto"/>
        </w:rPr>
      </w:pPr>
      <w:r>
        <w:rPr>
          <w:rFonts w:ascii="Times New Roman" w:cs="Times New Roman" w:eastAsia="Times New Roman" w:hAnsi="Times New Roman"/>
          <w:sz w:val="19"/>
          <w:szCs w:val="19"/>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w:t>
      </w:r>
    </w:p>
    <w:p>
      <w:pPr>
        <w:spacing w:after="0" w:line="5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9"/>
          <w:szCs w:val="19"/>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Centers for Medicare &amp; Medicaid Services, or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price and directing the U.S. Trade Representative and Secretary of Commerce to take action to ensure foreign countries are not engaged in practices that purposefully and unfairly undercut market prices and drive price hikes in the United States. The One Big Beautiful Bill Act, which was signed into law in July 2025,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Government agreements with pharmaceutical companies and other measures that use most-favored-nation pricing targets for prescription drugs, including the use of international pricing reference to set drug prices in the United States, or that increase generic and biosimilar drug entry sooner than expected, can have a material adverse effect on our industry, ability to set adequate pricing for new drugs to recover R&amp;D costs, ability to attract potential investors and potential buyers in the future. We cannot predict the full impact of the executive orders focused on reducing prescription drug prices or increasing domestic drug manufacturing capacity, or other measures that may be implemented by the current administration related to drug pricing, drug supply chain and manufacturing in the United States. The impact of ongoing and future judicial challenges as well as other legislative, executive, and administrative actions and agency rules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2240" w:h="15840" w:orient="portrait"/>
          <w:cols w:equalWidth="0" w:num="1">
            <w:col w:w="10720"/>
          </w:cols>
          <w:pgMar w:left="760" w:top="978" w:right="760" w:bottom="223" w:gutter="0" w:footer="0" w:header="0"/>
          <w:type w:val="continuous"/>
        </w:sectPr>
      </w:pPr>
    </w:p>
    <w:bookmarkStart w:id="65" w:name="page66"/>
    <w:bookmarkEnd w:id="65"/>
    <w:p>
      <w:pPr>
        <w:ind w:right="140"/>
        <w:spacing w:after="0" w:line="256" w:lineRule="auto"/>
        <w:rPr>
          <w:sz w:val="20"/>
          <w:szCs w:val="20"/>
          <w:color w:val="auto"/>
        </w:rPr>
      </w:pPr>
      <w:r>
        <w:rPr>
          <w:rFonts w:ascii="Times New Roman" w:cs="Times New Roman" w:eastAsia="Times New Roman" w:hAnsi="Times New Roman"/>
          <w:sz w:val="20"/>
          <w:szCs w:val="20"/>
          <w:color w:val="auto"/>
        </w:rPr>
        <w:t>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69"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81"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20"/>
          <w:szCs w:val="20"/>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81" w:lineRule="exact"/>
        <w:rPr>
          <w:sz w:val="20"/>
          <w:szCs w:val="20"/>
          <w:color w:val="auto"/>
        </w:rPr>
      </w:pPr>
    </w:p>
    <w:p>
      <w:pPr>
        <w:ind w:right="80" w:firstLine="486"/>
        <w:spacing w:after="0" w:line="243" w:lineRule="auto"/>
        <w:rPr>
          <w:sz w:val="20"/>
          <w:szCs w:val="20"/>
          <w:color w:val="auto"/>
        </w:rPr>
      </w:pPr>
      <w:r>
        <w:rPr>
          <w:rFonts w:ascii="Times New Roman" w:cs="Times New Roman" w:eastAsia="Times New Roman" w:hAnsi="Times New Roman"/>
          <w:sz w:val="20"/>
          <w:szCs w:val="20"/>
          <w:color w:val="auto"/>
        </w:rPr>
        <w:t>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84"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20"/>
          <w:szCs w:val="20"/>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82"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20"/>
          <w:szCs w:val="20"/>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2240" w:h="15840" w:orient="portrait"/>
          <w:cols w:equalWidth="0" w:num="1">
            <w:col w:w="10720"/>
          </w:cols>
          <w:pgMar w:left="760" w:top="978" w:right="760" w:bottom="223" w:gutter="0" w:footer="0" w:header="0"/>
          <w:type w:val="continuous"/>
        </w:sectPr>
      </w:pPr>
    </w:p>
    <w:bookmarkStart w:id="66" w:name="page67"/>
    <w:bookmarkEnd w:id="66"/>
    <w:p>
      <w:pPr>
        <w:ind w:right="4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9"/>
          <w:szCs w:val="19"/>
          <w:color w:val="auto"/>
        </w:rPr>
        <w:t>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68" w:lineRule="exact"/>
        <w:rPr>
          <w:sz w:val="20"/>
          <w:szCs w:val="20"/>
          <w:color w:val="auto"/>
        </w:rPr>
      </w:pPr>
    </w:p>
    <w:p>
      <w:pPr>
        <w:ind w:left="960" w:right="260" w:hanging="477"/>
        <w:spacing w:after="0" w:line="242" w:lineRule="auto"/>
        <w:tabs>
          <w:tab w:leader="none" w:pos="960" w:val="left"/>
        </w:tabs>
        <w:numPr>
          <w:ilvl w:val="0"/>
          <w:numId w:val="4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w:t>
      </w:r>
    </w:p>
    <w:p>
      <w:pPr>
        <w:spacing w:after="0" w:line="81" w:lineRule="exact"/>
        <w:rPr>
          <w:rFonts w:ascii="PMingLiU" w:cs="PMingLiU" w:eastAsia="PMingLiU" w:hAnsi="PMingLiU"/>
          <w:sz w:val="20"/>
          <w:szCs w:val="20"/>
          <w:color w:val="auto"/>
        </w:rPr>
      </w:pPr>
    </w:p>
    <w:p>
      <w:pPr>
        <w:ind w:left="980" w:right="140" w:hanging="496"/>
        <w:spacing w:after="0" w:line="242" w:lineRule="auto"/>
        <w:tabs>
          <w:tab w:leader="none" w:pos="980" w:val="left"/>
        </w:tabs>
        <w:numPr>
          <w:ilvl w:val="0"/>
          <w:numId w:val="4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85" w:lineRule="exact"/>
        <w:rPr>
          <w:rFonts w:ascii="PMingLiU" w:cs="PMingLiU" w:eastAsia="PMingLiU" w:hAnsi="PMingLiU"/>
          <w:sz w:val="20"/>
          <w:szCs w:val="20"/>
          <w:color w:val="auto"/>
        </w:rPr>
      </w:pPr>
    </w:p>
    <w:p>
      <w:pPr>
        <w:ind w:left="960" w:right="20" w:hanging="477"/>
        <w:spacing w:after="0" w:line="242" w:lineRule="auto"/>
        <w:tabs>
          <w:tab w:leader="none" w:pos="960" w:val="left"/>
        </w:tabs>
        <w:numPr>
          <w:ilvl w:val="0"/>
          <w:numId w:val="4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85" w:lineRule="exact"/>
        <w:rPr>
          <w:rFonts w:ascii="PMingLiU" w:cs="PMingLiU" w:eastAsia="PMingLiU" w:hAnsi="PMingLiU"/>
          <w:sz w:val="20"/>
          <w:szCs w:val="20"/>
          <w:color w:val="auto"/>
        </w:rPr>
      </w:pPr>
    </w:p>
    <w:p>
      <w:pPr>
        <w:ind w:left="980" w:right="60" w:hanging="491"/>
        <w:spacing w:after="0" w:line="242" w:lineRule="auto"/>
        <w:tabs>
          <w:tab w:leader="none" w:pos="980" w:val="left"/>
        </w:tabs>
        <w:numPr>
          <w:ilvl w:val="0"/>
          <w:numId w:val="4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5" w:lineRule="exact"/>
        <w:rPr>
          <w:rFonts w:ascii="PMingLiU" w:cs="PMingLiU" w:eastAsia="PMingLiU" w:hAnsi="PMingLiU"/>
          <w:sz w:val="20"/>
          <w:szCs w:val="20"/>
          <w:color w:val="auto"/>
        </w:rPr>
      </w:pPr>
    </w:p>
    <w:p>
      <w:pPr>
        <w:ind w:left="980" w:right="80" w:hanging="491"/>
        <w:spacing w:after="0" w:line="241" w:lineRule="auto"/>
        <w:tabs>
          <w:tab w:leader="none" w:pos="980" w:val="left"/>
        </w:tabs>
        <w:numPr>
          <w:ilvl w:val="0"/>
          <w:numId w:val="4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w:t>
      </w:r>
    </w:p>
    <w:p>
      <w:pPr>
        <w:spacing w:after="0" w:line="83" w:lineRule="exact"/>
        <w:rPr>
          <w:rFonts w:ascii="PMingLiU" w:cs="PMingLiU" w:eastAsia="PMingLiU" w:hAnsi="PMingLiU"/>
          <w:sz w:val="20"/>
          <w:szCs w:val="20"/>
          <w:color w:val="auto"/>
        </w:rPr>
      </w:pPr>
    </w:p>
    <w:p>
      <w:pPr>
        <w:ind w:left="980" w:right="200" w:hanging="491"/>
        <w:spacing w:after="0" w:line="261" w:lineRule="auto"/>
        <w:tabs>
          <w:tab w:leader="none" w:pos="980" w:val="left"/>
        </w:tabs>
        <w:numPr>
          <w:ilvl w:val="0"/>
          <w:numId w:val="4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U.S. Federal Food, Drug and Cosmetic Act prohibits, among other things, the adulteration or misbranding of drugs, biologics and medical devices.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2240" w:h="15840" w:orient="portrait"/>
          <w:cols w:equalWidth="0" w:num="1">
            <w:col w:w="10720"/>
          </w:cols>
          <w:pgMar w:left="760" w:top="978" w:right="760" w:bottom="223" w:gutter="0" w:footer="0" w:header="0"/>
          <w:type w:val="continuous"/>
        </w:sectPr>
      </w:pPr>
    </w:p>
    <w:bookmarkStart w:id="67" w:name="page68"/>
    <w:bookmarkEnd w:id="67"/>
    <w:p>
      <w:pPr>
        <w:ind w:left="980" w:right="160" w:hanging="491"/>
        <w:spacing w:after="0" w:line="242" w:lineRule="auto"/>
        <w:tabs>
          <w:tab w:leader="none" w:pos="980" w:val="left"/>
        </w:tabs>
        <w:numPr>
          <w:ilvl w:val="0"/>
          <w:numId w:val="4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spacing w:after="0" w:line="81" w:lineRule="exact"/>
        <w:rPr>
          <w:rFonts w:ascii="PMingLiU" w:cs="PMingLiU" w:eastAsia="PMingLiU" w:hAnsi="PMingLiU"/>
          <w:sz w:val="20"/>
          <w:szCs w:val="20"/>
          <w:color w:val="auto"/>
        </w:rPr>
      </w:pPr>
    </w:p>
    <w:p>
      <w:pPr>
        <w:ind w:left="980" w:right="100" w:hanging="491"/>
        <w:spacing w:after="0" w:line="242" w:lineRule="auto"/>
        <w:tabs>
          <w:tab w:leader="none" w:pos="980" w:val="left"/>
        </w:tabs>
        <w:numPr>
          <w:ilvl w:val="0"/>
          <w:numId w:val="4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81" w:lineRule="exact"/>
        <w:rPr>
          <w:rFonts w:ascii="PMingLiU" w:cs="PMingLiU" w:eastAsia="PMingLiU" w:hAnsi="PMingLiU"/>
          <w:sz w:val="20"/>
          <w:szCs w:val="20"/>
          <w:color w:val="auto"/>
        </w:rPr>
      </w:pPr>
    </w:p>
    <w:p>
      <w:pPr>
        <w:ind w:left="960" w:right="40" w:hanging="477"/>
        <w:spacing w:after="0"/>
        <w:tabs>
          <w:tab w:leader="none" w:pos="960" w:val="left"/>
        </w:tabs>
        <w:numPr>
          <w:ilvl w:val="0"/>
          <w:numId w:val="4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89" w:lineRule="exact"/>
        <w:rPr>
          <w:rFonts w:ascii="PMingLiU" w:cs="PMingLiU" w:eastAsia="PMingLiU" w:hAnsi="PMingLiU"/>
          <w:sz w:val="20"/>
          <w:szCs w:val="20"/>
          <w:color w:val="auto"/>
        </w:rPr>
      </w:pPr>
    </w:p>
    <w:p>
      <w:pPr>
        <w:ind w:left="980" w:right="560" w:hanging="496"/>
        <w:spacing w:after="0" w:line="261" w:lineRule="auto"/>
        <w:tabs>
          <w:tab w:leader="none" w:pos="980" w:val="left"/>
        </w:tabs>
        <w:numPr>
          <w:ilvl w:val="0"/>
          <w:numId w:val="4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European and other foreign law equivalents of each of the laws also impose legal requirements, including reporting requirements detailing interactions with and payments to healthcare providers.</w:t>
      </w:r>
    </w:p>
    <w:p>
      <w:pPr>
        <w:spacing w:after="0" w:line="61"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ectPr>
          <w:pgSz w:w="12240" w:h="15840" w:orient="portrait"/>
          <w:cols w:equalWidth="0" w:num="1">
            <w:col w:w="10700"/>
          </w:cols>
          <w:pgMar w:left="760" w:top="978"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2240" w:h="15840" w:orient="portrait"/>
          <w:cols w:equalWidth="0" w:num="1">
            <w:col w:w="10700"/>
          </w:cols>
          <w:pgMar w:left="760" w:top="978" w:right="780" w:bottom="223" w:gutter="0" w:footer="0" w:header="0"/>
          <w:type w:val="continuous"/>
        </w:sectPr>
      </w:pPr>
    </w:p>
    <w:bookmarkStart w:id="68" w:name="page69"/>
    <w:bookmarkEnd w:id="68"/>
    <w:p>
      <w:pPr>
        <w:jc w:val="both"/>
        <w:ind w:right="1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69"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20"/>
          <w:szCs w:val="20"/>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96" w:lineRule="exact"/>
        <w:rPr>
          <w:sz w:val="20"/>
          <w:szCs w:val="20"/>
          <w:color w:val="auto"/>
        </w:rPr>
      </w:pPr>
    </w:p>
    <w:p>
      <w:pPr>
        <w:ind w:right="3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we do not comply with laws regulating the protection of the environment and health and human safety, our business could be adversely affected.</w:t>
      </w:r>
    </w:p>
    <w:p>
      <w:pPr>
        <w:spacing w:after="0" w:line="51"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9"/>
          <w:szCs w:val="19"/>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80"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9"/>
          <w:szCs w:val="19"/>
          <w:color w:val="auto"/>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2240" w:h="15840" w:orient="portrait"/>
          <w:cols w:equalWidth="0" w:num="1">
            <w:col w:w="10720"/>
          </w:cols>
          <w:pgMar w:left="760" w:top="978" w:right="760" w:bottom="223" w:gutter="0" w:footer="0" w:header="0"/>
          <w:type w:val="continuous"/>
        </w:sectPr>
      </w:pPr>
    </w:p>
    <w:bookmarkStart w:id="69" w:name="page70"/>
    <w:bookmarkEnd w:id="69"/>
    <w:p>
      <w:pPr>
        <w:ind w:right="2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69" w:lineRule="exact"/>
        <w:rPr>
          <w:sz w:val="20"/>
          <w:szCs w:val="20"/>
          <w:color w:val="auto"/>
        </w:rPr>
      </w:pPr>
    </w:p>
    <w:p>
      <w:pPr>
        <w:ind w:right="20" w:firstLine="486"/>
        <w:spacing w:after="0" w:line="243" w:lineRule="auto"/>
        <w:rPr>
          <w:sz w:val="20"/>
          <w:szCs w:val="20"/>
          <w:color w:val="auto"/>
        </w:rPr>
      </w:pPr>
      <w:r>
        <w:rPr>
          <w:rFonts w:ascii="Times New Roman" w:cs="Times New Roman" w:eastAsia="Times New Roman" w:hAnsi="Times New Roman"/>
          <w:sz w:val="20"/>
          <w:szCs w:val="20"/>
          <w:color w:val="auto"/>
        </w:rPr>
        <w:t>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84" w:lineRule="exact"/>
        <w:rPr>
          <w:sz w:val="20"/>
          <w:szCs w:val="20"/>
          <w:color w:val="auto"/>
        </w:rPr>
      </w:pPr>
    </w:p>
    <w:p>
      <w:pPr>
        <w:ind w:right="20" w:firstLine="486"/>
        <w:spacing w:after="0"/>
        <w:rPr>
          <w:sz w:val="20"/>
          <w:szCs w:val="20"/>
          <w:color w:val="auto"/>
        </w:rPr>
      </w:pPr>
      <w:r>
        <w:rPr>
          <w:rFonts w:ascii="Times New Roman" w:cs="Times New Roman" w:eastAsia="Times New Roman" w:hAnsi="Times New Roman"/>
          <w:sz w:val="20"/>
          <w:szCs w:val="20"/>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96" w:lineRule="exact"/>
        <w:rPr>
          <w:sz w:val="20"/>
          <w:szCs w:val="20"/>
          <w:color w:val="auto"/>
        </w:rPr>
      </w:pPr>
    </w:p>
    <w:p>
      <w:pPr>
        <w:ind w:right="20" w:firstLine="487"/>
        <w:spacing w:after="0" w:line="245" w:lineRule="auto"/>
        <w:rPr>
          <w:sz w:val="20"/>
          <w:szCs w:val="20"/>
          <w:color w:val="auto"/>
        </w:rPr>
      </w:pPr>
      <w:r>
        <w:rPr>
          <w:rFonts w:ascii="Times New Roman" w:cs="Times New Roman" w:eastAsia="Times New Roman" w:hAnsi="Times New Roman"/>
          <w:sz w:val="20"/>
          <w:szCs w:val="20"/>
          <w:color w:val="auto"/>
        </w:rPr>
        <w:t>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spacing w:after="0" w:line="6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20"/>
          <w:szCs w:val="20"/>
          <w:color w:val="auto"/>
        </w:rPr>
        <w:t>We may collect, process, use or transfer personal information from individuals located in the European Economic Area, or EEA, Switzerland and the United Kingdom in connection with our business, including in connection with conducting clinical trials in these regions.</w:t>
      </w:r>
    </w:p>
    <w:p>
      <w:pPr>
        <w:spacing w:after="0" w:line="69" w:lineRule="exact"/>
        <w:rPr>
          <w:sz w:val="20"/>
          <w:szCs w:val="20"/>
          <w:color w:val="auto"/>
        </w:rPr>
      </w:pPr>
    </w:p>
    <w:p>
      <w:pPr>
        <w:ind w:right="100" w:firstLine="486"/>
        <w:spacing w:after="0" w:line="242" w:lineRule="auto"/>
        <w:rPr>
          <w:sz w:val="20"/>
          <w:szCs w:val="20"/>
          <w:color w:val="auto"/>
        </w:rPr>
      </w:pPr>
      <w:r>
        <w:rPr>
          <w:rFonts w:ascii="Times New Roman" w:cs="Times New Roman" w:eastAsia="Times New Roman" w:hAnsi="Times New Roman"/>
          <w:sz w:val="20"/>
          <w:szCs w:val="20"/>
          <w:color w:val="auto"/>
        </w:rPr>
        <w:t>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General Data Protection Regulation, or, together with the UK’s Data Protection Act 2018,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w:t>
      </w:r>
    </w:p>
    <w:p>
      <w:pPr>
        <w:spacing w:after="0" w:line="8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20"/>
          <w:szCs w:val="20"/>
          <w:color w:val="auto"/>
        </w:rPr>
        <w:t>Any actual or alleged failure to comply with the GDPR, UK GDPR, FADP, or other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spacing w:after="0" w:line="69" w:lineRule="exact"/>
        <w:rPr>
          <w:sz w:val="20"/>
          <w:szCs w:val="20"/>
          <w:color w:val="auto"/>
        </w:rPr>
      </w:pPr>
    </w:p>
    <w:p>
      <w:pPr>
        <w:ind w:right="300" w:firstLine="486"/>
        <w:spacing w:after="0" w:line="274" w:lineRule="auto"/>
        <w:rPr>
          <w:sz w:val="20"/>
          <w:szCs w:val="20"/>
          <w:color w:val="auto"/>
        </w:rPr>
      </w:pPr>
      <w:r>
        <w:rPr>
          <w:rFonts w:ascii="Times New Roman" w:cs="Times New Roman" w:eastAsia="Times New Roman" w:hAnsi="Times New Roman"/>
          <w:sz w:val="20"/>
          <w:szCs w:val="20"/>
          <w:color w:val="auto"/>
        </w:rPr>
        <w:t>The GDPR, UK GDPR and FADP also restrict the transfer of personal information outside of the EEA, United Kingdom and Switzerland, respectively, unless appropriate safeguards are in place.</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2240" w:h="15840" w:orient="portrait"/>
          <w:cols w:equalWidth="0" w:num="1">
            <w:col w:w="10720"/>
          </w:cols>
          <w:pgMar w:left="760" w:top="978" w:right="760" w:bottom="223" w:gutter="0" w:footer="0" w:header="0"/>
          <w:type w:val="continuous"/>
        </w:sectPr>
      </w:pPr>
    </w:p>
    <w:bookmarkStart w:id="70" w:name="page71"/>
    <w:bookmarkEnd w:id="70"/>
    <w:p>
      <w:pPr>
        <w:ind w:right="20" w:firstLine="486"/>
        <w:spacing w:after="0" w:line="243" w:lineRule="auto"/>
        <w:rPr>
          <w:sz w:val="20"/>
          <w:szCs w:val="20"/>
          <w:color w:val="auto"/>
        </w:rPr>
      </w:pPr>
      <w:r>
        <w:rPr>
          <w:rFonts w:ascii="Times New Roman" w:cs="Times New Roman" w:eastAsia="Times New Roman" w:hAnsi="Times New Roman"/>
          <w:sz w:val="20"/>
          <w:szCs w:val="20"/>
          <w:color w:val="auto"/>
        </w:rPr>
        <w:t>One primary set of safeguards, the Standard Contractual Clauses adopted by the European Commission, has been updated recently. With regard to data transfers outside of the EEA to the United States, in March 2022, the European Union and United States established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spacing w:after="0" w:line="84" w:lineRule="exact"/>
        <w:rPr>
          <w:sz w:val="20"/>
          <w:szCs w:val="20"/>
          <w:color w:val="auto"/>
        </w:rPr>
      </w:pPr>
    </w:p>
    <w:p>
      <w:pPr>
        <w:ind w:right="120" w:firstLine="486"/>
        <w:spacing w:after="0" w:line="242" w:lineRule="auto"/>
        <w:rPr>
          <w:sz w:val="20"/>
          <w:szCs w:val="20"/>
          <w:color w:val="auto"/>
        </w:rPr>
      </w:pPr>
      <w:r>
        <w:rPr>
          <w:rFonts w:ascii="Times New Roman" w:cs="Times New Roman" w:eastAsia="Times New Roman" w:hAnsi="Times New Roman"/>
          <w:sz w:val="20"/>
          <w:szCs w:val="20"/>
          <w:color w:val="auto"/>
        </w:rPr>
        <w:t>Data protection regulation in the United Kingdom is subject to some uncertainty. Although the European Commission granted “adequacy” status to the United Kingdom in June 2021, and personal information can flow from the European Union to the United Kingdom and back, the United Kingdom may change its policy with respect to the export of personal information to third countries, such as the United States, and the European Commission’s adequacy determination for the United Kingdom requires renewal in 2025 and it may be modified or revoked in the interim. The United Kingdom made targeted amendments to the UK GDPR in the UK Data (Use and Access) Act 2025, or DUAA, which was enacted on June 19, 2025. The European Commission has renewed the UK’s adequacy decision after assessing the DUAA through December 2031. In addition, in February 2022, the United Kingdom’s Information Commissioner’s Office issued new Standard Contractual Clauses for the transfer of personal information outside of the United Kingdom. The data transfers enforcement landscape and the longer-term stability of the EU-U.S. DPF and related programs remain uncertain, which could require us to modify our policies and practices and increase our compliance costs.</w:t>
      </w:r>
    </w:p>
    <w:p>
      <w:pPr>
        <w:spacing w:after="0" w:line="85" w:lineRule="exact"/>
        <w:rPr>
          <w:sz w:val="20"/>
          <w:szCs w:val="20"/>
          <w:color w:val="auto"/>
        </w:rPr>
      </w:pPr>
    </w:p>
    <w:p>
      <w:pPr>
        <w:ind w:right="340" w:firstLine="487"/>
        <w:spacing w:after="0" w:line="250" w:lineRule="auto"/>
        <w:rPr>
          <w:sz w:val="20"/>
          <w:szCs w:val="20"/>
          <w:color w:val="auto"/>
        </w:rPr>
      </w:pPr>
      <w:r>
        <w:rPr>
          <w:rFonts w:ascii="Times New Roman" w:cs="Times New Roman" w:eastAsia="Times New Roman" w:hAnsi="Times New Roman"/>
          <w:sz w:val="20"/>
          <w:szCs w:val="20"/>
          <w:color w:val="auto"/>
        </w:rPr>
        <w:t>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w:t>
      </w:r>
    </w:p>
    <w:p>
      <w:pPr>
        <w:spacing w:after="0" w:line="75" w:lineRule="exact"/>
        <w:rPr>
          <w:sz w:val="20"/>
          <w:szCs w:val="20"/>
          <w:color w:val="auto"/>
        </w:rPr>
      </w:pPr>
    </w:p>
    <w:p>
      <w:pPr>
        <w:ind w:right="60" w:firstLine="486"/>
        <w:spacing w:after="0" w:line="302" w:lineRule="auto"/>
        <w:rPr>
          <w:sz w:val="20"/>
          <w:szCs w:val="20"/>
          <w:color w:val="auto"/>
        </w:rPr>
      </w:pPr>
      <w:r>
        <w:rPr>
          <w:rFonts w:ascii="Times New Roman" w:cs="Times New Roman" w:eastAsia="Times New Roman" w:hAnsi="Times New Roman"/>
          <w:sz w:val="19"/>
          <w:szCs w:val="19"/>
          <w:color w:val="auto"/>
        </w:rPr>
        <w:t>We may, therefore, incur liabilities, expenses, costs, and other operational losses under the GDPR, the UK GDPR, the FADP, and applicable laws and regulations of European Union member states in connection with any measures we take to comply with them.</w:t>
      </w:r>
    </w:p>
    <w:p>
      <w:pPr>
        <w:spacing w:after="0" w:line="26"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20"/>
          <w:szCs w:val="20"/>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w:t>
      </w:r>
    </w:p>
    <w:p>
      <w:pPr>
        <w:spacing w:after="0" w:line="88"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20"/>
          <w:szCs w:val="20"/>
          <w:color w:val="auto"/>
        </w:rPr>
        <w:t>Additionally, the California Privacy Rights Act, or the CPRA, was approved by California voters in November 2020. The CPRA modified and augmented the CCPA significantly, effective as of January 1, 2023, resulting in further uncertainty and requiring us to incur additional costs and expenses in an effort to comply. Numerous other states have proposed, and in certain cases enacted similar laws, including comprehensive privacy laws similar to the CCPA enacted in Colorado, Connecticut, Delaware, Florida, Indiana, Iowa, Kentucky, Maryland, Minnesota, Montana, Nebraska, New Hampshire, New Jersey, Oregon, Rhode Island, Tennessee, Texas, Utah, and Virginia. Other states have proposed, and in certain cases enacted, legislation addressing privacy and cybersecurity in the context of specific subject matter such as biometrics and health-related personal information. The U.S. Department of Justice also has issued rules regarding certain bulk sensitive personal data transfers. As we expand our operations, preclinical studies and clinical trials, these new state laws and other state laws and regulations relating to privacy, data security, and the collection, use, transfer, and other processing of data may increase our compliance costs and potential liability. Laws and regulations relating to these matters are not consistent across jurisdictions, and they may impose conflicting or uncertain obligations. Compliance with these and any other applicable laws and regulations relating to these matters is a rigorous, costly and time-intensive process, and we may be required to put in place additional mechanisms to address new and changing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2240" w:h="15840" w:orient="portrait"/>
          <w:cols w:equalWidth="0" w:num="1">
            <w:col w:w="10720"/>
          </w:cols>
          <w:pgMar w:left="760" w:top="978" w:right="760" w:bottom="223"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12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maintain and enforce patent protection for our product candidates and related technology, our business could be materially harmed.</w:t>
      </w:r>
    </w:p>
    <w:p>
      <w:pPr>
        <w:spacing w:after="0" w:line="51"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20"/>
          <w:szCs w:val="20"/>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96"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 xml:space="preserve">The patent position of biotechnology companies generally is highly uncertain, involves complex legal and factual questions, and has in recent years been the subject of much litigation. We may be subject to a third-party pre -issuance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 post-grant review, opposition or derivation proceedings challenging our patent rights or the patent rights of others.</w:t>
      </w:r>
    </w:p>
    <w:p>
      <w:pPr>
        <w:spacing w:after="0" w:line="88"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84" w:lineRule="exact"/>
        <w:rPr>
          <w:sz w:val="20"/>
          <w:szCs w:val="20"/>
          <w:color w:val="auto"/>
        </w:rPr>
      </w:pPr>
    </w:p>
    <w:p>
      <w:pPr>
        <w:ind w:right="120" w:firstLine="486"/>
        <w:spacing w:after="0" w:line="244" w:lineRule="auto"/>
        <w:rPr>
          <w:sz w:val="20"/>
          <w:szCs w:val="20"/>
          <w:color w:val="auto"/>
        </w:rPr>
      </w:pPr>
      <w:r>
        <w:rPr>
          <w:rFonts w:ascii="Times New Roman" w:cs="Times New Roman" w:eastAsia="Times New Roman" w:hAnsi="Times New Roman"/>
          <w:sz w:val="20"/>
          <w:szCs w:val="20"/>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ectPr>
          <w:pgSz w:w="12240" w:h="15840" w:orient="portrait"/>
          <w:cols w:equalWidth="0" w:num="1">
            <w:col w:w="10700"/>
          </w:cols>
          <w:pgMar w:left="760" w:top="974"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2240" w:h="15840" w:orient="portrait"/>
          <w:cols w:equalWidth="0" w:num="1">
            <w:col w:w="10700"/>
          </w:cols>
          <w:pgMar w:left="760" w:top="974" w:right="780" w:bottom="223"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protect our intellectual property rights throughout the world.</w:t>
      </w:r>
    </w:p>
    <w:p>
      <w:pPr>
        <w:spacing w:after="0" w:line="118"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88"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4"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20"/>
          <w:szCs w:val="20"/>
          <w:color w:val="auto"/>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w:t>
      </w:r>
    </w:p>
    <w:p>
      <w:pPr>
        <w:spacing w:after="0" w:line="69" w:lineRule="exact"/>
        <w:rPr>
          <w:sz w:val="20"/>
          <w:szCs w:val="20"/>
          <w:color w:val="auto"/>
        </w:rPr>
      </w:pPr>
    </w:p>
    <w:p>
      <w:pPr>
        <w:ind w:right="20" w:firstLine="487"/>
        <w:spacing w:after="0" w:line="243" w:lineRule="auto"/>
        <w:rPr>
          <w:sz w:val="20"/>
          <w:szCs w:val="20"/>
          <w:color w:val="auto"/>
        </w:rPr>
      </w:pPr>
      <w:r>
        <w:rPr>
          <w:rFonts w:ascii="Times New Roman" w:cs="Times New Roman" w:eastAsia="Times New Roman" w:hAnsi="Times New Roman"/>
          <w:sz w:val="20"/>
          <w:szCs w:val="20"/>
          <w:color w:val="auto"/>
        </w:rPr>
        <w:t>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8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9"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9"/>
          <w:szCs w:val="19"/>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2240" w:h="15840" w:orient="portrait"/>
          <w:cols w:equalWidth="0" w:num="1">
            <w:col w:w="10720"/>
          </w:cols>
          <w:pgMar w:left="760" w:top="978" w:right="760" w:bottom="223" w:gutter="0" w:footer="0" w:header="0"/>
          <w:type w:val="continuous"/>
        </w:sectPr>
      </w:pPr>
    </w:p>
    <w:bookmarkStart w:id="73" w:name="page74"/>
    <w:bookmarkEnd w:id="73"/>
    <w:p>
      <w:pPr>
        <w:ind w:right="4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Changes in patent laws or patent jurisprudence could diminish the value of patents in general, thereby impairing our ability to protect our product candidates.</w:t>
      </w:r>
    </w:p>
    <w:p>
      <w:pPr>
        <w:spacing w:after="0" w:line="51" w:lineRule="exact"/>
        <w:rPr>
          <w:sz w:val="20"/>
          <w:szCs w:val="20"/>
          <w:color w:val="auto"/>
        </w:rPr>
      </w:pPr>
    </w:p>
    <w:p>
      <w:pPr>
        <w:ind w:firstLine="486"/>
        <w:spacing w:after="0" w:line="243" w:lineRule="auto"/>
        <w:rPr>
          <w:sz w:val="20"/>
          <w:szCs w:val="20"/>
          <w:color w:val="auto"/>
        </w:rPr>
      </w:pPr>
      <w:r>
        <w:rPr>
          <w:rFonts w:ascii="Times New Roman" w:cs="Times New Roman" w:eastAsia="Times New Roman" w:hAnsi="Times New Roman"/>
          <w:sz w:val="20"/>
          <w:szCs w:val="20"/>
          <w:color w:val="auto"/>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84" w:lineRule="exact"/>
        <w:rPr>
          <w:sz w:val="20"/>
          <w:szCs w:val="20"/>
          <w:color w:val="auto"/>
        </w:rPr>
      </w:pPr>
    </w:p>
    <w:p>
      <w:pPr>
        <w:ind w:right="100" w:firstLine="486"/>
        <w:spacing w:after="0" w:line="242" w:lineRule="auto"/>
        <w:rPr>
          <w:sz w:val="20"/>
          <w:szCs w:val="20"/>
          <w:color w:val="auto"/>
        </w:rPr>
      </w:pPr>
      <w:r>
        <w:rPr>
          <w:rFonts w:ascii="Times New Roman" w:cs="Times New Roman" w:eastAsia="Times New Roman" w:hAnsi="Times New Roman"/>
          <w:sz w:val="20"/>
          <w:szCs w:val="20"/>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81" w:lineRule="exact"/>
        <w:rPr>
          <w:sz w:val="20"/>
          <w:szCs w:val="20"/>
          <w:color w:val="auto"/>
        </w:rPr>
      </w:pPr>
    </w:p>
    <w:p>
      <w:pPr>
        <w:ind w:right="80" w:firstLine="486"/>
        <w:spacing w:after="0" w:line="243" w:lineRule="auto"/>
        <w:rPr>
          <w:sz w:val="20"/>
          <w:szCs w:val="20"/>
          <w:color w:val="auto"/>
        </w:rPr>
      </w:pPr>
      <w:r>
        <w:rPr>
          <w:rFonts w:ascii="Times New Roman" w:cs="Times New Roman" w:eastAsia="Times New Roman" w:hAnsi="Times New Roman"/>
          <w:sz w:val="20"/>
          <w:szCs w:val="20"/>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xml:space="preserve">, via post-grant reviews or </w:t>
      </w:r>
      <w:r>
        <w:rPr>
          <w:rFonts w:ascii="Times New Roman" w:cs="Times New Roman" w:eastAsia="Times New Roman" w:hAnsi="Times New Roman"/>
          <w:sz w:val="20"/>
          <w:szCs w:val="20"/>
          <w:i w:val="1"/>
          <w:iCs w:val="1"/>
          <w:color w:val="auto"/>
        </w:rPr>
        <w:t>inter partes</w:t>
      </w:r>
      <w:r>
        <w:rPr>
          <w:rFonts w:ascii="Times New Roman" w:cs="Times New Roman" w:eastAsia="Times New Roman" w:hAnsi="Times New Roman"/>
          <w:sz w:val="20"/>
          <w:szCs w:val="20"/>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8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20"/>
          <w:szCs w:val="20"/>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patents covering one or more of our product candidates could be found invalid or unenforceable if challenged.</w:t>
      </w:r>
    </w:p>
    <w:p>
      <w:pPr>
        <w:spacing w:after="0" w:line="118"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20"/>
          <w:szCs w:val="20"/>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85" w:lineRule="exact"/>
        <w:rPr>
          <w:sz w:val="20"/>
          <w:szCs w:val="20"/>
          <w:color w:val="auto"/>
        </w:rPr>
      </w:pPr>
    </w:p>
    <w:p>
      <w:pPr>
        <w:ind w:right="40" w:firstLine="486"/>
        <w:spacing w:after="0" w:line="244" w:lineRule="auto"/>
        <w:rPr>
          <w:sz w:val="20"/>
          <w:szCs w:val="20"/>
          <w:color w:val="auto"/>
        </w:rPr>
      </w:pPr>
      <w:r>
        <w:rPr>
          <w:rFonts w:ascii="Times New Roman" w:cs="Times New Roman" w:eastAsia="Times New Roman" w:hAnsi="Times New Roman"/>
          <w:sz w:val="20"/>
          <w:szCs w:val="20"/>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82" w:lineRule="exact"/>
        <w:rPr>
          <w:sz w:val="20"/>
          <w:szCs w:val="20"/>
          <w:color w:val="auto"/>
        </w:rPr>
      </w:pPr>
    </w:p>
    <w:p>
      <w:pPr>
        <w:ind w:right="100" w:firstLine="486"/>
        <w:spacing w:after="0" w:line="247" w:lineRule="auto"/>
        <w:rPr>
          <w:sz w:val="20"/>
          <w:szCs w:val="20"/>
          <w:color w:val="auto"/>
        </w:rPr>
      </w:pPr>
      <w:r>
        <w:rPr>
          <w:rFonts w:ascii="Times New Roman" w:cs="Times New Roman" w:eastAsia="Times New Roman" w:hAnsi="Times New Roman"/>
          <w:sz w:val="20"/>
          <w:szCs w:val="20"/>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ectPr>
          <w:pgSz w:w="12240" w:h="15840" w:orient="portrait"/>
          <w:cols w:equalWidth="0" w:num="1">
            <w:col w:w="10720"/>
          </w:cols>
          <w:pgMar w:left="760" w:top="978" w:right="760" w:bottom="223" w:gutter="0" w:footer="0" w:header="0"/>
        </w:sect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2240" w:h="15840" w:orient="portrait"/>
          <w:cols w:equalWidth="0" w:num="1">
            <w:col w:w="10720"/>
          </w:cols>
          <w:pgMar w:left="760" w:top="978" w:right="760" w:bottom="223"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i w:val="1"/>
          <w:iCs w:val="1"/>
          <w:color w:val="auto"/>
        </w:rPr>
        <w:t>Patent terms may be inadequate to protect our competitive position on our product candidates for an adequate amount of time.</w:t>
      </w:r>
    </w:p>
    <w:p>
      <w:pPr>
        <w:spacing w:after="0" w:line="118"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20"/>
          <w:szCs w:val="20"/>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protection, prosecution, assertion and defense for some of our product candidates may be dependent on third parties.</w:t>
      </w:r>
    </w:p>
    <w:p>
      <w:pPr>
        <w:spacing w:after="0" w:line="118"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 -up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85"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51" w:lineRule="exact"/>
        <w:rPr>
          <w:sz w:val="20"/>
          <w:szCs w:val="20"/>
          <w:color w:val="auto"/>
        </w:rPr>
      </w:pPr>
    </w:p>
    <w:p>
      <w:pPr>
        <w:ind w:right="40" w:firstLine="486"/>
        <w:spacing w:after="0"/>
        <w:rPr>
          <w:sz w:val="20"/>
          <w:szCs w:val="20"/>
          <w:color w:val="auto"/>
        </w:rPr>
      </w:pPr>
      <w:r>
        <w:rPr>
          <w:rFonts w:ascii="Times New Roman" w:cs="Times New Roman" w:eastAsia="Times New Roman" w:hAnsi="Times New Roman"/>
          <w:sz w:val="20"/>
          <w:szCs w:val="20"/>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87" w:lineRule="exact"/>
        <w:rPr>
          <w:sz w:val="20"/>
          <w:szCs w:val="20"/>
          <w:color w:val="auto"/>
        </w:rPr>
      </w:pPr>
    </w:p>
    <w:p>
      <w:pPr>
        <w:ind w:right="60" w:firstLine="486"/>
        <w:spacing w:after="0" w:line="242" w:lineRule="auto"/>
        <w:rPr>
          <w:sz w:val="20"/>
          <w:szCs w:val="20"/>
          <w:color w:val="auto"/>
        </w:rPr>
      </w:pPr>
      <w:r>
        <w:rPr>
          <w:rFonts w:ascii="Times New Roman" w:cs="Times New Roman" w:eastAsia="Times New Roman" w:hAnsi="Times New Roman"/>
          <w:sz w:val="20"/>
          <w:szCs w:val="20"/>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2240" w:h="15840" w:orient="portrait"/>
          <w:cols w:equalWidth="0" w:num="1">
            <w:col w:w="10720"/>
          </w:cols>
          <w:pgMar w:left="760" w:top="978" w:right="760" w:bottom="223" w:gutter="0" w:footer="0" w:header="0"/>
          <w:type w:val="continuous"/>
        </w:sectPr>
      </w:pPr>
    </w:p>
    <w:bookmarkStart w:id="75" w:name="page76"/>
    <w:bookmarkEnd w:id="75"/>
    <w:p>
      <w:pPr>
        <w:ind w:righ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become involved in lawsuits to protect or enforce our patents and trade secrets, which could be expensive, time-consuming and unsuccessful.</w:t>
      </w:r>
    </w:p>
    <w:p>
      <w:pPr>
        <w:spacing w:after="0" w:line="5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9"/>
          <w:szCs w:val="19"/>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69"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20"/>
          <w:szCs w:val="20"/>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81" w:lineRule="exact"/>
        <w:rPr>
          <w:sz w:val="20"/>
          <w:szCs w:val="20"/>
          <w:color w:val="auto"/>
        </w:rPr>
      </w:pPr>
    </w:p>
    <w:p>
      <w:pPr>
        <w:ind w:right="800" w:firstLine="486"/>
        <w:spacing w:after="0" w:line="274" w:lineRule="auto"/>
        <w:rPr>
          <w:sz w:val="20"/>
          <w:szCs w:val="20"/>
          <w:color w:val="auto"/>
        </w:rPr>
      </w:pPr>
      <w:r>
        <w:rPr>
          <w:rFonts w:ascii="Times New Roman" w:cs="Times New Roman" w:eastAsia="Times New Roman" w:hAnsi="Times New Roman"/>
          <w:sz w:val="20"/>
          <w:szCs w:val="20"/>
          <w:color w:val="auto"/>
        </w:rPr>
        <w:t>The following are examples of litigation and other adversarial proceedings or disputes that we could become a party to involving our patents or patents licensed to us:</w:t>
      </w:r>
    </w:p>
    <w:p>
      <w:pPr>
        <w:spacing w:after="0" w:line="51" w:lineRule="exact"/>
        <w:rPr>
          <w:sz w:val="20"/>
          <w:szCs w:val="20"/>
          <w:color w:val="auto"/>
        </w:rPr>
      </w:pPr>
    </w:p>
    <w:p>
      <w:pPr>
        <w:ind w:left="960" w:hanging="477"/>
        <w:spacing w:after="0"/>
        <w:tabs>
          <w:tab w:leader="none" w:pos="960" w:val="left"/>
        </w:tabs>
        <w:numPr>
          <w:ilvl w:val="0"/>
          <w:numId w:val="4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may initiate litigation or other proceedings against third parties to enforce our patent and trade secret rights;</w:t>
      </w:r>
    </w:p>
    <w:p>
      <w:pPr>
        <w:spacing w:after="0" w:line="104" w:lineRule="exact"/>
        <w:rPr>
          <w:rFonts w:ascii="PMingLiU" w:cs="PMingLiU" w:eastAsia="PMingLiU" w:hAnsi="PMingLiU"/>
          <w:sz w:val="20"/>
          <w:szCs w:val="20"/>
          <w:color w:val="auto"/>
        </w:rPr>
      </w:pPr>
    </w:p>
    <w:p>
      <w:pPr>
        <w:jc w:val="both"/>
        <w:ind w:left="960" w:right="460" w:hanging="477"/>
        <w:spacing w:after="0" w:line="288" w:lineRule="auto"/>
        <w:tabs>
          <w:tab w:leader="none" w:pos="960" w:val="left"/>
        </w:tabs>
        <w:numPr>
          <w:ilvl w:val="0"/>
          <w:numId w:val="42"/>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36" w:lineRule="exact"/>
        <w:rPr>
          <w:rFonts w:ascii="PMingLiU" w:cs="PMingLiU" w:eastAsia="PMingLiU" w:hAnsi="PMingLiU"/>
          <w:sz w:val="19"/>
          <w:szCs w:val="19"/>
          <w:color w:val="auto"/>
        </w:rPr>
      </w:pPr>
    </w:p>
    <w:p>
      <w:pPr>
        <w:ind w:left="960" w:right="200" w:hanging="477"/>
        <w:spacing w:after="0" w:line="261" w:lineRule="auto"/>
        <w:tabs>
          <w:tab w:leader="none" w:pos="960" w:val="left"/>
        </w:tabs>
        <w:numPr>
          <w:ilvl w:val="0"/>
          <w:numId w:val="4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61" w:lineRule="exact"/>
        <w:rPr>
          <w:rFonts w:ascii="PMingLiU" w:cs="PMingLiU" w:eastAsia="PMingLiU" w:hAnsi="PMingLiU"/>
          <w:sz w:val="20"/>
          <w:szCs w:val="20"/>
          <w:color w:val="auto"/>
        </w:rPr>
      </w:pPr>
    </w:p>
    <w:p>
      <w:pPr>
        <w:ind w:left="960" w:right="120" w:hanging="477"/>
        <w:spacing w:after="0" w:line="245" w:lineRule="auto"/>
        <w:tabs>
          <w:tab w:leader="none" w:pos="960" w:val="left"/>
        </w:tabs>
        <w:numPr>
          <w:ilvl w:val="0"/>
          <w:numId w:val="4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w:t>
      </w:r>
    </w:p>
    <w:p>
      <w:pPr>
        <w:spacing w:after="0" w:line="80" w:lineRule="exact"/>
        <w:rPr>
          <w:rFonts w:ascii="PMingLiU" w:cs="PMingLiU" w:eastAsia="PMingLiU" w:hAnsi="PMingLiU"/>
          <w:sz w:val="20"/>
          <w:szCs w:val="20"/>
          <w:color w:val="auto"/>
        </w:rPr>
      </w:pPr>
    </w:p>
    <w:p>
      <w:pPr>
        <w:ind w:left="960" w:right="140" w:hanging="477"/>
        <w:spacing w:after="0" w:line="249" w:lineRule="auto"/>
        <w:tabs>
          <w:tab w:leader="none" w:pos="960" w:val="left"/>
        </w:tabs>
        <w:numPr>
          <w:ilvl w:val="0"/>
          <w:numId w:val="4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75"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20"/>
          <w:szCs w:val="20"/>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87" w:lineRule="exact"/>
        <w:rPr>
          <w:sz w:val="20"/>
          <w:szCs w:val="20"/>
          <w:color w:val="auto"/>
        </w:rPr>
      </w:pPr>
    </w:p>
    <w:p>
      <w:pPr>
        <w:ind w:right="80" w:firstLine="486"/>
        <w:spacing w:after="0" w:line="244" w:lineRule="auto"/>
        <w:rPr>
          <w:sz w:val="20"/>
          <w:szCs w:val="20"/>
          <w:color w:val="auto"/>
        </w:rPr>
      </w:pPr>
      <w:r>
        <w:rPr>
          <w:rFonts w:ascii="Times New Roman" w:cs="Times New Roman" w:eastAsia="Times New Roman" w:hAnsi="Times New Roman"/>
          <w:sz w:val="20"/>
          <w:szCs w:val="20"/>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2240" w:h="15840" w:orient="portrait"/>
          <w:cols w:equalWidth="0" w:num="1">
            <w:col w:w="10720"/>
          </w:cols>
          <w:pgMar w:left="760" w:top="978" w:right="760" w:bottom="223" w:gutter="0" w:footer="0" w:header="0"/>
          <w:type w:val="continuous"/>
        </w:sectPr>
      </w:pPr>
    </w:p>
    <w:bookmarkStart w:id="76" w:name="page77"/>
    <w:bookmarkEnd w:id="76"/>
    <w:p>
      <w:pPr>
        <w:ind w:right="3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51"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w:t>
      </w:r>
    </w:p>
    <w:p>
      <w:pPr>
        <w:spacing w:after="0" w:line="89"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commercial success depends in part on our ability to operate without infringing the patents and other proprietary rights of third parties.</w:t>
      </w:r>
    </w:p>
    <w:p>
      <w:pPr>
        <w:spacing w:after="0" w:line="51"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9"/>
          <w:szCs w:val="19"/>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61" w:lineRule="exact"/>
        <w:rPr>
          <w:sz w:val="20"/>
          <w:szCs w:val="20"/>
          <w:color w:val="auto"/>
        </w:rPr>
      </w:pPr>
    </w:p>
    <w:p>
      <w:pPr>
        <w:ind w:firstLine="486"/>
        <w:spacing w:after="0" w:line="239" w:lineRule="auto"/>
        <w:rPr>
          <w:sz w:val="20"/>
          <w:szCs w:val="20"/>
          <w:color w:val="auto"/>
        </w:rPr>
      </w:pPr>
      <w:r>
        <w:rPr>
          <w:rFonts w:ascii="Times New Roman" w:cs="Times New Roman" w:eastAsia="Times New Roman" w:hAnsi="Times New Roman"/>
          <w:sz w:val="20"/>
          <w:szCs w:val="20"/>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6,53Į  pathways, and others that are based on entirely different approaches. These patents and applications could potentially be construed to cover our product candidates and their use. For example, we are aware of U.S. patent 10,907,209 and U.S. patent application 16/118,038 (now abandoned in favor of a divisional application 18/518,353, which has claims that are not related to polypeptides comprising soluble human 6,53Į  owned by University Health Network, or UHN, and The Hospital for Sick Children that may encompass certain therapies for the treatment of cancer using polypeptides comprising soluble human 6,53Į  as well as related applications in other jurisdictions. This patent and patent application relate to the treatment of cancer with polypeptides comprising soluble human 6,53Į  Pfizer, through its acquisition of Trillium Therapeutics, has an exclusive license to the U.S. patent and application. The European counterpart patent (EP 2 429 574) was subject to European Patent Office opposition proceedings, which resulted in the patent being upheld in amended form. Additionally, we are aware of a second European Patent (EP 2 995 315), a divisional of European patent (EP 2 429 574), granted to UHN and The Hospital for Sick Children. This patent relates to the eradication of hematological CD47+ cancer cells and tumors with polypeptides comprising soluble human 6,53Į  or a CD47-binding fragment thereof. This patent was upheld as granted by the European Patent Office Opposition Division on November 28, 2025. This decision is currently under appeal. The patent claims of both EP 2 429 574 and EP 2 995 315 could potentially limit our ability to pursue evorpacept in certain indications in certain territories in the EU in the future unless we obtain a license under these patents, these patents are determined to be invalid or unenforceable by the European Patent Office or a national court in one or more relevant territories, these patents are revoked or otherwise limited by the European Patent Office or a national court, or until these patents expire. A license may however not be available on commercially reasonable terms or at all. With respect to U.S. patent 10,907,209, we believe that we do not infringe claims listed in this U.S. patent. Further, with respect to the development of our ALX2004 program, many companies have filed, and continue to file, patent applications related to ADCs and components thereof that are similar to our approach.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05" w:lineRule="exact"/>
        <w:rPr>
          <w:sz w:val="20"/>
          <w:szCs w:val="20"/>
          <w:color w:val="auto"/>
        </w:rPr>
      </w:pPr>
    </w:p>
    <w:p>
      <w:pPr>
        <w:ind w:right="40" w:firstLine="487"/>
        <w:spacing w:after="0" w:line="243" w:lineRule="auto"/>
        <w:rPr>
          <w:sz w:val="20"/>
          <w:szCs w:val="20"/>
          <w:color w:val="auto"/>
        </w:rPr>
      </w:pPr>
      <w:r>
        <w:rPr>
          <w:rFonts w:ascii="Times New Roman" w:cs="Times New Roman" w:eastAsia="Times New Roman" w:hAnsi="Times New Roman"/>
          <w:sz w:val="20"/>
          <w:szCs w:val="20"/>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2240" w:h="15840" w:orient="portrait"/>
          <w:cols w:equalWidth="0" w:num="1">
            <w:col w:w="10720"/>
          </w:cols>
          <w:pgMar w:left="760" w:top="978" w:right="760" w:bottom="223" w:gutter="0" w:footer="0" w:header="0"/>
          <w:type w:val="continuous"/>
        </w:sectPr>
      </w:pPr>
    </w:p>
    <w:bookmarkStart w:id="77" w:name="page78"/>
    <w:bookmarkEnd w:id="77"/>
    <w:p>
      <w:pPr>
        <w:jc w:val="both"/>
        <w:ind w:right="40" w:firstLine="486"/>
        <w:spacing w:after="0" w:line="250" w:lineRule="auto"/>
        <w:rPr>
          <w:sz w:val="20"/>
          <w:szCs w:val="20"/>
          <w:color w:val="auto"/>
        </w:rPr>
      </w:pPr>
      <w:r>
        <w:rPr>
          <w:rFonts w:ascii="Times New Roman" w:cs="Times New Roman" w:eastAsia="Times New Roman" w:hAnsi="Times New Roman"/>
          <w:sz w:val="20"/>
          <w:szCs w:val="20"/>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intellectual property rights will not necessarily provide us with competitive advantages.</w:t>
      </w:r>
    </w:p>
    <w:p>
      <w:pPr>
        <w:spacing w:after="0" w:line="118" w:lineRule="exact"/>
        <w:rPr>
          <w:sz w:val="20"/>
          <w:szCs w:val="20"/>
          <w:color w:val="auto"/>
        </w:rPr>
      </w:pPr>
    </w:p>
    <w:p>
      <w:pPr>
        <w:jc w:val="both"/>
        <w:ind w:right="20" w:firstLine="486"/>
        <w:spacing w:after="0" w:line="256" w:lineRule="auto"/>
        <w:rPr>
          <w:sz w:val="20"/>
          <w:szCs w:val="20"/>
          <w:color w:val="auto"/>
        </w:rPr>
      </w:pPr>
      <w:r>
        <w:rPr>
          <w:rFonts w:ascii="Times New Roman" w:cs="Times New Roman" w:eastAsia="Times New Roman" w:hAnsi="Times New Roman"/>
          <w:sz w:val="20"/>
          <w:szCs w:val="20"/>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9" w:lineRule="exact"/>
        <w:rPr>
          <w:sz w:val="20"/>
          <w:szCs w:val="20"/>
          <w:color w:val="auto"/>
        </w:rPr>
      </w:pPr>
    </w:p>
    <w:p>
      <w:pPr>
        <w:ind w:left="960" w:right="220" w:hanging="477"/>
        <w:spacing w:after="0" w:line="261" w:lineRule="auto"/>
        <w:tabs>
          <w:tab w:leader="none" w:pos="960" w:val="left"/>
        </w:tabs>
        <w:numPr>
          <w:ilvl w:val="0"/>
          <w:numId w:val="4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others may be able to make products that are similar to our product candidates but that are not covered by the claims of the patents that we own or have exclusively licensed;</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4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others may independently develop similar or alternative technologies without infringing our intellectual property rights;</w:t>
      </w:r>
    </w:p>
    <w:p>
      <w:pPr>
        <w:spacing w:after="0" w:line="104" w:lineRule="exact"/>
        <w:rPr>
          <w:rFonts w:ascii="PMingLiU" w:cs="PMingLiU" w:eastAsia="PMingLiU" w:hAnsi="PMingLiU"/>
          <w:sz w:val="20"/>
          <w:szCs w:val="20"/>
          <w:color w:val="auto"/>
        </w:rPr>
      </w:pPr>
    </w:p>
    <w:p>
      <w:pPr>
        <w:ind w:left="960" w:right="80" w:hanging="477"/>
        <w:spacing w:after="0" w:line="261" w:lineRule="auto"/>
        <w:tabs>
          <w:tab w:leader="none" w:pos="960" w:val="left"/>
        </w:tabs>
        <w:numPr>
          <w:ilvl w:val="0"/>
          <w:numId w:val="4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issued patents that we own or have exclusively licensed may not provide us with competitive advantages, or may be held invalid or unenforceable, as a result of legal challenges by our competitors;</w:t>
      </w:r>
    </w:p>
    <w:p>
      <w:pPr>
        <w:spacing w:after="0" w:line="61" w:lineRule="exact"/>
        <w:rPr>
          <w:rFonts w:ascii="PMingLiU" w:cs="PMingLiU" w:eastAsia="PMingLiU" w:hAnsi="PMingLiU"/>
          <w:sz w:val="20"/>
          <w:szCs w:val="20"/>
          <w:color w:val="auto"/>
        </w:rPr>
      </w:pPr>
    </w:p>
    <w:p>
      <w:pPr>
        <w:ind w:left="960" w:right="380" w:hanging="477"/>
        <w:spacing w:after="0" w:line="249" w:lineRule="auto"/>
        <w:tabs>
          <w:tab w:leader="none" w:pos="960" w:val="left"/>
        </w:tabs>
        <w:numPr>
          <w:ilvl w:val="0"/>
          <w:numId w:val="4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74" w:lineRule="exact"/>
        <w:rPr>
          <w:rFonts w:ascii="PMingLiU" w:cs="PMingLiU" w:eastAsia="PMingLiU" w:hAnsi="PMingLiU"/>
          <w:sz w:val="20"/>
          <w:szCs w:val="20"/>
          <w:color w:val="auto"/>
        </w:rPr>
      </w:pPr>
    </w:p>
    <w:p>
      <w:pPr>
        <w:jc w:val="both"/>
        <w:ind w:left="960" w:right="200" w:hanging="477"/>
        <w:spacing w:after="0" w:line="249" w:lineRule="auto"/>
        <w:tabs>
          <w:tab w:leader="none" w:pos="960" w:val="left"/>
        </w:tabs>
        <w:numPr>
          <w:ilvl w:val="0"/>
          <w:numId w:val="4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4" w:lineRule="exact"/>
        <w:rPr>
          <w:rFonts w:ascii="PMingLiU" w:cs="PMingLiU" w:eastAsia="PMingLiU" w:hAnsi="PMingLiU"/>
          <w:sz w:val="20"/>
          <w:szCs w:val="20"/>
          <w:color w:val="auto"/>
        </w:rPr>
      </w:pPr>
    </w:p>
    <w:p>
      <w:pPr>
        <w:ind w:left="960" w:hanging="477"/>
        <w:spacing w:after="0"/>
        <w:tabs>
          <w:tab w:leader="none" w:pos="960" w:val="left"/>
        </w:tabs>
        <w:numPr>
          <w:ilvl w:val="0"/>
          <w:numId w:val="4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we may fail to develop additional proprietary technologies that are patentable;</w:t>
      </w:r>
    </w:p>
    <w:p>
      <w:pPr>
        <w:spacing w:after="0" w:line="104" w:lineRule="exact"/>
        <w:rPr>
          <w:rFonts w:ascii="PMingLiU" w:cs="PMingLiU" w:eastAsia="PMingLiU" w:hAnsi="PMingLiU"/>
          <w:sz w:val="20"/>
          <w:szCs w:val="20"/>
          <w:color w:val="auto"/>
        </w:rPr>
      </w:pPr>
    </w:p>
    <w:p>
      <w:pPr>
        <w:ind w:left="960" w:right="140" w:hanging="477"/>
        <w:spacing w:after="0" w:line="249" w:lineRule="auto"/>
        <w:tabs>
          <w:tab w:leader="none" w:pos="960" w:val="left"/>
        </w:tabs>
        <w:numPr>
          <w:ilvl w:val="0"/>
          <w:numId w:val="4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74" w:lineRule="exact"/>
        <w:rPr>
          <w:rFonts w:ascii="PMingLiU" w:cs="PMingLiU" w:eastAsia="PMingLiU" w:hAnsi="PMingLiU"/>
          <w:sz w:val="20"/>
          <w:szCs w:val="20"/>
          <w:color w:val="auto"/>
        </w:rPr>
      </w:pPr>
    </w:p>
    <w:p>
      <w:pPr>
        <w:ind w:left="960" w:right="320" w:hanging="477"/>
        <w:spacing w:after="0" w:line="261" w:lineRule="auto"/>
        <w:tabs>
          <w:tab w:leader="none" w:pos="960" w:val="left"/>
        </w:tabs>
        <w:numPr>
          <w:ilvl w:val="0"/>
          <w:numId w:val="4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patents of others may have an adverse effect on our business, for example by preventing us from marketing one or more of our product candidates for one or more indications.</w:t>
      </w:r>
    </w:p>
    <w:p>
      <w:pPr>
        <w:spacing w:after="0" w:line="6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Any of the aforementioned threats to our competitive advantage could have a material adverse effect on our business.</w:t>
      </w:r>
    </w:p>
    <w:p>
      <w:pPr>
        <w:spacing w:after="0" w:line="11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51"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rights to develop and commercialize our product candidates may be subject, in part, to the terms and conditions of agreements with others.</w:t>
      </w:r>
    </w:p>
    <w:p>
      <w:pPr>
        <w:spacing w:after="0" w:line="51" w:lineRule="exact"/>
        <w:rPr>
          <w:sz w:val="20"/>
          <w:szCs w:val="20"/>
          <w:color w:val="auto"/>
        </w:rPr>
      </w:pPr>
    </w:p>
    <w:p>
      <w:pPr>
        <w:ind w:right="60" w:firstLine="486"/>
        <w:spacing w:after="0" w:line="247" w:lineRule="auto"/>
        <w:rPr>
          <w:sz w:val="20"/>
          <w:szCs w:val="20"/>
          <w:color w:val="auto"/>
        </w:rPr>
      </w:pPr>
      <w:r>
        <w:rPr>
          <w:rFonts w:ascii="Times New Roman" w:cs="Times New Roman" w:eastAsia="Times New Roman" w:hAnsi="Times New Roman"/>
          <w:sz w:val="20"/>
          <w:szCs w:val="20"/>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ectPr>
          <w:pgSz w:w="12240" w:h="15840" w:orient="portrait"/>
          <w:cols w:equalWidth="0" w:num="1">
            <w:col w:w="10660"/>
          </w:cols>
          <w:pgMar w:left="760" w:top="978" w:right="82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68</w:t>
      </w:r>
    </w:p>
    <w:p>
      <w:pPr>
        <w:sectPr>
          <w:pgSz w:w="12240" w:h="15840" w:orient="portrait"/>
          <w:cols w:equalWidth="0" w:num="1">
            <w:col w:w="10660"/>
          </w:cols>
          <w:pgMar w:left="760" w:top="978" w:right="820" w:bottom="223" w:gutter="0" w:footer="0" w:header="0"/>
          <w:type w:val="continuous"/>
        </w:sectPr>
      </w:pPr>
    </w:p>
    <w:bookmarkStart w:id="78" w:name="page79"/>
    <w:bookmarkEnd w:id="78"/>
    <w:p>
      <w:pPr>
        <w:ind w:firstLine="486"/>
        <w:spacing w:after="0" w:line="242" w:lineRule="auto"/>
        <w:rPr>
          <w:sz w:val="20"/>
          <w:szCs w:val="20"/>
          <w:color w:val="auto"/>
        </w:rPr>
      </w:pPr>
      <w:r>
        <w:rPr>
          <w:rFonts w:ascii="Times New Roman" w:cs="Times New Roman" w:eastAsia="Times New Roman" w:hAnsi="Times New Roman"/>
          <w:sz w:val="20"/>
          <w:szCs w:val="20"/>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85" w:lineRule="exact"/>
        <w:rPr>
          <w:sz w:val="20"/>
          <w:szCs w:val="20"/>
          <w:color w:val="auto"/>
        </w:rPr>
      </w:pPr>
    </w:p>
    <w:p>
      <w:pPr>
        <w:ind w:right="100" w:firstLine="486"/>
        <w:spacing w:after="0" w:line="241" w:lineRule="auto"/>
        <w:rPr>
          <w:sz w:val="20"/>
          <w:szCs w:val="20"/>
          <w:color w:val="auto"/>
        </w:rPr>
      </w:pPr>
      <w:r>
        <w:rPr>
          <w:rFonts w:ascii="Times New Roman" w:cs="Times New Roman" w:eastAsia="Times New Roman" w:hAnsi="Times New Roman"/>
          <w:sz w:val="20"/>
          <w:szCs w:val="20"/>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8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69" w:lineRule="exact"/>
        <w:rPr>
          <w:sz w:val="20"/>
          <w:szCs w:val="20"/>
          <w:color w:val="auto"/>
        </w:rPr>
      </w:pPr>
    </w:p>
    <w:p>
      <w:pPr>
        <w:ind w:right="100" w:firstLine="486"/>
        <w:spacing w:after="0" w:line="242" w:lineRule="auto"/>
        <w:rPr>
          <w:sz w:val="20"/>
          <w:szCs w:val="20"/>
          <w:color w:val="auto"/>
        </w:rPr>
      </w:pPr>
      <w:r>
        <w:rPr>
          <w:rFonts w:ascii="Times New Roman" w:cs="Times New Roman" w:eastAsia="Times New Roman" w:hAnsi="Times New Roman"/>
          <w:sz w:val="20"/>
          <w:szCs w:val="20"/>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Moreover, disputes may arise regarding intellectual property subject to a collaboration agreement, including:</w:t>
      </w:r>
    </w:p>
    <w:p>
      <w:pPr>
        <w:spacing w:after="0" w:line="118" w:lineRule="exact"/>
        <w:rPr>
          <w:sz w:val="20"/>
          <w:szCs w:val="20"/>
          <w:color w:val="auto"/>
        </w:rPr>
      </w:pPr>
    </w:p>
    <w:p>
      <w:pPr>
        <w:ind w:left="960" w:hanging="477"/>
        <w:spacing w:after="0"/>
        <w:tabs>
          <w:tab w:leader="none" w:pos="96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scope of the option or license rights granted under the agreement and other interpretation-related issues;</w:t>
      </w:r>
    </w:p>
    <w:p>
      <w:pPr>
        <w:spacing w:after="0" w:line="104" w:lineRule="exact"/>
        <w:rPr>
          <w:rFonts w:ascii="PMingLiU" w:cs="PMingLiU" w:eastAsia="PMingLiU" w:hAnsi="PMingLiU"/>
          <w:sz w:val="20"/>
          <w:szCs w:val="20"/>
          <w:color w:val="auto"/>
        </w:rPr>
      </w:pPr>
    </w:p>
    <w:p>
      <w:pPr>
        <w:ind w:left="960" w:right="40" w:hanging="477"/>
        <w:spacing w:after="0" w:line="261" w:lineRule="auto"/>
        <w:tabs>
          <w:tab w:leader="none" w:pos="96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extent to which our technology and processes infringe on intellectual property of the collaborator that is not subject to the option or license rights granted under the agreement;</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sublicensing of patent and other rights under our collaborative development relationships;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diligence obligations under the agreement and what activities satisfy those diligence obligations;</w:t>
      </w:r>
    </w:p>
    <w:p>
      <w:pPr>
        <w:spacing w:after="0" w:line="104" w:lineRule="exact"/>
        <w:rPr>
          <w:rFonts w:ascii="PMingLiU" w:cs="PMingLiU" w:eastAsia="PMingLiU" w:hAnsi="PMingLiU"/>
          <w:sz w:val="20"/>
          <w:szCs w:val="20"/>
          <w:color w:val="auto"/>
        </w:rPr>
      </w:pPr>
    </w:p>
    <w:p>
      <w:pPr>
        <w:ind w:left="960" w:right="620" w:hanging="477"/>
        <w:spacing w:after="0" w:line="261" w:lineRule="auto"/>
        <w:tabs>
          <w:tab w:leader="none" w:pos="96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inventorship and ownership of inventions and know-how resulting from the joint creation or use of intellectual property by our collaborators and us and our other partners; and</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44"/>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104" w:lineRule="exact"/>
        <w:rPr>
          <w:sz w:val="20"/>
          <w:szCs w:val="20"/>
          <w:color w:val="auto"/>
        </w:rPr>
      </w:pPr>
    </w:p>
    <w:p>
      <w:pPr>
        <w:ind w:right="100" w:firstLine="486"/>
        <w:spacing w:after="0" w:line="243" w:lineRule="auto"/>
        <w:rPr>
          <w:sz w:val="20"/>
          <w:szCs w:val="20"/>
          <w:color w:val="auto"/>
        </w:rPr>
      </w:pPr>
      <w:r>
        <w:rPr>
          <w:rFonts w:ascii="Times New Roman" w:cs="Times New Roman" w:eastAsia="Times New Roman" w:hAnsi="Times New Roman"/>
          <w:sz w:val="20"/>
          <w:szCs w:val="20"/>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69</w:t>
      </w:r>
    </w:p>
    <w:p>
      <w:pPr>
        <w:sectPr>
          <w:pgSz w:w="12240" w:h="15840" w:orient="portrait"/>
          <w:cols w:equalWidth="0" w:num="1">
            <w:col w:w="10680"/>
          </w:cols>
          <w:pgMar w:left="760" w:top="978" w:right="800" w:bottom="223"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Risks Related to Our Operations</w:t>
      </w:r>
    </w:p>
    <w:p>
      <w:pPr>
        <w:spacing w:after="0" w:line="122"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In order to successfully implement our plans and strategies, we will need to grow the size of our organization, and we may experience difficulties in managing this growth.</w:t>
      </w:r>
    </w:p>
    <w:p>
      <w:pPr>
        <w:spacing w:after="0" w:line="51" w:lineRule="exact"/>
        <w:rPr>
          <w:sz w:val="20"/>
          <w:szCs w:val="20"/>
          <w:color w:val="auto"/>
        </w:rPr>
      </w:pPr>
    </w:p>
    <w:p>
      <w:pPr>
        <w:ind w:right="360" w:firstLine="486"/>
        <w:spacing w:after="0" w:line="267" w:lineRule="auto"/>
        <w:rPr>
          <w:sz w:val="20"/>
          <w:szCs w:val="20"/>
          <w:color w:val="auto"/>
        </w:rPr>
      </w:pPr>
      <w:r>
        <w:rPr>
          <w:rFonts w:ascii="Times New Roman" w:cs="Times New Roman" w:eastAsia="Times New Roman" w:hAnsi="Times New Roman"/>
          <w:sz w:val="19"/>
          <w:szCs w:val="19"/>
          <w:color w:val="auto"/>
        </w:rPr>
        <w:t>As of December 31, 2025, we had 43 employees, including 29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w:t>
      </w:r>
    </w:p>
    <w:p>
      <w:pPr>
        <w:spacing w:after="0" w:line="61" w:lineRule="exact"/>
        <w:rPr>
          <w:sz w:val="20"/>
          <w:szCs w:val="20"/>
          <w:color w:val="auto"/>
        </w:rPr>
      </w:pPr>
    </w:p>
    <w:p>
      <w:pPr>
        <w:ind w:left="960" w:hanging="477"/>
        <w:spacing w:after="0"/>
        <w:tabs>
          <w:tab w:leader="none" w:pos="960" w:val="left"/>
        </w:tabs>
        <w:numPr>
          <w:ilvl w:val="0"/>
          <w:numId w:val="4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identifying, recruiting, integrating, retaining and motivating additional employees;</w:t>
      </w:r>
    </w:p>
    <w:p>
      <w:pPr>
        <w:spacing w:after="0" w:line="104" w:lineRule="exact"/>
        <w:rPr>
          <w:rFonts w:ascii="PMingLiU" w:cs="PMingLiU" w:eastAsia="PMingLiU" w:hAnsi="PMingLiU"/>
          <w:sz w:val="20"/>
          <w:szCs w:val="20"/>
          <w:color w:val="auto"/>
        </w:rPr>
      </w:pPr>
    </w:p>
    <w:p>
      <w:pPr>
        <w:ind w:left="960" w:right="40" w:hanging="477"/>
        <w:spacing w:after="0" w:line="249" w:lineRule="auto"/>
        <w:tabs>
          <w:tab w:leader="none" w:pos="960" w:val="left"/>
        </w:tabs>
        <w:numPr>
          <w:ilvl w:val="0"/>
          <w:numId w:val="4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managing our internal development efforts effectively, including the clinical and FDA review process for evorpacept, ALX2004 and any other future product candidates, while complying with applicable contractual obligations to contractors and other third parties; and</w:t>
      </w:r>
    </w:p>
    <w:p>
      <w:pPr>
        <w:spacing w:after="0" w:line="74" w:lineRule="exact"/>
        <w:rPr>
          <w:rFonts w:ascii="PMingLiU" w:cs="PMingLiU" w:eastAsia="PMingLiU" w:hAnsi="PMingLiU"/>
          <w:sz w:val="20"/>
          <w:szCs w:val="20"/>
          <w:color w:val="auto"/>
        </w:rPr>
      </w:pPr>
    </w:p>
    <w:p>
      <w:pPr>
        <w:ind w:left="960" w:hanging="477"/>
        <w:spacing w:after="0"/>
        <w:tabs>
          <w:tab w:leader="none" w:pos="960" w:val="left"/>
        </w:tabs>
        <w:numPr>
          <w:ilvl w:val="0"/>
          <w:numId w:val="4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maintaining and updating our operational, financial and management controls, reporting systems and procedures.</w:t>
      </w:r>
    </w:p>
    <w:p>
      <w:pPr>
        <w:spacing w:after="0" w:line="104"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20"/>
          <w:szCs w:val="20"/>
          <w:color w:val="auto"/>
        </w:rPr>
        <w:t>Our future financial performance and our ability to successfully develop and, if approved, commercialize evorpacept and ALX2004,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w:t>
      </w:r>
    </w:p>
    <w:p>
      <w:pPr>
        <w:spacing w:after="0" w:line="75"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20"/>
          <w:szCs w:val="20"/>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ALX2004 and any other future product candidates or otherwise advance our business. We cannot assure you that we will be able to manage our existing third-party service providers or find other qualified outside contractors and consultants on economically reasonable terms, or at all.</w:t>
      </w:r>
    </w:p>
    <w:p>
      <w:pPr>
        <w:spacing w:after="0" w:line="88"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20"/>
          <w:szCs w:val="20"/>
          <w:color w:val="auto"/>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ALX2004, and other future product candidates and, accordingly, may not achieve our research, development and commercialization goals.</w:t>
      </w:r>
    </w:p>
    <w:p>
      <w:pPr>
        <w:spacing w:after="0" w:line="75"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product candidates are based on a novel technology, which makes it difficult to predict the time and cost of product candidate development.</w:t>
      </w:r>
    </w:p>
    <w:p>
      <w:pPr>
        <w:spacing w:after="0" w:line="51"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20"/>
          <w:szCs w:val="20"/>
          <w:color w:val="auto"/>
        </w:rPr>
        <w:t>We have concentrated our product research and development efforts on our novel immuno-oncology approach, and our future success depends on the successful development of our product candidates, evorpacept and ALX2004,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8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51"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20"/>
          <w:szCs w:val="20"/>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including the previously completed RIF, pausing recruiting efforts, or employee attrition could also create delays in the development of our product candidates, yield unintended consequences and costs, such as the loss of institutional knowledge and expertise, attrition beyond the intended reduction in force, the distraction of employees and reduced employee morale, which could all adversely affect our reputation as an employer, making it more difficult for us to hire new employees in the future and harm our business.</w:t>
      </w:r>
    </w:p>
    <w:p>
      <w:pPr>
        <w:sectPr>
          <w:pgSz w:w="12240" w:h="15840" w:orient="portrait"/>
          <w:cols w:equalWidth="0" w:num="1">
            <w:col w:w="10720"/>
          </w:cols>
          <w:pgMar w:left="760" w:top="974"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70</w:t>
      </w:r>
    </w:p>
    <w:p>
      <w:pPr>
        <w:sectPr>
          <w:pgSz w:w="12240" w:h="15840" w:orient="portrait"/>
          <w:cols w:equalWidth="0" w:num="1">
            <w:col w:w="10720"/>
          </w:cols>
          <w:pgMar w:left="760" w:top="974" w:right="760" w:bottom="223" w:gutter="0" w:footer="0" w:header="0"/>
          <w:type w:val="continuous"/>
        </w:sectPr>
      </w:pPr>
    </w:p>
    <w:bookmarkStart w:id="80" w:name="page81"/>
    <w:bookmarkEnd w:id="80"/>
    <w:p>
      <w:pPr>
        <w:ind w:right="120" w:firstLine="486"/>
        <w:spacing w:after="0" w:line="241" w:lineRule="auto"/>
        <w:rPr>
          <w:sz w:val="20"/>
          <w:szCs w:val="20"/>
          <w:color w:val="auto"/>
        </w:rPr>
      </w:pPr>
      <w:r>
        <w:rPr>
          <w:rFonts w:ascii="Times New Roman" w:cs="Times New Roman" w:eastAsia="Times New Roman" w:hAnsi="Times New Roman"/>
          <w:sz w:val="20"/>
          <w:szCs w:val="20"/>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w:t>
      </w:r>
    </w:p>
    <w:p>
      <w:pPr>
        <w:spacing w:after="0" w:line="89"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84"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51" w:lineRule="exact"/>
        <w:rPr>
          <w:sz w:val="20"/>
          <w:szCs w:val="20"/>
          <w:color w:val="auto"/>
        </w:rPr>
      </w:pPr>
    </w:p>
    <w:p>
      <w:pPr>
        <w:ind w:right="120" w:firstLine="486"/>
        <w:spacing w:after="0" w:line="244" w:lineRule="auto"/>
        <w:rPr>
          <w:sz w:val="20"/>
          <w:szCs w:val="20"/>
          <w:color w:val="auto"/>
        </w:rPr>
      </w:pPr>
      <w:r>
        <w:rPr>
          <w:rFonts w:ascii="Times New Roman" w:cs="Times New Roman" w:eastAsia="Times New Roman" w:hAnsi="Times New Roman"/>
          <w:sz w:val="20"/>
          <w:szCs w:val="20"/>
          <w:color w:val="auto"/>
        </w:rPr>
        <w:t>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82" w:lineRule="exact"/>
        <w:rPr>
          <w:sz w:val="20"/>
          <w:szCs w:val="20"/>
          <w:color w:val="auto"/>
        </w:rPr>
      </w:pPr>
    </w:p>
    <w:p>
      <w:pPr>
        <w:ind w:left="980" w:hanging="496"/>
        <w:spacing w:after="0" w:line="245" w:lineRule="auto"/>
        <w:tabs>
          <w:tab w:leader="none" w:pos="98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w:t>
      </w:r>
    </w:p>
    <w:p>
      <w:pPr>
        <w:spacing w:after="0" w:line="80" w:lineRule="exact"/>
        <w:rPr>
          <w:rFonts w:ascii="PMingLiU" w:cs="PMingLiU" w:eastAsia="PMingLiU" w:hAnsi="PMingLiU"/>
          <w:sz w:val="20"/>
          <w:szCs w:val="20"/>
          <w:color w:val="auto"/>
        </w:rPr>
      </w:pPr>
    </w:p>
    <w:p>
      <w:pPr>
        <w:ind w:left="980" w:hanging="496"/>
        <w:spacing w:after="0"/>
        <w:tabs>
          <w:tab w:leader="none" w:pos="98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failure to obtain and maintain regulatory approvals for the use of our products in various countries;</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rejection or qualification of foreign clinical trial data by the competent authorities of other countries;</w:t>
      </w:r>
    </w:p>
    <w:p>
      <w:pPr>
        <w:spacing w:after="0" w:line="104" w:lineRule="exact"/>
        <w:rPr>
          <w:rFonts w:ascii="PMingLiU" w:cs="PMingLiU" w:eastAsia="PMingLiU" w:hAnsi="PMingLiU"/>
          <w:sz w:val="20"/>
          <w:szCs w:val="20"/>
          <w:color w:val="auto"/>
        </w:rPr>
      </w:pPr>
    </w:p>
    <w:p>
      <w:pPr>
        <w:ind w:left="980" w:right="200" w:hanging="496"/>
        <w:spacing w:after="0" w:line="261" w:lineRule="auto"/>
        <w:tabs>
          <w:tab w:leader="none" w:pos="98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complexities and difficulties in obtaining, maintaining, protecting and enforcing our intellectual property, including as a result of potentially relevant third-party patent rights;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difficulties in staffing and managing foreign operations;</w:t>
      </w:r>
    </w:p>
    <w:p>
      <w:pPr>
        <w:spacing w:after="0" w:line="104" w:lineRule="exact"/>
        <w:rPr>
          <w:rFonts w:ascii="PMingLiU" w:cs="PMingLiU" w:eastAsia="PMingLiU" w:hAnsi="PMingLiU"/>
          <w:sz w:val="20"/>
          <w:szCs w:val="20"/>
          <w:color w:val="auto"/>
        </w:rPr>
      </w:pPr>
    </w:p>
    <w:p>
      <w:pPr>
        <w:ind w:left="960" w:right="380" w:hanging="477"/>
        <w:spacing w:after="0" w:line="261" w:lineRule="auto"/>
        <w:tabs>
          <w:tab w:leader="none" w:pos="96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complexities associated with managing multiple payor reimbursement regimes, government payors or patient self-pay systems;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limits in our ability to penetrate international markets;</w:t>
      </w:r>
    </w:p>
    <w:p>
      <w:pPr>
        <w:spacing w:after="0" w:line="104" w:lineRule="exact"/>
        <w:rPr>
          <w:rFonts w:ascii="PMingLiU" w:cs="PMingLiU" w:eastAsia="PMingLiU" w:hAnsi="PMingLiU"/>
          <w:sz w:val="20"/>
          <w:szCs w:val="20"/>
          <w:color w:val="auto"/>
        </w:rPr>
      </w:pPr>
    </w:p>
    <w:p>
      <w:pPr>
        <w:ind w:left="980" w:right="200" w:hanging="496"/>
        <w:spacing w:after="0" w:line="261" w:lineRule="auto"/>
        <w:tabs>
          <w:tab w:leader="none" w:pos="98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financial risks, such as longer payment cycles, difficulty collecting accounts receivable, the impact of local and regional financial crises on demand and payment for our drugs;</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46"/>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exposure to foreign currency exchange rate fluctuations;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71</w:t>
      </w:r>
    </w:p>
    <w:p>
      <w:pPr>
        <w:sectPr>
          <w:pgSz w:w="12240" w:h="15840" w:orient="portrait"/>
          <w:cols w:equalWidth="0" w:num="1">
            <w:col w:w="10720"/>
          </w:cols>
          <w:pgMar w:left="760" w:top="978" w:right="760" w:bottom="223" w:gutter="0" w:footer="0" w:header="0"/>
          <w:type w:val="continuous"/>
        </w:sectPr>
      </w:pPr>
    </w:p>
    <w:bookmarkStart w:id="81" w:name="page82"/>
    <w:bookmarkEnd w:id="81"/>
    <w:p>
      <w:pPr>
        <w:ind w:left="980" w:right="60" w:hanging="496"/>
        <w:spacing w:after="0" w:line="249" w:lineRule="auto"/>
        <w:tabs>
          <w:tab w:leader="none" w:pos="980" w:val="left"/>
        </w:tabs>
        <w:numPr>
          <w:ilvl w:val="0"/>
          <w:numId w:val="4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w:t>
      </w:r>
    </w:p>
    <w:p>
      <w:pPr>
        <w:spacing w:after="0" w:line="74" w:lineRule="exact"/>
        <w:rPr>
          <w:rFonts w:ascii="PMingLiU" w:cs="PMingLiU" w:eastAsia="PMingLiU" w:hAnsi="PMingLiU"/>
          <w:sz w:val="20"/>
          <w:szCs w:val="20"/>
          <w:color w:val="auto"/>
        </w:rPr>
      </w:pPr>
    </w:p>
    <w:p>
      <w:pPr>
        <w:ind w:left="980" w:right="480" w:hanging="496"/>
        <w:spacing w:after="0" w:line="261" w:lineRule="auto"/>
        <w:tabs>
          <w:tab w:leader="none" w:pos="980" w:val="left"/>
        </w:tabs>
        <w:numPr>
          <w:ilvl w:val="0"/>
          <w:numId w:val="4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natural disasters, such as a fire, an earthquake or a flood, or outbreaks or public health crises, such as the COVID-19 pandemic;</w:t>
      </w:r>
    </w:p>
    <w:p>
      <w:pPr>
        <w:spacing w:after="0" w:line="61" w:lineRule="exact"/>
        <w:rPr>
          <w:rFonts w:ascii="PMingLiU" w:cs="PMingLiU" w:eastAsia="PMingLiU" w:hAnsi="PMingLiU"/>
          <w:sz w:val="20"/>
          <w:szCs w:val="20"/>
          <w:color w:val="auto"/>
        </w:rPr>
      </w:pPr>
    </w:p>
    <w:p>
      <w:pPr>
        <w:ind w:left="980" w:hanging="496"/>
        <w:spacing w:after="0"/>
        <w:tabs>
          <w:tab w:leader="none" w:pos="980" w:val="left"/>
        </w:tabs>
        <w:numPr>
          <w:ilvl w:val="0"/>
          <w:numId w:val="4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 security breach or incident or a related breach of our information systems or data;</w:t>
      </w:r>
    </w:p>
    <w:p>
      <w:pPr>
        <w:spacing w:after="0" w:line="104" w:lineRule="exact"/>
        <w:rPr>
          <w:rFonts w:ascii="PMingLiU" w:cs="PMingLiU" w:eastAsia="PMingLiU" w:hAnsi="PMingLiU"/>
          <w:sz w:val="20"/>
          <w:szCs w:val="20"/>
          <w:color w:val="auto"/>
        </w:rPr>
      </w:pPr>
    </w:p>
    <w:p>
      <w:pPr>
        <w:ind w:left="980" w:hanging="496"/>
        <w:spacing w:after="0"/>
        <w:tabs>
          <w:tab w:leader="none" w:pos="980" w:val="left"/>
        </w:tabs>
        <w:numPr>
          <w:ilvl w:val="0"/>
          <w:numId w:val="4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certain expenses including, among others, expenses for travel, translation and insurance; and</w:t>
      </w:r>
    </w:p>
    <w:p>
      <w:pPr>
        <w:spacing w:after="0" w:line="104" w:lineRule="exact"/>
        <w:rPr>
          <w:rFonts w:ascii="PMingLiU" w:cs="PMingLiU" w:eastAsia="PMingLiU" w:hAnsi="PMingLiU"/>
          <w:sz w:val="20"/>
          <w:szCs w:val="20"/>
          <w:color w:val="auto"/>
        </w:rPr>
      </w:pPr>
    </w:p>
    <w:p>
      <w:pPr>
        <w:jc w:val="both"/>
        <w:ind w:left="960" w:right="400" w:hanging="477"/>
        <w:spacing w:after="0" w:line="249" w:lineRule="auto"/>
        <w:tabs>
          <w:tab w:leader="none" w:pos="960" w:val="left"/>
        </w:tabs>
        <w:numPr>
          <w:ilvl w:val="0"/>
          <w:numId w:val="4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Any of these factors could harm our future international expansion and operations and, consequently, our results of operations.</w:t>
      </w:r>
    </w:p>
    <w:p>
      <w:pPr>
        <w:spacing w:after="0" w:line="11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69" w:lineRule="exact"/>
        <w:rPr>
          <w:sz w:val="20"/>
          <w:szCs w:val="20"/>
          <w:color w:val="auto"/>
        </w:rPr>
      </w:pPr>
    </w:p>
    <w:p>
      <w:pPr>
        <w:ind w:right="180" w:firstLine="486"/>
        <w:spacing w:after="0" w:line="243" w:lineRule="auto"/>
        <w:rPr>
          <w:sz w:val="20"/>
          <w:szCs w:val="20"/>
          <w:color w:val="auto"/>
        </w:rPr>
      </w:pPr>
      <w:r>
        <w:rPr>
          <w:rFonts w:ascii="Times New Roman" w:cs="Times New Roman" w:eastAsia="Times New Roman" w:hAnsi="Times New Roman"/>
          <w:sz w:val="20"/>
          <w:szCs w:val="20"/>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 -quality partners, if we fail to negotiate cost-effective relationships with them, or if we ineffectively manage these relationships, it could have an adverse impact on our business and financial performance.</w:t>
      </w:r>
    </w:p>
    <w:p>
      <w:pPr>
        <w:spacing w:after="0" w:line="84"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20"/>
          <w:szCs w:val="20"/>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81"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51"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88" w:lineRule="exact"/>
        <w:rPr>
          <w:sz w:val="20"/>
          <w:szCs w:val="20"/>
          <w:color w:val="auto"/>
        </w:rPr>
      </w:pPr>
    </w:p>
    <w:p>
      <w:pPr>
        <w:ind w:right="80" w:firstLine="486"/>
        <w:spacing w:after="0" w:line="247" w:lineRule="auto"/>
        <w:rPr>
          <w:sz w:val="20"/>
          <w:szCs w:val="20"/>
          <w:color w:val="auto"/>
        </w:rPr>
      </w:pPr>
      <w:r>
        <w:rPr>
          <w:rFonts w:ascii="Times New Roman" w:cs="Times New Roman" w:eastAsia="Times New Roman" w:hAnsi="Times New Roman"/>
          <w:sz w:val="20"/>
          <w:szCs w:val="20"/>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78" w:lineRule="exact"/>
        <w:rPr>
          <w:sz w:val="20"/>
          <w:szCs w:val="20"/>
          <w:color w:val="auto"/>
        </w:rPr>
      </w:pPr>
    </w:p>
    <w:p>
      <w:pPr>
        <w:ind w:right="120" w:firstLine="487"/>
        <w:spacing w:after="0" w:line="245" w:lineRule="auto"/>
        <w:rPr>
          <w:sz w:val="20"/>
          <w:szCs w:val="20"/>
          <w:color w:val="auto"/>
        </w:rPr>
      </w:pPr>
      <w:r>
        <w:rPr>
          <w:rFonts w:ascii="Times New Roman" w:cs="Times New Roman" w:eastAsia="Times New Roman" w:hAnsi="Times New Roman"/>
          <w:sz w:val="20"/>
          <w:szCs w:val="20"/>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ectPr>
          <w:pgSz w:w="12240" w:h="15840" w:orient="portrait"/>
          <w:cols w:equalWidth="0" w:num="1">
            <w:col w:w="10700"/>
          </w:cols>
          <w:pgMar w:left="760" w:top="978"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72</w:t>
      </w:r>
    </w:p>
    <w:p>
      <w:pPr>
        <w:sectPr>
          <w:pgSz w:w="12240" w:h="15840" w:orient="portrait"/>
          <w:cols w:equalWidth="0" w:num="1">
            <w:col w:w="10700"/>
          </w:cols>
          <w:pgMar w:left="760" w:top="978" w:right="780" w:bottom="223" w:gutter="0" w:footer="0" w:header="0"/>
          <w:type w:val="continuous"/>
        </w:sectPr>
      </w:pPr>
    </w:p>
    <w:bookmarkStart w:id="82" w:name="page83"/>
    <w:bookmarkEnd w:id="82"/>
    <w:p>
      <w:pPr>
        <w:ind w:right="5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ind w:right="380" w:firstLine="487"/>
        <w:spacing w:after="0" w:line="250" w:lineRule="auto"/>
        <w:rPr>
          <w:sz w:val="20"/>
          <w:szCs w:val="20"/>
          <w:color w:val="auto"/>
        </w:rPr>
      </w:pPr>
      <w:r>
        <w:rPr>
          <w:rFonts w:ascii="Times New Roman" w:cs="Times New Roman" w:eastAsia="Times New Roman" w:hAnsi="Times New Roman"/>
          <w:sz w:val="20"/>
          <w:szCs w:val="20"/>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spacing w:after="0" w:line="75" w:lineRule="exact"/>
        <w:rPr>
          <w:sz w:val="20"/>
          <w:szCs w:val="20"/>
          <w:color w:val="auto"/>
        </w:rPr>
      </w:pPr>
    </w:p>
    <w:p>
      <w:pPr>
        <w:ind w:right="20" w:firstLine="487"/>
        <w:spacing w:after="0" w:line="242" w:lineRule="auto"/>
        <w:rPr>
          <w:sz w:val="20"/>
          <w:szCs w:val="20"/>
          <w:color w:val="auto"/>
        </w:rPr>
      </w:pPr>
      <w:r>
        <w:rPr>
          <w:rFonts w:ascii="Times New Roman" w:cs="Times New Roman" w:eastAsia="Times New Roman" w:hAnsi="Times New Roman"/>
          <w:sz w:val="20"/>
          <w:szCs w:val="20"/>
          <w:color w:val="auto"/>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spacing w:after="0" w:line="8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75"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20"/>
          <w:szCs w:val="20"/>
          <w:color w:val="auto"/>
        </w:rPr>
        <w:t>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88" w:lineRule="exact"/>
        <w:rPr>
          <w:sz w:val="20"/>
          <w:szCs w:val="20"/>
          <w:color w:val="auto"/>
        </w:rPr>
      </w:pPr>
    </w:p>
    <w:p>
      <w:pPr>
        <w:ind w:firstLine="492"/>
        <w:spacing w:after="0" w:line="244" w:lineRule="auto"/>
        <w:rPr>
          <w:sz w:val="20"/>
          <w:szCs w:val="20"/>
          <w:color w:val="auto"/>
        </w:rPr>
      </w:pPr>
      <w:r>
        <w:rPr>
          <w:rFonts w:ascii="Times New Roman" w:cs="Times New Roman" w:eastAsia="Times New Roman" w:hAnsi="Times New Roman"/>
          <w:sz w:val="20"/>
          <w:szCs w:val="20"/>
          <w:color w:val="auto"/>
        </w:rPr>
        <w:t>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82"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20"/>
          <w:szCs w:val="20"/>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2240" w:h="15840" w:orient="portrait"/>
          <w:cols w:equalWidth="0" w:num="1">
            <w:col w:w="10720"/>
          </w:cols>
          <w:pgMar w:left="760" w:top="978" w:right="760" w:bottom="223" w:gutter="0" w:footer="0" w:header="0"/>
          <w:type w:val="continuous"/>
        </w:sectPr>
      </w:pPr>
    </w:p>
    <w:bookmarkStart w:id="83" w:name="page84"/>
    <w:bookmarkEnd w:id="83"/>
    <w:p>
      <w:pPr>
        <w:ind w:firstLine="486"/>
        <w:spacing w:after="0" w:line="241" w:lineRule="auto"/>
        <w:rPr>
          <w:sz w:val="20"/>
          <w:szCs w:val="20"/>
          <w:color w:val="auto"/>
        </w:rPr>
      </w:pPr>
      <w:r>
        <w:rPr>
          <w:rFonts w:ascii="Times New Roman" w:cs="Times New Roman" w:eastAsia="Times New Roman" w:hAnsi="Times New Roman"/>
          <w:sz w:val="20"/>
          <w:szCs w:val="20"/>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acquire businesses or assets and we may not realize the benefits of such acquisitions.</w:t>
      </w:r>
    </w:p>
    <w:p>
      <w:pPr>
        <w:spacing w:after="0" w:line="118" w:lineRule="exact"/>
        <w:rPr>
          <w:sz w:val="20"/>
          <w:szCs w:val="20"/>
          <w:color w:val="auto"/>
        </w:rPr>
      </w:pPr>
    </w:p>
    <w:p>
      <w:pPr>
        <w:ind w:right="120" w:firstLine="486"/>
        <w:spacing w:after="0" w:line="243" w:lineRule="auto"/>
        <w:rPr>
          <w:sz w:val="20"/>
          <w:szCs w:val="20"/>
          <w:color w:val="auto"/>
        </w:rPr>
      </w:pPr>
      <w:r>
        <w:rPr>
          <w:rFonts w:ascii="Times New Roman" w:cs="Times New Roman" w:eastAsia="Times New Roman" w:hAnsi="Times New Roman"/>
          <w:sz w:val="20"/>
          <w:szCs w:val="20"/>
          <w:color w:val="auto"/>
        </w:rPr>
        <w:t>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w:t>
      </w:r>
    </w:p>
    <w:p>
      <w:pPr>
        <w:spacing w:after="0" w:line="84" w:lineRule="exact"/>
        <w:rPr>
          <w:sz w:val="20"/>
          <w:szCs w:val="20"/>
          <w:color w:val="auto"/>
        </w:rPr>
      </w:pPr>
    </w:p>
    <w:p>
      <w:pPr>
        <w:ind w:right="120" w:firstLine="486"/>
        <w:spacing w:after="0" w:line="247" w:lineRule="auto"/>
        <w:rPr>
          <w:sz w:val="20"/>
          <w:szCs w:val="20"/>
          <w:color w:val="auto"/>
        </w:rPr>
      </w:pPr>
      <w:r>
        <w:rPr>
          <w:rFonts w:ascii="Times New Roman" w:cs="Times New Roman" w:eastAsia="Times New Roman" w:hAnsi="Times New Roman"/>
          <w:sz w:val="20"/>
          <w:szCs w:val="20"/>
          <w:color w:val="auto"/>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utilize our net operating loss carryforwards and certain other tax attributes may be limited.</w:t>
      </w:r>
    </w:p>
    <w:p>
      <w:pPr>
        <w:spacing w:after="0" w:line="118" w:lineRule="exact"/>
        <w:rPr>
          <w:sz w:val="20"/>
          <w:szCs w:val="20"/>
          <w:color w:val="auto"/>
        </w:rPr>
      </w:pPr>
    </w:p>
    <w:p>
      <w:pPr>
        <w:ind w:right="20" w:firstLine="487"/>
        <w:spacing w:after="0" w:line="241" w:lineRule="auto"/>
        <w:rPr>
          <w:sz w:val="20"/>
          <w:szCs w:val="20"/>
          <w:color w:val="auto"/>
        </w:rPr>
      </w:pPr>
      <w:r>
        <w:rPr>
          <w:rFonts w:ascii="Times New Roman" w:cs="Times New Roman" w:eastAsia="Times New Roman" w:hAnsi="Times New Roman"/>
          <w:sz w:val="20"/>
          <w:szCs w:val="20"/>
          <w:color w:val="auto"/>
        </w:rPr>
        <w:t>Under the U.S. Internal Revenue Code of 1986, as amended, if a corporation undergoes an “ownership change” (generally defined as a greater than 50%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2025, we had net operating loss carryforwards of approximately $305.4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carryforwards will begin to expire beginning in 2038. Other limitations may apply under state law. For example, California legislation suspends the use of state net operating losses by taxpayers with net business income or modified adjusted gross income of $1 million or more for tax years beginning on or after January 1, 2024 and before January 1, 2027.</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tax laws or in their implementation or interpretation may adversely affect our business and financial condition.</w:t>
      </w:r>
    </w:p>
    <w:p>
      <w:pPr>
        <w:spacing w:after="0" w:line="118" w:lineRule="exact"/>
        <w:rPr>
          <w:sz w:val="20"/>
          <w:szCs w:val="20"/>
          <w:color w:val="auto"/>
        </w:rPr>
      </w:pPr>
    </w:p>
    <w:p>
      <w:pPr>
        <w:ind w:right="120" w:firstLine="486"/>
        <w:spacing w:after="0" w:line="242" w:lineRule="auto"/>
        <w:rPr>
          <w:sz w:val="20"/>
          <w:szCs w:val="20"/>
          <w:color w:val="auto"/>
        </w:rPr>
      </w:pPr>
      <w:r>
        <w:rPr>
          <w:rFonts w:ascii="Times New Roman" w:cs="Times New Roman" w:eastAsia="Times New Roman" w:hAnsi="Times New Roman"/>
          <w:sz w:val="20"/>
          <w:szCs w:val="20"/>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the Organisation for Economic Co-operation and Development, or OECD, has proposed implementing a global minimum tax of 15%, or Pillar Two, which has been implemented into the domestic laws of European Union member countries and is being considered for implementation by other countries. However, on January 5, 2026, the OECD announced a side-by-side elective safe harbor that exempts U.S.-parented multinational businesses from certain provisions of Pillar Two for fiscal years beginning on or after January 1, 2026. Changes in tax laws, regulations, or rulings, changes in interpretations of existing laws and regulations, or changes in accounting principles could negatively and materially affect our financial position, cash flows, and results of operations.</w:t>
      </w:r>
    </w:p>
    <w:p>
      <w:pPr>
        <w:sectPr>
          <w:pgSz w:w="12240" w:h="15840" w:orient="portrait"/>
          <w:cols w:equalWidth="0" w:num="1">
            <w:col w:w="10700"/>
          </w:cols>
          <w:pgMar w:left="760" w:top="978"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74</w:t>
      </w:r>
    </w:p>
    <w:p>
      <w:pPr>
        <w:sectPr>
          <w:pgSz w:w="12240" w:h="15840" w:orient="portrait"/>
          <w:cols w:equalWidth="0" w:num="1">
            <w:col w:w="10700"/>
          </w:cols>
          <w:pgMar w:left="760" w:top="978" w:right="780" w:bottom="223"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know whether an active, liquid and orderly trading market will be sustained for our common stock.</w:t>
      </w:r>
    </w:p>
    <w:p>
      <w:pPr>
        <w:spacing w:after="0" w:line="118" w:lineRule="exact"/>
        <w:rPr>
          <w:sz w:val="20"/>
          <w:szCs w:val="20"/>
          <w:color w:val="auto"/>
        </w:rPr>
      </w:pPr>
    </w:p>
    <w:p>
      <w:pPr>
        <w:jc w:val="both"/>
        <w:ind w:right="180" w:firstLine="486"/>
        <w:spacing w:after="0" w:line="250" w:lineRule="auto"/>
        <w:rPr>
          <w:sz w:val="20"/>
          <w:szCs w:val="20"/>
          <w:color w:val="auto"/>
        </w:rPr>
      </w:pPr>
      <w:r>
        <w:rPr>
          <w:rFonts w:ascii="Times New Roman" w:cs="Times New Roman" w:eastAsia="Times New Roman" w:hAnsi="Times New Roman"/>
          <w:sz w:val="20"/>
          <w:szCs w:val="20"/>
          <w:color w:val="auto"/>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spacing w:after="0" w:line="75" w:lineRule="exact"/>
        <w:rPr>
          <w:sz w:val="20"/>
          <w:szCs w:val="20"/>
          <w:color w:val="auto"/>
        </w:rPr>
      </w:pPr>
    </w:p>
    <w:p>
      <w:pPr>
        <w:jc w:val="both"/>
        <w:ind w:right="2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we sell shares of our common stock in future financings, stockholders may experience immediate dilution and, as a result, our stock price may decline.</w:t>
      </w:r>
    </w:p>
    <w:p>
      <w:pPr>
        <w:spacing w:after="0" w:line="51"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20"/>
          <w:szCs w:val="20"/>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2025 Shelf Registration Statement provides for aggregate offerings of up to $364.1 million of the Company’s securities inclusive of up to $119.1 million of shares of our common stock through the at-the-market, or ATM, offering. From December 2021 to December 31, 2025, we sold an aggregate of 3,175,681 shares of common stock under our ATM offering. On October 10, 2023, we completed a registered offering (the October 2023 Offering) for the issuance and sale of an aggregate of 8,663,793 shares of common stock at an offering price of $6.38 per share and pre-funded warrants to purchase 1,250,000 shares of common stock at an offering price of $6.379 per pre-funded warrant. On February 2, 2026, we completed the February 2026 Offering for the issuance and sale of an aggregate of 76,979,112 shares of common stock at an offering price of $1.57 per share and pre-funded warrants to purchase 18,574,120 shares of common stock at an offering price of $1.569 per pre-funded warrant. Our stockholders may be further diluted by the exercise of the pre-funded warrants issued in the October 2023 Offering and February 2026 Offering. As of December 31, 2025, no shares underlying the pre-funded warrants had been exercised. If we issue common stock or securities convertible into common stock, our stockholders will experience additional dilution and our stock price may decline.</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price of our stock may be volatile, and you could lose all or part of your investment.</w:t>
      </w:r>
    </w:p>
    <w:p>
      <w:pPr>
        <w:spacing w:after="0" w:line="118"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20"/>
          <w:szCs w:val="20"/>
          <w:color w:val="auto"/>
        </w:rPr>
        <w:t>The trading price of our common stock has been and may be highly volatile and subject to wide fluctuations in response to various factors, some of which are beyond our control. In addition to those discussed in this “Risk Factors” section and elsewhere in this Annual Report on Form 10-K, the following factors may cause the market price of our common stock to fluctuate:</w:t>
      </w:r>
    </w:p>
    <w:p>
      <w:pPr>
        <w:spacing w:after="0" w:line="69" w:lineRule="exact"/>
        <w:rPr>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results and timing of our preclinical studies and clinical trials and studies and trials of our competitors;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failure or discontinuation of any of our development programs;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issues in manufacturing our product candidates or any future approved products;</w:t>
      </w:r>
    </w:p>
    <w:p>
      <w:pPr>
        <w:spacing w:after="0" w:line="104" w:lineRule="exact"/>
        <w:rPr>
          <w:rFonts w:ascii="PMingLiU" w:cs="PMingLiU" w:eastAsia="PMingLiU" w:hAnsi="PMingLiU"/>
          <w:sz w:val="20"/>
          <w:szCs w:val="20"/>
          <w:color w:val="auto"/>
        </w:rPr>
      </w:pPr>
    </w:p>
    <w:p>
      <w:pPr>
        <w:ind w:left="960" w:right="80" w:hanging="477"/>
        <w:spacing w:after="0" w:line="261" w:lineRule="auto"/>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regulatory developments or enforcement in the United States and foreign countries with respect to our product candidates or our competitors’ products;</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competition from existing products or new products that may emerge;</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actual or anticipated changes in our growth and development relative to our competitors;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developments or disputes concerning patents or other proprietary rights;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introduction of new product candidates or technological innovations by us or our competitors;</w:t>
      </w:r>
    </w:p>
    <w:p>
      <w:pPr>
        <w:spacing w:after="0" w:line="104" w:lineRule="exact"/>
        <w:rPr>
          <w:rFonts w:ascii="PMingLiU" w:cs="PMingLiU" w:eastAsia="PMingLiU" w:hAnsi="PMingLiU"/>
          <w:sz w:val="20"/>
          <w:szCs w:val="20"/>
          <w:color w:val="auto"/>
        </w:rPr>
      </w:pPr>
    </w:p>
    <w:p>
      <w:pPr>
        <w:ind w:left="960" w:right="260" w:hanging="477"/>
        <w:spacing w:after="0" w:line="261" w:lineRule="auto"/>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announcements by us, our future strategic partners or our competitors of significant acquisitions, strategic partnerships, joint ventures or capital commitments;</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actual or anticipated changes in estimates or recommendations by securities analysts, if any cover our common stock;</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fluctuations in the valuation of companies perceived by investors to be comparable to us;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public concern over our product candidates or any future approved products;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litigation;</w:t>
      </w:r>
    </w:p>
    <w:p>
      <w:pPr>
        <w:spacing w:after="0" w:line="104" w:lineRule="exact"/>
        <w:rPr>
          <w:rFonts w:ascii="PMingLiU" w:cs="PMingLiU" w:eastAsia="PMingLiU" w:hAnsi="PMingLiU"/>
          <w:sz w:val="20"/>
          <w:szCs w:val="20"/>
          <w:color w:val="auto"/>
        </w:rPr>
      </w:pPr>
    </w:p>
    <w:p>
      <w:pPr>
        <w:ind w:left="960" w:right="140" w:hanging="477"/>
        <w:spacing w:after="0" w:line="261" w:lineRule="auto"/>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future sales of our common stock by us, our insiders or our other stockholders including pursuant to the existing primary and secondary shelf registration statements that we have filed with the SEC;</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expiration of market stand-off or lock-up agreements;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share price and volume fluctuations attributable to inconsistent trading volume levels of our shares;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market perceptions of our ability to maintain our listing on Nasdaq;</w:t>
      </w:r>
    </w:p>
    <w:p>
      <w:pPr>
        <w:sectPr>
          <w:pgSz w:w="12240" w:h="15840" w:orient="portrait"/>
          <w:cols w:equalWidth="0" w:num="1">
            <w:col w:w="10700"/>
          </w:cols>
          <w:pgMar w:left="760" w:top="974" w:right="780" w:bottom="223"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2240" w:h="15840" w:orient="portrait"/>
          <w:cols w:equalWidth="0" w:num="1">
            <w:col w:w="10700"/>
          </w:cols>
          <w:pgMar w:left="760" w:top="974" w:right="780" w:bottom="223" w:gutter="0" w:footer="0" w:header="0"/>
          <w:type w:val="continuous"/>
        </w:sectPr>
      </w:pPr>
    </w:p>
    <w:bookmarkStart w:id="85" w:name="page86"/>
    <w:bookmarkEnd w:id="85"/>
    <w:p>
      <w:pPr>
        <w:ind w:left="960" w:hanging="477"/>
        <w:spacing w:after="0"/>
        <w:tabs>
          <w:tab w:leader="none" w:pos="960" w:val="left"/>
        </w:tabs>
        <w:numPr>
          <w:ilvl w:val="0"/>
          <w:numId w:val="4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additions or departures of key personnel;</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announcement of actual or anticipated reduction in force, including the RIF;</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changes in the structure of health care payment systems in the United States or overseas;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failure of any of our product candidates, if approved, to achieve commercial success;</w:t>
      </w:r>
    </w:p>
    <w:p>
      <w:pPr>
        <w:spacing w:after="0" w:line="104" w:lineRule="exact"/>
        <w:rPr>
          <w:rFonts w:ascii="PMingLiU" w:cs="PMingLiU" w:eastAsia="PMingLiU" w:hAnsi="PMingLiU"/>
          <w:sz w:val="20"/>
          <w:szCs w:val="20"/>
          <w:color w:val="auto"/>
        </w:rPr>
      </w:pPr>
    </w:p>
    <w:p>
      <w:pPr>
        <w:ind w:left="960" w:right="440" w:hanging="477"/>
        <w:spacing w:after="0" w:line="245" w:lineRule="auto"/>
        <w:tabs>
          <w:tab w:leader="none" w:pos="960" w:val="left"/>
        </w:tabs>
        <w:numPr>
          <w:ilvl w:val="0"/>
          <w:numId w:val="4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w:t>
      </w:r>
    </w:p>
    <w:p>
      <w:pPr>
        <w:spacing w:after="0" w:line="80" w:lineRule="exact"/>
        <w:rPr>
          <w:rFonts w:ascii="PMingLiU" w:cs="PMingLiU" w:eastAsia="PMingLiU" w:hAnsi="PMingLiU"/>
          <w:sz w:val="20"/>
          <w:szCs w:val="20"/>
          <w:color w:val="auto"/>
        </w:rPr>
      </w:pPr>
    </w:p>
    <w:p>
      <w:pPr>
        <w:ind w:left="960" w:right="520" w:hanging="477"/>
        <w:spacing w:after="0" w:line="261" w:lineRule="auto"/>
        <w:tabs>
          <w:tab w:leader="none" w:pos="960" w:val="left"/>
        </w:tabs>
        <w:numPr>
          <w:ilvl w:val="0"/>
          <w:numId w:val="4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period-to-period fluctuations in our financial condition and results of operations, including the timing of payment or receipt of any future milestone or other payments under commercialization or licensing agreements;</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4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announcements or expectations of additional financing efforts;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49"/>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overall fluctuations in U.S. equity markets, general market conditions and market conditions for biotechnology stocks; and</w:t>
      </w:r>
    </w:p>
    <w:p>
      <w:pPr>
        <w:spacing w:after="0" w:line="116" w:lineRule="exact"/>
        <w:rPr>
          <w:rFonts w:ascii="PMingLiU" w:cs="PMingLiU" w:eastAsia="PMingLiU" w:hAnsi="PMingLiU"/>
          <w:sz w:val="19"/>
          <w:szCs w:val="19"/>
          <w:color w:val="auto"/>
        </w:rPr>
      </w:pPr>
    </w:p>
    <w:p>
      <w:pPr>
        <w:ind w:left="960" w:hanging="477"/>
        <w:spacing w:after="0"/>
        <w:tabs>
          <w:tab w:leader="none" w:pos="960" w:val="left"/>
        </w:tabs>
        <w:numPr>
          <w:ilvl w:val="0"/>
          <w:numId w:val="49"/>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other factors that may be unanticipated or out of our control.</w:t>
      </w:r>
    </w:p>
    <w:p>
      <w:pPr>
        <w:spacing w:after="0" w:line="104" w:lineRule="exact"/>
        <w:rPr>
          <w:sz w:val="20"/>
          <w:szCs w:val="20"/>
          <w:color w:val="auto"/>
        </w:rPr>
      </w:pPr>
    </w:p>
    <w:p>
      <w:pPr>
        <w:ind w:right="80" w:firstLine="486"/>
        <w:spacing w:after="0" w:line="245" w:lineRule="auto"/>
        <w:rPr>
          <w:sz w:val="20"/>
          <w:szCs w:val="20"/>
          <w:color w:val="auto"/>
        </w:rPr>
      </w:pPr>
      <w:r>
        <w:rPr>
          <w:rFonts w:ascii="Times New Roman" w:cs="Times New Roman" w:eastAsia="Times New Roman" w:hAnsi="Times New Roman"/>
          <w:sz w:val="20"/>
          <w:szCs w:val="20"/>
          <w:color w:val="auto"/>
        </w:rPr>
        <w:t>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81" w:lineRule="exact"/>
        <w:rPr>
          <w:sz w:val="20"/>
          <w:szCs w:val="20"/>
          <w:color w:val="auto"/>
        </w:rPr>
      </w:pPr>
    </w:p>
    <w:p>
      <w:pPr>
        <w:ind w:right="140" w:firstLine="487"/>
        <w:spacing w:after="0" w:line="274" w:lineRule="auto"/>
        <w:rPr>
          <w:sz w:val="20"/>
          <w:szCs w:val="20"/>
          <w:color w:val="auto"/>
        </w:rPr>
      </w:pPr>
      <w:r>
        <w:rPr>
          <w:rFonts w:ascii="Times New Roman" w:cs="Times New Roman" w:eastAsia="Times New Roman" w:hAnsi="Times New Roman"/>
          <w:sz w:val="20"/>
          <w:szCs w:val="20"/>
          <w:color w:val="auto"/>
        </w:rPr>
        <w:t>The realization of any of the above risks or any of a broad range of other risks, including those described in this “Risk Factors” section, could have a dramatic and adverse impact on the market price of our common stock.</w:t>
      </w:r>
    </w:p>
    <w:p>
      <w:pPr>
        <w:spacing w:after="0" w:line="51"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listing of our securities on the Nasdaq Global Select Market or another reputable stock exchange, it may be more difficult for our stockholders to sell their securities.</w:t>
      </w:r>
    </w:p>
    <w:p>
      <w:pPr>
        <w:spacing w:after="0" w:line="51" w:lineRule="exact"/>
        <w:rPr>
          <w:sz w:val="20"/>
          <w:szCs w:val="20"/>
          <w:color w:val="auto"/>
        </w:rPr>
      </w:pPr>
    </w:p>
    <w:p>
      <w:pPr>
        <w:ind w:right="420" w:firstLine="487"/>
        <w:spacing w:after="0" w:line="250" w:lineRule="auto"/>
        <w:rPr>
          <w:sz w:val="20"/>
          <w:szCs w:val="20"/>
          <w:color w:val="auto"/>
        </w:rPr>
      </w:pPr>
      <w:r>
        <w:rPr>
          <w:rFonts w:ascii="Times New Roman" w:cs="Times New Roman" w:eastAsia="Times New Roman" w:hAnsi="Times New Roman"/>
          <w:sz w:val="20"/>
          <w:szCs w:val="20"/>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it could have a materially adverse effect on our ability to raise additional funds as well as on the price and liquidity of our common stock.</w:t>
      </w:r>
    </w:p>
    <w:p>
      <w:pPr>
        <w:spacing w:after="0" w:line="75" w:lineRule="exact"/>
        <w:rPr>
          <w:sz w:val="20"/>
          <w:szCs w:val="20"/>
          <w:color w:val="auto"/>
        </w:rPr>
      </w:pPr>
    </w:p>
    <w:p>
      <w:pPr>
        <w:ind w:right="40" w:firstLine="487"/>
        <w:spacing w:after="0" w:line="254" w:lineRule="auto"/>
        <w:rPr>
          <w:sz w:val="20"/>
          <w:szCs w:val="20"/>
          <w:color w:val="auto"/>
        </w:rPr>
      </w:pPr>
      <w:r>
        <w:rPr>
          <w:rFonts w:ascii="Times New Roman" w:cs="Times New Roman" w:eastAsia="Times New Roman" w:hAnsi="Times New Roman"/>
          <w:sz w:val="19"/>
          <w:szCs w:val="19"/>
          <w:color w:val="auto"/>
        </w:rPr>
        <w:t>For example, if at any time the bid price of our common stock closes below $1.00 per share for more than 30 consecutive business days, we may be subject to delisting from the Nasdaq Global Select Market. On April 23, 2025, we received a notice from Nasdaq notifying us that we have not been in compliance with the minimum bid price requirement for continued listing on the Nasdaq Global Select Market set forth in Nasdaq Listing Rule 5450(a)(1) for a period of 30 consecutive business days. In accordance with Nasdaq Listing Rule 5810(c)(3)(A), we have been provided a compliance period of 180 calendar days from the date of the Notice, or until October 20, 2025, to regain compliance (subject to any additional 180-day compliance period which may be available to us).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In September 2025, we received written confirmation from the Staff of Nasdaq that we had regained compliance with the minimum bid price requirement, as the closing bid price of our common stock had been at $ 1.00 per share or greater for ten consecutive business days. However, there can be no assurance that we will be able to maintain compliance with the minimum bid price requirement or other Nasdaq listing standards. To the extent that we are unable to maintain compliance with Nasdaq listing standards, there is a risk that our common stock may be delisted from Nasdaq, which would adversely impact liquidity of our common stock and potentially result in even lower bid prices for our common stock.</w:t>
      </w:r>
    </w:p>
    <w:p>
      <w:pPr>
        <w:spacing w:after="0" w:line="80"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51" w:lineRule="exact"/>
        <w:rPr>
          <w:sz w:val="20"/>
          <w:szCs w:val="20"/>
          <w:color w:val="auto"/>
        </w:rPr>
      </w:pPr>
    </w:p>
    <w:p>
      <w:pPr>
        <w:ind w:right="60" w:firstLine="487"/>
        <w:spacing w:after="0" w:line="247" w:lineRule="auto"/>
        <w:rPr>
          <w:sz w:val="20"/>
          <w:szCs w:val="20"/>
          <w:color w:val="auto"/>
        </w:rPr>
      </w:pPr>
      <w:r>
        <w:rPr>
          <w:rFonts w:ascii="Times New Roman" w:cs="Times New Roman" w:eastAsia="Times New Roman" w:hAnsi="Times New Roman"/>
          <w:sz w:val="20"/>
          <w:szCs w:val="20"/>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76</w:t>
      </w:r>
    </w:p>
    <w:p>
      <w:pPr>
        <w:sectPr>
          <w:pgSz w:w="12240" w:h="15840" w:orient="portrait"/>
          <w:cols w:equalWidth="0" w:num="1">
            <w:col w:w="10720"/>
          </w:cols>
          <w:pgMar w:left="760" w:top="978" w:right="760" w:bottom="223" w:gutter="0" w:footer="0" w:header="0"/>
          <w:type w:val="continuous"/>
        </w:sectPr>
      </w:pPr>
    </w:p>
    <w:bookmarkStart w:id="86" w:name="page87"/>
    <w:bookmarkEnd w:id="86"/>
    <w:p>
      <w:pPr>
        <w:ind w:right="40" w:firstLine="486"/>
        <w:spacing w:after="0" w:line="250" w:lineRule="auto"/>
        <w:rPr>
          <w:sz w:val="20"/>
          <w:szCs w:val="20"/>
          <w:color w:val="auto"/>
        </w:rPr>
      </w:pPr>
      <w:r>
        <w:rPr>
          <w:rFonts w:ascii="Times New Roman" w:cs="Times New Roman" w:eastAsia="Times New Roman" w:hAnsi="Times New Roman"/>
          <w:sz w:val="20"/>
          <w:szCs w:val="20"/>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75" w:lineRule="exact"/>
        <w:rPr>
          <w:sz w:val="20"/>
          <w:szCs w:val="20"/>
          <w:color w:val="auto"/>
        </w:rPr>
      </w:pPr>
    </w:p>
    <w:p>
      <w:pPr>
        <w:ind w:right="140" w:firstLine="486"/>
        <w:spacing w:after="0" w:line="274" w:lineRule="auto"/>
        <w:rPr>
          <w:sz w:val="20"/>
          <w:szCs w:val="20"/>
          <w:color w:val="auto"/>
        </w:rPr>
      </w:pPr>
      <w:r>
        <w:rPr>
          <w:rFonts w:ascii="Times New Roman" w:cs="Times New Roman" w:eastAsia="Times New Roman" w:hAnsi="Times New Roman"/>
          <w:sz w:val="20"/>
          <w:szCs w:val="20"/>
          <w:color w:val="auto"/>
        </w:rPr>
        <w:t>Furthermore, our operating results may fluctuate due to a variety of other factors, many of which are outside of our control and may be difficult to predict, including the following:</w:t>
      </w:r>
    </w:p>
    <w:p>
      <w:pPr>
        <w:spacing w:after="0" w:line="51" w:lineRule="exact"/>
        <w:rPr>
          <w:sz w:val="20"/>
          <w:szCs w:val="20"/>
          <w:color w:val="auto"/>
        </w:rPr>
      </w:pPr>
    </w:p>
    <w:p>
      <w:pPr>
        <w:jc w:val="both"/>
        <w:ind w:left="960" w:right="460" w:hanging="477"/>
        <w:spacing w:after="0" w:line="268" w:lineRule="auto"/>
        <w:tabs>
          <w:tab w:leader="none" w:pos="960" w:val="left"/>
        </w:tabs>
        <w:numPr>
          <w:ilvl w:val="0"/>
          <w:numId w:val="50"/>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w:t>
      </w:r>
    </w:p>
    <w:p>
      <w:pPr>
        <w:spacing w:after="0" w:line="58" w:lineRule="exact"/>
        <w:rPr>
          <w:rFonts w:ascii="PMingLiU" w:cs="PMingLiU" w:eastAsia="PMingLiU" w:hAnsi="PMingLiU"/>
          <w:sz w:val="19"/>
          <w:szCs w:val="19"/>
          <w:color w:val="auto"/>
        </w:rPr>
      </w:pPr>
    </w:p>
    <w:p>
      <w:pPr>
        <w:ind w:left="960" w:hanging="477"/>
        <w:spacing w:after="0"/>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enroll subjects in clinical trials and the timing of enrollment;</w:t>
      </w:r>
    </w:p>
    <w:p>
      <w:pPr>
        <w:spacing w:after="0" w:line="104" w:lineRule="exact"/>
        <w:rPr>
          <w:rFonts w:ascii="PMingLiU" w:cs="PMingLiU" w:eastAsia="PMingLiU" w:hAnsi="PMingLiU"/>
          <w:sz w:val="20"/>
          <w:szCs w:val="20"/>
          <w:color w:val="auto"/>
        </w:rPr>
      </w:pPr>
    </w:p>
    <w:p>
      <w:pPr>
        <w:ind w:left="960" w:hanging="477"/>
        <w:spacing w:after="0" w:line="249"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74" w:lineRule="exact"/>
        <w:rPr>
          <w:rFonts w:ascii="PMingLiU" w:cs="PMingLiU" w:eastAsia="PMingLiU" w:hAnsi="PMingLiU"/>
          <w:sz w:val="20"/>
          <w:szCs w:val="20"/>
          <w:color w:val="auto"/>
        </w:rPr>
      </w:pPr>
    </w:p>
    <w:p>
      <w:pPr>
        <w:ind w:left="960" w:right="500" w:hanging="477"/>
        <w:spacing w:after="0" w:line="261"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expenditures that we will or may incur to acquire or develop additional product candidates and technologies or other assets;</w:t>
      </w:r>
    </w:p>
    <w:p>
      <w:pPr>
        <w:spacing w:after="0" w:line="61" w:lineRule="exact"/>
        <w:rPr>
          <w:rFonts w:ascii="PMingLiU" w:cs="PMingLiU" w:eastAsia="PMingLiU" w:hAnsi="PMingLiU"/>
          <w:sz w:val="20"/>
          <w:szCs w:val="20"/>
          <w:color w:val="auto"/>
        </w:rPr>
      </w:pPr>
    </w:p>
    <w:p>
      <w:pPr>
        <w:ind w:left="960" w:right="580" w:hanging="477"/>
        <w:spacing w:after="0" w:line="261"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timing and outcomes of clinical trials for evorpacept and ALX2004, and any of our other product candidates, or competing product candidates;</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need to conduct unanticipated clinical trials or trials that are larger or more complex than anticipated;</w:t>
      </w:r>
    </w:p>
    <w:p>
      <w:pPr>
        <w:spacing w:after="0" w:line="104" w:lineRule="exact"/>
        <w:rPr>
          <w:rFonts w:ascii="PMingLiU" w:cs="PMingLiU" w:eastAsia="PMingLiU" w:hAnsi="PMingLiU"/>
          <w:sz w:val="20"/>
          <w:szCs w:val="20"/>
          <w:color w:val="auto"/>
        </w:rPr>
      </w:pPr>
    </w:p>
    <w:p>
      <w:pPr>
        <w:ind w:left="960" w:right="380" w:hanging="477"/>
        <w:spacing w:after="0" w:line="249"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competition from existing and potential future products that compete with evorpacept, ALX2004 and any of our other product candidates, and changes in the competitive landscape of our industry, including consolidation among our competitors or partners;</w:t>
      </w:r>
    </w:p>
    <w:p>
      <w:pPr>
        <w:spacing w:after="0" w:line="74" w:lineRule="exact"/>
        <w:rPr>
          <w:rFonts w:ascii="PMingLiU" w:cs="PMingLiU" w:eastAsia="PMingLiU" w:hAnsi="PMingLiU"/>
          <w:sz w:val="20"/>
          <w:szCs w:val="20"/>
          <w:color w:val="auto"/>
        </w:rPr>
      </w:pPr>
    </w:p>
    <w:p>
      <w:pPr>
        <w:ind w:left="960" w:hanging="477"/>
        <w:spacing w:after="0"/>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any delays in regulatory review or approval of evorpacept, ALX2004 or any of our other product candidates;</w:t>
      </w:r>
    </w:p>
    <w:p>
      <w:pPr>
        <w:spacing w:after="0" w:line="104" w:lineRule="exact"/>
        <w:rPr>
          <w:rFonts w:ascii="PMingLiU" w:cs="PMingLiU" w:eastAsia="PMingLiU" w:hAnsi="PMingLiU"/>
          <w:sz w:val="20"/>
          <w:szCs w:val="20"/>
          <w:color w:val="auto"/>
        </w:rPr>
      </w:pPr>
    </w:p>
    <w:p>
      <w:pPr>
        <w:ind w:left="960" w:right="140" w:hanging="477"/>
        <w:spacing w:after="0" w:line="261"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level of demand for evorpacept, ALX2004 and any of our other product candidates, if approved, which may fluctuate significantly and be difficult to predict;</w:t>
      </w:r>
    </w:p>
    <w:p>
      <w:pPr>
        <w:spacing w:after="0" w:line="61" w:lineRule="exact"/>
        <w:rPr>
          <w:rFonts w:ascii="PMingLiU" w:cs="PMingLiU" w:eastAsia="PMingLiU" w:hAnsi="PMingLiU"/>
          <w:sz w:val="20"/>
          <w:szCs w:val="20"/>
          <w:color w:val="auto"/>
        </w:rPr>
      </w:pPr>
    </w:p>
    <w:p>
      <w:pPr>
        <w:ind w:left="960" w:right="160" w:hanging="477"/>
        <w:spacing w:after="0" w:line="261"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risk/benefit profile, cost and reimbursement policies with respect to our product candidates, if approved, and existing and potential future products that compete with evorpacept, ALX2004 and any of our other product candidates;</w:t>
      </w:r>
    </w:p>
    <w:p>
      <w:pPr>
        <w:spacing w:after="0" w:line="61" w:lineRule="exact"/>
        <w:rPr>
          <w:rFonts w:ascii="PMingLiU" w:cs="PMingLiU" w:eastAsia="PMingLiU" w:hAnsi="PMingLiU"/>
          <w:sz w:val="20"/>
          <w:szCs w:val="20"/>
          <w:color w:val="auto"/>
        </w:rPr>
      </w:pPr>
    </w:p>
    <w:p>
      <w:pPr>
        <w:ind w:left="960" w:right="500" w:hanging="477"/>
        <w:spacing w:after="0" w:line="261"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commercialize evorpacept, ALX2004, and any of our other product candidates, if approved, inside and outside of the United States, either independently or working with third parties;</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establish and maintain collaborations, licensing or other arrangements;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our ability to adequately support future growth;</w:t>
      </w:r>
    </w:p>
    <w:p>
      <w:pPr>
        <w:spacing w:after="0" w:line="104" w:lineRule="exact"/>
        <w:rPr>
          <w:rFonts w:ascii="PMingLiU" w:cs="PMingLiU" w:eastAsia="PMingLiU" w:hAnsi="PMingLiU"/>
          <w:sz w:val="20"/>
          <w:szCs w:val="20"/>
          <w:color w:val="auto"/>
        </w:rPr>
      </w:pPr>
    </w:p>
    <w:p>
      <w:pPr>
        <w:ind w:left="960" w:right="180" w:hanging="477"/>
        <w:spacing w:after="0" w:line="261"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any increase in interest expense due to an increase in the floating rate under the Loan Agreement as described elsewhere in this Annual Report on Form 10-K;</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potential unforeseen business disruptions that increase our costs or expenses;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future accounting pronouncements or changes in our accounting policies;</w:t>
      </w:r>
    </w:p>
    <w:p>
      <w:pPr>
        <w:spacing w:after="0" w:line="104" w:lineRule="exact"/>
        <w:rPr>
          <w:rFonts w:ascii="PMingLiU" w:cs="PMingLiU" w:eastAsia="PMingLiU" w:hAnsi="PMingLiU"/>
          <w:sz w:val="20"/>
          <w:szCs w:val="20"/>
          <w:color w:val="auto"/>
        </w:rPr>
      </w:pPr>
    </w:p>
    <w:p>
      <w:pPr>
        <w:ind w:left="960" w:right="20" w:hanging="477"/>
        <w:spacing w:after="0" w:line="245"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U.S. federal government shutdowns, and any U.S. federal government debt default due to a failure to increase the debt ceiling; and</w:t>
      </w:r>
    </w:p>
    <w:p>
      <w:pPr>
        <w:spacing w:after="0" w:line="80" w:lineRule="exact"/>
        <w:rPr>
          <w:rFonts w:ascii="PMingLiU" w:cs="PMingLiU" w:eastAsia="PMingLiU" w:hAnsi="PMingLiU"/>
          <w:sz w:val="20"/>
          <w:szCs w:val="20"/>
          <w:color w:val="auto"/>
        </w:rPr>
      </w:pPr>
    </w:p>
    <w:p>
      <w:pPr>
        <w:ind w:left="960" w:right="260" w:hanging="477"/>
        <w:spacing w:after="0" w:line="249" w:lineRule="auto"/>
        <w:tabs>
          <w:tab w:leader="none" w:pos="960" w:val="left"/>
        </w:tabs>
        <w:numPr>
          <w:ilvl w:val="0"/>
          <w:numId w:val="5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w:t>
      </w:r>
    </w:p>
    <w:p>
      <w:pPr>
        <w:spacing w:after="0" w:line="75" w:lineRule="exact"/>
        <w:rPr>
          <w:sz w:val="20"/>
          <w:szCs w:val="20"/>
          <w:color w:val="auto"/>
        </w:rPr>
      </w:pPr>
    </w:p>
    <w:p>
      <w:pPr>
        <w:ind w:right="40" w:firstLine="486"/>
        <w:spacing w:after="0" w:line="244" w:lineRule="auto"/>
        <w:rPr>
          <w:sz w:val="20"/>
          <w:szCs w:val="20"/>
          <w:color w:val="auto"/>
        </w:rPr>
      </w:pPr>
      <w:r>
        <w:rPr>
          <w:rFonts w:ascii="Times New Roman" w:cs="Times New Roman" w:eastAsia="Times New Roman" w:hAnsi="Times New Roman"/>
          <w:sz w:val="20"/>
          <w:szCs w:val="20"/>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2240" w:h="15840" w:orient="portrait"/>
          <w:cols w:equalWidth="0" w:num="1">
            <w:col w:w="10720"/>
          </w:cols>
          <w:pgMar w:left="760" w:top="978" w:right="760" w:bottom="223" w:gutter="0" w:footer="0" w:header="0"/>
          <w:type w:val="continuous"/>
        </w:sectPr>
      </w:pPr>
    </w:p>
    <w:bookmarkStart w:id="87" w:name="page88"/>
    <w:bookmarkEnd w:id="87"/>
    <w:p>
      <w:pPr>
        <w:ind w:firstLine="486"/>
        <w:spacing w:after="0" w:line="242" w:lineRule="auto"/>
        <w:rPr>
          <w:sz w:val="20"/>
          <w:szCs w:val="20"/>
          <w:color w:val="auto"/>
        </w:rPr>
      </w:pPr>
      <w:r>
        <w:rPr>
          <w:rFonts w:ascii="Times New Roman" w:cs="Times New Roman" w:eastAsia="Times New Roman" w:hAnsi="Times New Roman"/>
          <w:sz w:val="20"/>
          <w:szCs w:val="20"/>
          <w:color w:val="auto"/>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In February and April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of a substantial number of shares of our common stock in the public market could cause our stock price to fall.</w:t>
      </w:r>
    </w:p>
    <w:p>
      <w:pPr>
        <w:spacing w:after="0" w:line="118" w:lineRule="exact"/>
        <w:rPr>
          <w:sz w:val="20"/>
          <w:szCs w:val="20"/>
          <w:color w:val="auto"/>
        </w:rPr>
      </w:pPr>
    </w:p>
    <w:p>
      <w:pPr>
        <w:jc w:val="both"/>
        <w:ind w:right="200" w:firstLine="486"/>
        <w:spacing w:after="0" w:line="256" w:lineRule="auto"/>
        <w:rPr>
          <w:sz w:val="20"/>
          <w:szCs w:val="20"/>
          <w:color w:val="auto"/>
        </w:rPr>
      </w:pPr>
      <w:r>
        <w:rPr>
          <w:rFonts w:ascii="Times New Roman" w:cs="Times New Roman" w:eastAsia="Times New Roman" w:hAnsi="Times New Roman"/>
          <w:sz w:val="20"/>
          <w:szCs w:val="20"/>
          <w:color w:val="auto"/>
        </w:rPr>
        <w:t>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w:t>
      </w:r>
    </w:p>
    <w:p>
      <w:pPr>
        <w:spacing w:after="0" w:line="69"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20"/>
          <w:szCs w:val="20"/>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w:t>
      </w:r>
    </w:p>
    <w:p>
      <w:pPr>
        <w:spacing w:after="0" w:line="6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9"/>
          <w:szCs w:val="19"/>
          <w:color w:val="auto"/>
        </w:rPr>
        <w:t>On October 10, 2023, we completed the October 2023 Offering and on February 2, 2026, we completed the February 2026 Offering. Our stockholders may be further diluted by the exercise of the pre-funded warrants issued in the October 2023 Offering and February 2026 Offering. As of December 31, 2025, no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2025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69"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publish inaccurate or unfavorable research about our business, our share price and trading volume could decline.</w:t>
      </w:r>
    </w:p>
    <w:p>
      <w:pPr>
        <w:spacing w:after="0" w:line="51"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9"/>
          <w:szCs w:val="19"/>
          <w:color w:val="auto"/>
        </w:rPr>
        <w:t>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64"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will continue to incur significant increased costs and management resources as a result of operating as a public company.</w:t>
      </w:r>
    </w:p>
    <w:p>
      <w:pPr>
        <w:spacing w:after="0" w:line="51" w:lineRule="exact"/>
        <w:rPr>
          <w:sz w:val="20"/>
          <w:szCs w:val="20"/>
          <w:color w:val="auto"/>
        </w:rPr>
      </w:pPr>
    </w:p>
    <w:p>
      <w:pPr>
        <w:ind w:right="100" w:firstLine="487"/>
        <w:spacing w:after="0" w:line="263" w:lineRule="auto"/>
        <w:rPr>
          <w:sz w:val="20"/>
          <w:szCs w:val="20"/>
          <w:color w:val="auto"/>
        </w:rPr>
      </w:pPr>
      <w:r>
        <w:rPr>
          <w:rFonts w:ascii="Times New Roman" w:cs="Times New Roman" w:eastAsia="Times New Roman" w:hAnsi="Times New Roman"/>
          <w:sz w:val="19"/>
          <w:szCs w:val="19"/>
          <w:color w:val="auto"/>
        </w:rPr>
        <w:t>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w:t>
      </w:r>
    </w:p>
    <w:p>
      <w:pPr>
        <w:spacing w:after="0" w:line="64" w:lineRule="exact"/>
        <w:rPr>
          <w:sz w:val="20"/>
          <w:szCs w:val="20"/>
          <w:color w:val="auto"/>
        </w:rPr>
      </w:pPr>
    </w:p>
    <w:p>
      <w:pPr>
        <w:ind w:right="60" w:firstLine="487"/>
        <w:spacing w:after="0" w:line="244" w:lineRule="auto"/>
        <w:rPr>
          <w:sz w:val="20"/>
          <w:szCs w:val="20"/>
          <w:color w:val="auto"/>
        </w:rPr>
      </w:pPr>
      <w:r>
        <w:rPr>
          <w:rFonts w:ascii="Times New Roman" w:cs="Times New Roman" w:eastAsia="Times New Roman" w:hAnsi="Times New Roman"/>
          <w:sz w:val="20"/>
          <w:szCs w:val="20"/>
          <w:color w:val="auto"/>
        </w:rPr>
        <w:t>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w:t>
      </w: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78</w:t>
      </w:r>
    </w:p>
    <w:p>
      <w:pPr>
        <w:sectPr>
          <w:pgSz w:w="12240" w:h="15840" w:orient="portrait"/>
          <w:cols w:equalWidth="0" w:num="1">
            <w:col w:w="10680"/>
          </w:cols>
          <w:pgMar w:left="760" w:top="978" w:right="800" w:bottom="223" w:gutter="0" w:footer="0" w:header="0"/>
          <w:type w:val="continuous"/>
        </w:sectPr>
      </w:pPr>
    </w:p>
    <w:bookmarkStart w:id="88" w:name="page89"/>
    <w:bookmarkEnd w:id="88"/>
    <w:p>
      <w:pPr>
        <w:ind w:firstLine="486"/>
        <w:spacing w:after="0" w:line="241" w:lineRule="auto"/>
        <w:rPr>
          <w:sz w:val="20"/>
          <w:szCs w:val="20"/>
          <w:color w:val="auto"/>
        </w:rPr>
      </w:pPr>
      <w:r>
        <w:rPr>
          <w:rFonts w:ascii="Times New Roman" w:cs="Times New Roman" w:eastAsia="Times New Roman" w:hAnsi="Times New Roman"/>
          <w:sz w:val="20"/>
          <w:szCs w:val="20"/>
          <w:color w:val="auto"/>
        </w:rPr>
        <w:t>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While we were a large-accelerated filer for fiscal year 2022, we have been a “non-accelerated filer” since fiscal year 2023 and we anticipate we will continue to be one throughout fiscal year 2026. This status could make our common stock less attractive to investors.</w:t>
      </w:r>
    </w:p>
    <w:p>
      <w:pPr>
        <w:spacing w:after="0" w:line="69"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Each year, we re-evaluate our SEC filing status. Accordingly, we are a non-accelerated filer, and due to our public float as of June 30, 2025, we anticipate we will be a non-accelerated filer throughout calendar year 2026.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spacing w:after="0" w:line="81"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Market conditions and changing circumstances could impair our ability to access our existing cash, cash equivalents and investments and to timely pay key vendors and others.</w:t>
      </w:r>
    </w:p>
    <w:p>
      <w:pPr>
        <w:spacing w:after="0" w:line="51" w:lineRule="exact"/>
        <w:rPr>
          <w:sz w:val="20"/>
          <w:szCs w:val="20"/>
          <w:color w:val="auto"/>
        </w:rPr>
      </w:pPr>
    </w:p>
    <w:p>
      <w:pPr>
        <w:ind w:right="40" w:firstLine="486"/>
        <w:spacing w:after="0" w:line="241" w:lineRule="auto"/>
        <w:rPr>
          <w:sz w:val="20"/>
          <w:szCs w:val="20"/>
          <w:color w:val="auto"/>
        </w:rPr>
      </w:pPr>
      <w:r>
        <w:rPr>
          <w:rFonts w:ascii="Times New Roman" w:cs="Times New Roman" w:eastAsia="Times New Roman" w:hAnsi="Times New Roman"/>
          <w:sz w:val="20"/>
          <w:szCs w:val="20"/>
          <w:color w:val="auto"/>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spacing w:after="0" w:line="89"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do not anticipate paying cash dividends and, accordingly, stockholders must rely on share appreciation for any return on their investment.</w:t>
      </w:r>
    </w:p>
    <w:p>
      <w:pPr>
        <w:spacing w:after="0" w:line="51"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20"/>
          <w:szCs w:val="20"/>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w:t>
      </w: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79</w:t>
      </w:r>
    </w:p>
    <w:p>
      <w:pPr>
        <w:sectPr>
          <w:pgSz w:w="12240" w:h="15840" w:orient="portrait"/>
          <w:cols w:equalWidth="0" w:num="1">
            <w:col w:w="10680"/>
          </w:cols>
          <w:pgMar w:left="760" w:top="978" w:right="800" w:bottom="223" w:gutter="0" w:footer="0" w:header="0"/>
          <w:type w:val="continuous"/>
        </w:sectPr>
      </w:pPr>
    </w:p>
    <w:bookmarkStart w:id="89" w:name="page90"/>
    <w:bookmarkEnd w:id="89"/>
    <w:p>
      <w:pPr>
        <w:ind w:right="3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stockholders, restrict our operations or require us to relinquish substantial rights.</w:t>
      </w:r>
    </w:p>
    <w:p>
      <w:pPr>
        <w:spacing w:after="0" w:line="5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9"/>
          <w:szCs w:val="19"/>
          <w:color w:val="auto"/>
        </w:rPr>
        <w:t>To the extent that we raise additional capital through the sale of equity or convertible debt securities, a stockholder’s ownership interest will be diluted, and the terms of these new securities may include liquidation or other preferences that adversely affect one’s rights as a common stockholder. Sales of equity securities may be made under our 2025 Shelf Registration Statement and pursuant to our related ATM facility described therein. Additionally, our stockholders may be further diluted by the exercise of the pre-funded warrants issued in the October 2023 Offering and the February 2026 Offering. As of December 31, 2025, no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7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Delaware law and provisions in our amended and restated certificate of incorporation and bylaws might discourage, delay or prevent a change in control of our company or changes in our management and, therefore, depress the trading price of our common stock.</w:t>
      </w:r>
    </w:p>
    <w:p>
      <w:pPr>
        <w:spacing w:after="0" w:line="69" w:lineRule="exact"/>
        <w:rPr>
          <w:sz w:val="20"/>
          <w:szCs w:val="20"/>
          <w:color w:val="auto"/>
        </w:rPr>
      </w:pPr>
    </w:p>
    <w:p>
      <w:pPr>
        <w:ind w:right="40" w:firstLine="486"/>
        <w:spacing w:after="0" w:line="247" w:lineRule="auto"/>
        <w:rPr>
          <w:sz w:val="20"/>
          <w:szCs w:val="20"/>
          <w:color w:val="auto"/>
        </w:rPr>
      </w:pPr>
      <w:r>
        <w:rPr>
          <w:rFonts w:ascii="Times New Roman" w:cs="Times New Roman" w:eastAsia="Times New Roman" w:hAnsi="Times New Roman"/>
          <w:sz w:val="20"/>
          <w:szCs w:val="20"/>
          <w:color w:val="auto"/>
        </w:rPr>
        <w:t>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w:t>
      </w:r>
    </w:p>
    <w:p>
      <w:pPr>
        <w:spacing w:after="0" w:line="78" w:lineRule="exact"/>
        <w:rPr>
          <w:sz w:val="20"/>
          <w:szCs w:val="20"/>
          <w:color w:val="auto"/>
        </w:rPr>
      </w:pPr>
    </w:p>
    <w:p>
      <w:pPr>
        <w:ind w:left="960" w:hanging="477"/>
        <w:spacing w:after="0"/>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establish that our board of directors is divided into three classes, with each class serving staggered three-year terms;</w:t>
      </w:r>
    </w:p>
    <w:p>
      <w:pPr>
        <w:spacing w:after="0" w:line="104" w:lineRule="exact"/>
        <w:rPr>
          <w:rFonts w:ascii="PMingLiU" w:cs="PMingLiU" w:eastAsia="PMingLiU" w:hAnsi="PMingLiU"/>
          <w:sz w:val="20"/>
          <w:szCs w:val="20"/>
          <w:color w:val="auto"/>
        </w:rPr>
      </w:pPr>
    </w:p>
    <w:p>
      <w:pPr>
        <w:ind w:left="960" w:right="180" w:hanging="477"/>
        <w:spacing w:after="0" w:line="261" w:lineRule="auto"/>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provide that vacancies on our board of directors may be filled only by a majority of directors then in office, even though less than a quorum;</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provide that our directors may only be removed for cause;</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eliminate cumulative voting in the election of directors;</w:t>
      </w:r>
    </w:p>
    <w:p>
      <w:pPr>
        <w:spacing w:after="0" w:line="104" w:lineRule="exact"/>
        <w:rPr>
          <w:rFonts w:ascii="PMingLiU" w:cs="PMingLiU" w:eastAsia="PMingLiU" w:hAnsi="PMingLiU"/>
          <w:sz w:val="20"/>
          <w:szCs w:val="20"/>
          <w:color w:val="auto"/>
        </w:rPr>
      </w:pPr>
    </w:p>
    <w:p>
      <w:pPr>
        <w:ind w:left="960" w:right="200" w:hanging="477"/>
        <w:spacing w:after="0" w:line="261" w:lineRule="auto"/>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authorize our board of directors to issue shares of convertible preferred stock and determine the price and other terms of those shares, including preferences and voting rights, without stockholder approval;</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provide our board of directors with the exclusive right to elect a director to fill a vacancy or newly created directorship;</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permit stockholders to only take actions at a duly called annual or special meeting and not by written consent;</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prohibit stockholders from calling a special meeting of stockholders;</w:t>
      </w:r>
    </w:p>
    <w:p>
      <w:pPr>
        <w:spacing w:after="0" w:line="104" w:lineRule="exact"/>
        <w:rPr>
          <w:rFonts w:ascii="PMingLiU" w:cs="PMingLiU" w:eastAsia="PMingLiU" w:hAnsi="PMingLiU"/>
          <w:sz w:val="20"/>
          <w:szCs w:val="20"/>
          <w:color w:val="auto"/>
        </w:rPr>
      </w:pPr>
    </w:p>
    <w:p>
      <w:pPr>
        <w:ind w:left="960" w:right="220" w:hanging="477"/>
        <w:spacing w:after="0" w:line="261" w:lineRule="auto"/>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require that stockholders give advance notice to nominate directors or submit proposals for consideration at stockholder meetings;</w:t>
      </w:r>
    </w:p>
    <w:p>
      <w:pPr>
        <w:spacing w:after="0" w:line="61" w:lineRule="exact"/>
        <w:rPr>
          <w:rFonts w:ascii="PMingLiU" w:cs="PMingLiU" w:eastAsia="PMingLiU" w:hAnsi="PMingLiU"/>
          <w:sz w:val="20"/>
          <w:szCs w:val="20"/>
          <w:color w:val="auto"/>
        </w:rPr>
      </w:pPr>
    </w:p>
    <w:p>
      <w:pPr>
        <w:ind w:left="960" w:hanging="477"/>
        <w:spacing w:after="0"/>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authorize our board of directors to amend the bylaws; and</w:t>
      </w:r>
    </w:p>
    <w:p>
      <w:pPr>
        <w:spacing w:after="0" w:line="104" w:lineRule="exact"/>
        <w:rPr>
          <w:rFonts w:ascii="PMingLiU" w:cs="PMingLiU" w:eastAsia="PMingLiU" w:hAnsi="PMingLiU"/>
          <w:sz w:val="20"/>
          <w:szCs w:val="20"/>
          <w:color w:val="auto"/>
        </w:rPr>
      </w:pPr>
    </w:p>
    <w:p>
      <w:pPr>
        <w:ind w:left="960" w:right="100" w:hanging="477"/>
        <w:spacing w:after="0" w:line="261" w:lineRule="auto"/>
        <w:tabs>
          <w:tab w:leader="none" w:pos="960" w:val="left"/>
        </w:tabs>
        <w:numPr>
          <w:ilvl w:val="0"/>
          <w:numId w:val="5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require the affirmative vote of at least 66 2/3% or more of the outstanding shares of common stock to amend many of the provisions described above.</w:t>
      </w:r>
    </w:p>
    <w:p>
      <w:pPr>
        <w:spacing w:after="0" w:line="61"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9"/>
          <w:szCs w:val="19"/>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61" w:lineRule="exact"/>
        <w:rPr>
          <w:sz w:val="20"/>
          <w:szCs w:val="20"/>
          <w:color w:val="auto"/>
        </w:rPr>
      </w:pPr>
    </w:p>
    <w:p>
      <w:pPr>
        <w:jc w:val="both"/>
        <w:ind w:right="60" w:firstLine="487"/>
        <w:spacing w:after="0" w:line="256" w:lineRule="auto"/>
        <w:rPr>
          <w:sz w:val="20"/>
          <w:szCs w:val="20"/>
          <w:color w:val="auto"/>
        </w:rPr>
      </w:pPr>
      <w:r>
        <w:rPr>
          <w:rFonts w:ascii="Times New Roman" w:cs="Times New Roman" w:eastAsia="Times New Roman" w:hAnsi="Times New Roman"/>
          <w:sz w:val="20"/>
          <w:szCs w:val="20"/>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ectPr>
          <w:pgSz w:w="12240" w:h="15840" w:orient="portrait"/>
          <w:cols w:equalWidth="0" w:num="1">
            <w:col w:w="10700"/>
          </w:cols>
          <w:pgMar w:left="760" w:top="978"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80</w:t>
      </w:r>
    </w:p>
    <w:p>
      <w:pPr>
        <w:sectPr>
          <w:pgSz w:w="12240" w:h="15840" w:orient="portrait"/>
          <w:cols w:equalWidth="0" w:num="1">
            <w:col w:w="10700"/>
          </w:cols>
          <w:pgMar w:left="760" w:top="978" w:right="780" w:bottom="223" w:gutter="0" w:footer="0" w:header="0"/>
          <w:type w:val="continuous"/>
        </w:sectPr>
      </w:pPr>
    </w:p>
    <w:bookmarkStart w:id="90" w:name="page91"/>
    <w:bookmarkEnd w:id="90"/>
    <w:p>
      <w:pPr>
        <w:ind w:right="4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69"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20"/>
          <w:szCs w:val="20"/>
          <w:color w:val="auto"/>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81" w:lineRule="exact"/>
        <w:rPr>
          <w:sz w:val="20"/>
          <w:szCs w:val="20"/>
          <w:color w:val="auto"/>
        </w:rPr>
      </w:pPr>
    </w:p>
    <w:p>
      <w:pPr>
        <w:ind w:left="960" w:hanging="477"/>
        <w:spacing w:after="0"/>
        <w:tabs>
          <w:tab w:leader="none" w:pos="960" w:val="left"/>
        </w:tabs>
        <w:numPr>
          <w:ilvl w:val="0"/>
          <w:numId w:val="5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any derivative action or proceeding brought on behalf of us;</w:t>
      </w:r>
    </w:p>
    <w:p>
      <w:pPr>
        <w:spacing w:after="0" w:line="104" w:lineRule="exact"/>
        <w:rPr>
          <w:rFonts w:ascii="PMingLiU" w:cs="PMingLiU" w:eastAsia="PMingLiU" w:hAnsi="PMingLiU"/>
          <w:sz w:val="20"/>
          <w:szCs w:val="20"/>
          <w:color w:val="auto"/>
        </w:rPr>
      </w:pPr>
    </w:p>
    <w:p>
      <w:pPr>
        <w:ind w:left="960" w:hanging="477"/>
        <w:spacing w:after="0"/>
        <w:tabs>
          <w:tab w:leader="none" w:pos="960" w:val="left"/>
        </w:tabs>
        <w:numPr>
          <w:ilvl w:val="0"/>
          <w:numId w:val="5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any action asserting a claim of breach of a fiduciary duty;</w:t>
      </w:r>
    </w:p>
    <w:p>
      <w:pPr>
        <w:spacing w:after="0" w:line="104" w:lineRule="exact"/>
        <w:rPr>
          <w:rFonts w:ascii="PMingLiU" w:cs="PMingLiU" w:eastAsia="PMingLiU" w:hAnsi="PMingLiU"/>
          <w:sz w:val="20"/>
          <w:szCs w:val="20"/>
          <w:color w:val="auto"/>
        </w:rPr>
      </w:pPr>
    </w:p>
    <w:p>
      <w:pPr>
        <w:jc w:val="both"/>
        <w:ind w:left="960" w:right="40" w:hanging="477"/>
        <w:spacing w:after="0" w:line="288" w:lineRule="auto"/>
        <w:tabs>
          <w:tab w:leader="none" w:pos="960" w:val="left"/>
        </w:tabs>
        <w:numPr>
          <w:ilvl w:val="0"/>
          <w:numId w:val="52"/>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36" w:lineRule="exact"/>
        <w:rPr>
          <w:rFonts w:ascii="PMingLiU" w:cs="PMingLiU" w:eastAsia="PMingLiU" w:hAnsi="PMingLiU"/>
          <w:sz w:val="19"/>
          <w:szCs w:val="19"/>
          <w:color w:val="auto"/>
        </w:rPr>
      </w:pPr>
    </w:p>
    <w:p>
      <w:pPr>
        <w:ind w:left="960" w:hanging="477"/>
        <w:spacing w:after="0"/>
        <w:tabs>
          <w:tab w:leader="none" w:pos="960" w:val="left"/>
        </w:tabs>
        <w:numPr>
          <w:ilvl w:val="0"/>
          <w:numId w:val="5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any action asserting a claim against us that is governed by the internal affairs doctrine.</w:t>
      </w:r>
    </w:p>
    <w:p>
      <w:pPr>
        <w:spacing w:after="0" w:line="104" w:lineRule="exact"/>
        <w:rPr>
          <w:sz w:val="20"/>
          <w:szCs w:val="20"/>
          <w:color w:val="auto"/>
        </w:rPr>
      </w:pPr>
    </w:p>
    <w:p>
      <w:pPr>
        <w:ind w:right="100" w:firstLine="487"/>
        <w:spacing w:after="0" w:line="274" w:lineRule="auto"/>
        <w:rPr>
          <w:sz w:val="20"/>
          <w:szCs w:val="20"/>
          <w:color w:val="auto"/>
        </w:rPr>
      </w:pPr>
      <w:r>
        <w:rPr>
          <w:rFonts w:ascii="Times New Roman" w:cs="Times New Roman" w:eastAsia="Times New Roman" w:hAnsi="Times New Roman"/>
          <w:sz w:val="20"/>
          <w:szCs w:val="20"/>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51" w:lineRule="exact"/>
        <w:rPr>
          <w:sz w:val="20"/>
          <w:szCs w:val="20"/>
          <w:color w:val="auto"/>
        </w:rPr>
      </w:pPr>
    </w:p>
    <w:p>
      <w:pPr>
        <w:ind w:right="80" w:firstLine="487"/>
        <w:spacing w:after="0" w:line="274" w:lineRule="auto"/>
        <w:rPr>
          <w:sz w:val="20"/>
          <w:szCs w:val="20"/>
          <w:color w:val="auto"/>
        </w:rPr>
      </w:pPr>
      <w:r>
        <w:rPr>
          <w:rFonts w:ascii="Times New Roman" w:cs="Times New Roman" w:eastAsia="Times New Roman" w:hAnsi="Times New Roman"/>
          <w:sz w:val="20"/>
          <w:szCs w:val="20"/>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51" w:lineRule="exact"/>
        <w:rPr>
          <w:sz w:val="20"/>
          <w:szCs w:val="20"/>
          <w:color w:val="auto"/>
        </w:rPr>
      </w:pPr>
    </w:p>
    <w:p>
      <w:pPr>
        <w:ind w:right="20" w:firstLine="486"/>
        <w:spacing w:after="0" w:line="243" w:lineRule="auto"/>
        <w:rPr>
          <w:sz w:val="20"/>
          <w:szCs w:val="20"/>
          <w:color w:val="auto"/>
        </w:rPr>
      </w:pPr>
      <w:r>
        <w:rPr>
          <w:rFonts w:ascii="Times New Roman" w:cs="Times New Roman" w:eastAsia="Times New Roman" w:hAnsi="Times New Roman"/>
          <w:sz w:val="20"/>
          <w:szCs w:val="20"/>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8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maintain effective internal control over financial reporting in the future, investors may lose confidence in the accuracy and completeness of our financial reports, and the market price of our common stock may be materially adversely affected.</w:t>
      </w:r>
    </w:p>
    <w:p>
      <w:pPr>
        <w:spacing w:after="0" w:line="69"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In the past, we experienced material weaknesses in our internal control over financial reporting, which have since been remediated for a number of years. 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81</w:t>
      </w:r>
    </w:p>
    <w:p>
      <w:pPr>
        <w:sectPr>
          <w:pgSz w:w="12240" w:h="15840" w:orient="portrait"/>
          <w:cols w:equalWidth="0" w:num="1">
            <w:col w:w="10720"/>
          </w:cols>
          <w:pgMar w:left="760" w:top="978" w:right="760" w:bottom="223" w:gutter="0" w:footer="0" w:header="0"/>
          <w:type w:val="continuous"/>
        </w:sectPr>
      </w:pPr>
    </w:p>
    <w:bookmarkStart w:id="91" w:name="page92"/>
    <w:bookmarkEnd w:id="91"/>
    <w:p>
      <w:pPr>
        <w:ind w:right="22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51"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for a number of years.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w:t>
      </w:r>
    </w:p>
    <w:p>
      <w:pPr>
        <w:spacing w:after="0" w:line="81" w:lineRule="exact"/>
        <w:rPr>
          <w:sz w:val="20"/>
          <w:szCs w:val="20"/>
          <w:color w:val="auto"/>
        </w:rPr>
      </w:pPr>
    </w:p>
    <w:p>
      <w:pPr>
        <w:ind w:right="200" w:firstLine="486"/>
        <w:spacing w:after="0" w:line="274" w:lineRule="auto"/>
        <w:rPr>
          <w:sz w:val="20"/>
          <w:szCs w:val="20"/>
          <w:color w:val="auto"/>
        </w:rPr>
      </w:pPr>
      <w:r>
        <w:rPr>
          <w:rFonts w:ascii="Times New Roman" w:cs="Times New Roman" w:eastAsia="Times New Roman" w:hAnsi="Times New Roman"/>
          <w:sz w:val="20"/>
          <w:szCs w:val="20"/>
          <w:color w:val="auto"/>
        </w:rPr>
        <w:t>Any failure to maintain effective internal control over financial reporting could have a material adverse effect on our business, financial condition and results of operations and the trading price of our common stock.</w:t>
      </w:r>
    </w:p>
    <w:p>
      <w:pPr>
        <w:spacing w:after="0" w:line="51"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20"/>
          <w:szCs w:val="20"/>
          <w:color w:val="auto"/>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spacing w:after="0" w:line="8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51"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disruptions could seriously harm our future revenue and financial condition and increase our costs and expenses.</w:t>
      </w:r>
    </w:p>
    <w:p>
      <w:pPr>
        <w:spacing w:after="0" w:line="118" w:lineRule="exact"/>
        <w:rPr>
          <w:sz w:val="20"/>
          <w:szCs w:val="20"/>
          <w:color w:val="auto"/>
        </w:rPr>
      </w:pPr>
    </w:p>
    <w:p>
      <w:pPr>
        <w:ind w:right="140" w:firstLine="486"/>
        <w:spacing w:after="0" w:line="243" w:lineRule="auto"/>
        <w:rPr>
          <w:sz w:val="20"/>
          <w:szCs w:val="20"/>
          <w:color w:val="auto"/>
        </w:rPr>
      </w:pPr>
      <w:r>
        <w:rPr>
          <w:rFonts w:ascii="Times New Roman" w:cs="Times New Roman" w:eastAsia="Times New Roman" w:hAnsi="Times New Roman"/>
          <w:sz w:val="20"/>
          <w:szCs w:val="20"/>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84" w:lineRule="exact"/>
        <w:rPr>
          <w:sz w:val="20"/>
          <w:szCs w:val="20"/>
          <w:color w:val="auto"/>
        </w:rPr>
      </w:pPr>
    </w:p>
    <w:p>
      <w:pPr>
        <w:ind w:right="260" w:firstLine="486"/>
        <w:spacing w:after="0" w:line="245" w:lineRule="auto"/>
        <w:rPr>
          <w:sz w:val="20"/>
          <w:szCs w:val="20"/>
          <w:color w:val="auto"/>
        </w:rPr>
      </w:pPr>
      <w:r>
        <w:rPr>
          <w:rFonts w:ascii="Times New Roman" w:cs="Times New Roman" w:eastAsia="Times New Roman" w:hAnsi="Times New Roman"/>
          <w:sz w:val="20"/>
          <w:szCs w:val="20"/>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ectPr>
          <w:pgSz w:w="12240" w:h="15840" w:orient="portrait"/>
          <w:cols w:equalWidth="0" w:num="1">
            <w:col w:w="10720"/>
          </w:cols>
          <w:pgMar w:left="760" w:top="978" w:right="760" w:bottom="223" w:gutter="0" w:footer="0" w:header="0"/>
        </w:sect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2240" w:h="15840" w:orient="portrait"/>
          <w:cols w:equalWidth="0" w:num="1">
            <w:col w:w="10720"/>
          </w:cols>
          <w:pgMar w:left="760" w:top="978" w:right="760" w:bottom="223" w:gutter="0" w:footer="0" w:header="0"/>
          <w:type w:val="continuous"/>
        </w:sectPr>
      </w:pPr>
    </w:p>
    <w:bookmarkStart w:id="92" w:name="page93"/>
    <w:bookmarkEnd w:id="92"/>
    <w:p>
      <w:pPr>
        <w:ind w:right="680"/>
        <w:spacing w:after="0" w:line="274" w:lineRule="auto"/>
        <w:rPr>
          <w:sz w:val="20"/>
          <w:szCs w:val="20"/>
          <w:color w:val="auto"/>
        </w:rPr>
      </w:pPr>
      <w:r>
        <w:rPr>
          <w:rFonts w:ascii="Times New Roman" w:cs="Times New Roman" w:eastAsia="Times New Roman" w:hAnsi="Times New Roman"/>
          <w:sz w:val="20"/>
          <w:szCs w:val="20"/>
          <w:b w:val="1"/>
          <w:bCs w:val="1"/>
          <w:i w:val="1"/>
          <w:iCs w:val="1"/>
          <w:color w:val="auto"/>
        </w:rPr>
        <w:t>We may experience disruptions and delays or incur financial damages as a result of system failures or security breaches or incidents.</w:t>
      </w:r>
    </w:p>
    <w:p>
      <w:pPr>
        <w:spacing w:after="0" w:line="51" w:lineRule="exact"/>
        <w:rPr>
          <w:sz w:val="20"/>
          <w:szCs w:val="20"/>
          <w:color w:val="auto"/>
        </w:rPr>
      </w:pPr>
    </w:p>
    <w:p>
      <w:pPr>
        <w:ind w:right="80" w:firstLine="486"/>
        <w:spacing w:after="0"/>
        <w:rPr>
          <w:sz w:val="20"/>
          <w:szCs w:val="20"/>
          <w:color w:val="auto"/>
        </w:rPr>
      </w:pPr>
      <w:r>
        <w:rPr>
          <w:rFonts w:ascii="Times New Roman" w:cs="Times New Roman" w:eastAsia="Times New Roman" w:hAnsi="Times New Roman"/>
          <w:sz w:val="20"/>
          <w:szCs w:val="20"/>
          <w:color w:val="auto"/>
        </w:rPr>
        <w:t>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or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Russia’s war with Ukraine and war and instability in Israel and the surrounding region may subject us and our CROs and other third-party service providers to heightened risks of cyber-attacks and security breaches and incidents, any of which could materially disrupt our drug discovery and development programs or other aspects of our operations.</w:t>
      </w:r>
    </w:p>
    <w:p>
      <w:pPr>
        <w:spacing w:after="0" w:line="93" w:lineRule="exact"/>
        <w:rPr>
          <w:sz w:val="20"/>
          <w:szCs w:val="20"/>
          <w:color w:val="auto"/>
        </w:rPr>
      </w:pPr>
    </w:p>
    <w:p>
      <w:pPr>
        <w:ind w:right="60" w:firstLine="486"/>
        <w:spacing w:after="0"/>
        <w:rPr>
          <w:sz w:val="20"/>
          <w:szCs w:val="20"/>
          <w:color w:val="auto"/>
        </w:rPr>
      </w:pPr>
      <w:r>
        <w:rPr>
          <w:rFonts w:ascii="Times New Roman" w:cs="Times New Roman" w:eastAsia="Times New Roman" w:hAnsi="Times New Roman"/>
          <w:sz w:val="20"/>
          <w:szCs w:val="20"/>
          <w:color w:val="auto"/>
        </w:rPr>
        <w:t>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w:t>
      </w:r>
    </w:p>
    <w:p>
      <w:pPr>
        <w:spacing w:after="0" w:line="96"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20"/>
          <w:szCs w:val="20"/>
          <w:color w:val="auto"/>
        </w:rPr>
        <w:t>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disclosure controls and procedures may not prevent or detect all errors or acts of fraud.</w:t>
      </w:r>
    </w:p>
    <w:p>
      <w:pPr>
        <w:spacing w:after="0" w:line="118" w:lineRule="exact"/>
        <w:rPr>
          <w:sz w:val="20"/>
          <w:szCs w:val="20"/>
          <w:color w:val="auto"/>
        </w:rPr>
      </w:pPr>
    </w:p>
    <w:p>
      <w:pPr>
        <w:ind w:right="20" w:firstLine="486"/>
        <w:spacing w:after="0" w:line="263" w:lineRule="auto"/>
        <w:rPr>
          <w:sz w:val="20"/>
          <w:szCs w:val="20"/>
          <w:color w:val="auto"/>
        </w:rPr>
      </w:pPr>
      <w:r>
        <w:rPr>
          <w:rFonts w:ascii="Times New Roman" w:cs="Times New Roman" w:eastAsia="Times New Roman" w:hAnsi="Times New Roman"/>
          <w:sz w:val="19"/>
          <w:szCs w:val="19"/>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w:t>
      </w:r>
    </w:p>
    <w:p>
      <w:pPr>
        <w:spacing w:after="0" w:line="64"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20"/>
          <w:szCs w:val="20"/>
          <w:color w:val="auto"/>
        </w:rPr>
        <w:t>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be subject to securities litigation, which is expensive and could divert management attention.</w:t>
      </w:r>
    </w:p>
    <w:p>
      <w:pPr>
        <w:spacing w:after="0" w:line="118"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20"/>
          <w:szCs w:val="20"/>
          <w:color w:val="auto"/>
        </w:rPr>
        <w:t>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2240" w:h="15840" w:orient="portrait"/>
          <w:cols w:equalWidth="0" w:num="1">
            <w:col w:w="10720"/>
          </w:cols>
          <w:pgMar w:left="760" w:top="978" w:right="760" w:bottom="223"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1C. Cybersecurity.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122" w:lineRule="exact"/>
        <w:rPr>
          <w:sz w:val="20"/>
          <w:szCs w:val="20"/>
          <w:color w:val="auto"/>
        </w:rPr>
      </w:pPr>
    </w:p>
    <w:p>
      <w:pPr>
        <w:jc w:val="both"/>
        <w:ind w:right="300" w:firstLine="487"/>
        <w:spacing w:after="0" w:line="247" w:lineRule="auto"/>
        <w:rPr>
          <w:sz w:val="20"/>
          <w:szCs w:val="20"/>
          <w:color w:val="auto"/>
        </w:rPr>
      </w:pPr>
      <w:r>
        <w:rPr>
          <w:rFonts w:ascii="Times New Roman" w:cs="Times New Roman" w:eastAsia="Times New Roman" w:hAnsi="Times New Roman"/>
          <w:sz w:val="20"/>
          <w:szCs w:val="20"/>
          <w:color w:val="auto"/>
        </w:rPr>
        <w:t>We have established policies and processes for assessing, identifying, and managing material risk from cybersecurity threats, and have integrated these processes into our overall risk management systems and processes. We periodically assess material risks from cybersecurity threats, including any potential unauthorized occurrence on or conducted through our information systems that may result in adverse effects on the confidentiality, integrity, or availability of our information systems or any information residing therein.</w:t>
      </w:r>
    </w:p>
    <w:p>
      <w:pPr>
        <w:spacing w:after="0" w:line="78" w:lineRule="exact"/>
        <w:rPr>
          <w:sz w:val="20"/>
          <w:szCs w:val="20"/>
          <w:color w:val="auto"/>
        </w:rPr>
      </w:pPr>
    </w:p>
    <w:p>
      <w:pPr>
        <w:jc w:val="both"/>
        <w:ind w:right="100" w:firstLine="487"/>
        <w:spacing w:after="0" w:line="267" w:lineRule="auto"/>
        <w:rPr>
          <w:sz w:val="20"/>
          <w:szCs w:val="20"/>
          <w:color w:val="auto"/>
        </w:rPr>
      </w:pPr>
      <w:r>
        <w:rPr>
          <w:rFonts w:ascii="Times New Roman" w:cs="Times New Roman" w:eastAsia="Times New Roman" w:hAnsi="Times New Roman"/>
          <w:sz w:val="19"/>
          <w:szCs w:val="19"/>
          <w:color w:val="auto"/>
        </w:rPr>
        <w:t>We conduct periodic risk assessments to identify cybersecurity threats, as well as assessments in the event of a material change in our business practices that may affect information systems that are vulnerable to such cybersecurity threats. These risk assessments include identification of reasonably foreseeable internal and external risks, the likelihood and potential damage that could result from such risks, and the sufficiency of existing policies, procedures, systems, and safeguards in place to manage such risks.</w:t>
      </w:r>
    </w:p>
    <w:p>
      <w:pPr>
        <w:spacing w:after="0" w:line="61" w:lineRule="exact"/>
        <w:rPr>
          <w:sz w:val="20"/>
          <w:szCs w:val="20"/>
          <w:color w:val="auto"/>
        </w:rPr>
      </w:pPr>
    </w:p>
    <w:p>
      <w:pPr>
        <w:ind w:right="40" w:firstLine="487"/>
        <w:spacing w:after="0" w:line="245" w:lineRule="auto"/>
        <w:rPr>
          <w:sz w:val="20"/>
          <w:szCs w:val="20"/>
          <w:color w:val="auto"/>
        </w:rPr>
      </w:pPr>
      <w:r>
        <w:rPr>
          <w:rFonts w:ascii="Times New Roman" w:cs="Times New Roman" w:eastAsia="Times New Roman" w:hAnsi="Times New Roman"/>
          <w:sz w:val="20"/>
          <w:szCs w:val="20"/>
          <w:color w:val="auto"/>
        </w:rPr>
        <w:t>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to manage our risk assessment and mitigation processes, including our Chief Accounting Officer (CAO), who serves as our acting Chief Information Security Officer (CISO), as well as external information technology consultants who help manage our information technology systems and our information security.</w:t>
      </w:r>
    </w:p>
    <w:p>
      <w:pPr>
        <w:spacing w:after="0" w:line="81" w:lineRule="exact"/>
        <w:rPr>
          <w:sz w:val="20"/>
          <w:szCs w:val="20"/>
          <w:color w:val="auto"/>
        </w:rPr>
      </w:pPr>
    </w:p>
    <w:p>
      <w:pPr>
        <w:ind w:firstLine="487"/>
        <w:spacing w:after="0" w:line="256" w:lineRule="auto"/>
        <w:rPr>
          <w:sz w:val="20"/>
          <w:szCs w:val="20"/>
          <w:color w:val="auto"/>
        </w:rPr>
      </w:pPr>
      <w:r>
        <w:rPr>
          <w:rFonts w:ascii="Times New Roman" w:cs="Times New Roman" w:eastAsia="Times New Roman" w:hAnsi="Times New Roman"/>
          <w:sz w:val="20"/>
          <w:szCs w:val="20"/>
          <w:color w:val="auto"/>
        </w:rPr>
        <w:t>As part of our overall risk management system, we monitor and test our safeguards and train our employees on these safeguards, in collaboration with our information technology consultants. Employees at all levels and departments are made aware of our cybersecurity policies through trainings.</w:t>
      </w:r>
    </w:p>
    <w:p>
      <w:pPr>
        <w:spacing w:after="0" w:line="69" w:lineRule="exact"/>
        <w:rPr>
          <w:sz w:val="20"/>
          <w:szCs w:val="20"/>
          <w:color w:val="auto"/>
        </w:rPr>
      </w:pPr>
    </w:p>
    <w:p>
      <w:pPr>
        <w:ind w:right="80" w:firstLine="487"/>
        <w:spacing w:after="0" w:line="245" w:lineRule="auto"/>
        <w:rPr>
          <w:sz w:val="20"/>
          <w:szCs w:val="20"/>
          <w:color w:val="auto"/>
        </w:rPr>
      </w:pPr>
      <w:r>
        <w:rPr>
          <w:rFonts w:ascii="Times New Roman" w:cs="Times New Roman" w:eastAsia="Times New Roman" w:hAnsi="Times New Roman"/>
          <w:sz w:val="20"/>
          <w:szCs w:val="20"/>
          <w:color w:val="auto"/>
        </w:rPr>
        <w:t>We engage our information technology consultants, including dedicated on-site consultants as well as other third parties, in connection with our risk assessment processes. These partners assist us to help design, implement, monitor, and test our cybersecurity policies and procedures. We also require key third-party service providers to certify that they have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w:t>
      </w:r>
    </w:p>
    <w:p>
      <w:pPr>
        <w:spacing w:after="0" w:line="81" w:lineRule="exact"/>
        <w:rPr>
          <w:sz w:val="20"/>
          <w:szCs w:val="20"/>
          <w:color w:val="auto"/>
        </w:rPr>
      </w:pPr>
    </w:p>
    <w:p>
      <w:pPr>
        <w:ind w:right="360" w:firstLine="487"/>
        <w:spacing w:after="0" w:line="276" w:lineRule="auto"/>
        <w:rPr>
          <w:sz w:val="20"/>
          <w:szCs w:val="20"/>
          <w:color w:val="auto"/>
        </w:rPr>
      </w:pPr>
      <w:r>
        <w:rPr>
          <w:rFonts w:ascii="Times New Roman" w:cs="Times New Roman" w:eastAsia="Times New Roman" w:hAnsi="Times New Roman"/>
          <w:sz w:val="19"/>
          <w:szCs w:val="19"/>
          <w:color w:val="auto"/>
        </w:rPr>
        <w:t>For additional information regarding whether any risks from cybersecurity threats, including as a result of any previous cybersecurity incidents, have materially affected or are reasonably likely to materially affect our company, including our business strategy, results of operations, or financial condition, please refer to “Item 1A. Risk Factors” in this Annual Report on Form 10-K.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122" w:lineRule="exact"/>
        <w:rPr>
          <w:sz w:val="20"/>
          <w:szCs w:val="20"/>
          <w:color w:val="auto"/>
        </w:rPr>
      </w:pPr>
    </w:p>
    <w:p>
      <w:pPr>
        <w:jc w:val="both"/>
        <w:ind w:right="140" w:firstLine="487"/>
        <w:spacing w:after="0" w:line="256" w:lineRule="auto"/>
        <w:rPr>
          <w:sz w:val="20"/>
          <w:szCs w:val="20"/>
          <w:color w:val="auto"/>
        </w:rPr>
      </w:pPr>
      <w:r>
        <w:rPr>
          <w:rFonts w:ascii="Times New Roman" w:cs="Times New Roman" w:eastAsia="Times New Roman" w:hAnsi="Times New Roman"/>
          <w:sz w:val="20"/>
          <w:szCs w:val="20"/>
          <w:color w:val="auto"/>
        </w:rPr>
        <w:t>One of the key functions of our board of directors is informed oversight of our risk management process, including risks from cybersecurity threats. Our board of directors, which is responsible for monitoring and assessing strategic risk exposure, has delegated primary oversight responsibility for cybersecurity to our audit committee.</w:t>
      </w:r>
    </w:p>
    <w:p>
      <w:pPr>
        <w:spacing w:after="0" w:line="69" w:lineRule="exact"/>
        <w:rPr>
          <w:sz w:val="20"/>
          <w:szCs w:val="20"/>
          <w:color w:val="auto"/>
        </w:rPr>
      </w:pPr>
    </w:p>
    <w:p>
      <w:pPr>
        <w:ind w:right="120" w:firstLine="487"/>
        <w:spacing w:after="0" w:line="244" w:lineRule="auto"/>
        <w:rPr>
          <w:sz w:val="20"/>
          <w:szCs w:val="20"/>
          <w:color w:val="auto"/>
        </w:rPr>
      </w:pPr>
      <w:r>
        <w:rPr>
          <w:rFonts w:ascii="Times New Roman" w:cs="Times New Roman" w:eastAsia="Times New Roman" w:hAnsi="Times New Roman"/>
          <w:sz w:val="20"/>
          <w:szCs w:val="20"/>
          <w:color w:val="auto"/>
        </w:rPr>
        <w:t>Our CAO and acting CISO, who reports to our President, is responsible for the day-to-day management of our cybersecurity policies and processes, including those described in “Risk Management and Strategy” above, with the assistance of and informed by our consultants. Our CAO and acting CISO, who has many years of senior management and operational oversight at emerging technology companies, is informed about and monitors the prevention, detection, mitigation, and remediation of cybersecurity incidents through the day-to-day management of our information technology consultants, which includes engaging with information provided by the consultants, automated monitoring and detection systems, and other tools and processes defined by our cybersecurity policies.</w:t>
      </w:r>
    </w:p>
    <w:p>
      <w:pPr>
        <w:spacing w:after="0" w:line="81" w:lineRule="exact"/>
        <w:rPr>
          <w:sz w:val="20"/>
          <w:szCs w:val="20"/>
          <w:color w:val="auto"/>
        </w:rPr>
      </w:pPr>
    </w:p>
    <w:p>
      <w:pPr>
        <w:ind w:right="320" w:firstLine="486"/>
        <w:spacing w:after="0" w:line="250" w:lineRule="auto"/>
        <w:rPr>
          <w:sz w:val="20"/>
          <w:szCs w:val="20"/>
          <w:color w:val="auto"/>
        </w:rPr>
      </w:pPr>
      <w:r>
        <w:rPr>
          <w:rFonts w:ascii="Times New Roman" w:cs="Times New Roman" w:eastAsia="Times New Roman" w:hAnsi="Times New Roman"/>
          <w:sz w:val="20"/>
          <w:szCs w:val="20"/>
          <w:color w:val="auto"/>
        </w:rPr>
        <w:t>Our CAO and acting CISO provides periodic briefings to our executive officers regarding our company’s cybersecurity risks and activities, including any recent cybersecurity incidents and related responses, cybersecurity systems testing, activities of third parties, and the like. Our CAO and acting CISO also provides periodic briefings to the board of directors, including the audit committee, on cybersecurity risks and activities.</w:t>
      </w:r>
    </w:p>
    <w:p>
      <w:pPr>
        <w:sectPr>
          <w:pgSz w:w="12240" w:h="15840" w:orient="portrait"/>
          <w:cols w:equalWidth="0" w:num="1">
            <w:col w:w="10720"/>
          </w:cols>
          <w:pgMar w:left="760" w:top="974"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2240" w:h="15840" w:orient="portrait"/>
          <w:cols w:equalWidth="0" w:num="1">
            <w:col w:w="10720"/>
          </w:cols>
          <w:pgMar w:left="760" w:top="974" w:right="760" w:bottom="223"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2"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20"/>
          <w:szCs w:val="20"/>
          <w:color w:val="auto"/>
        </w:rPr>
        <w:t>Our principal executive office is located in South San Francisco, California. We currently lease 10,000 square feet of office space in South San Francisco, California, under a lease that expires in 2026, and 11,074 square feet of office and laboratory space in Palo Alto, California, under a lease that expires in 2030. We believe that we have sufficient space to meet our needs for the foreseeable future and that any additional space we may require will be available on commercially reasonable terms.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2" w:lineRule="exact"/>
        <w:rPr>
          <w:sz w:val="20"/>
          <w:szCs w:val="20"/>
          <w:color w:val="auto"/>
        </w:rPr>
      </w:pPr>
    </w:p>
    <w:p>
      <w:pPr>
        <w:ind w:firstLine="487"/>
        <w:spacing w:after="0" w:line="256" w:lineRule="auto"/>
        <w:rPr>
          <w:sz w:val="20"/>
          <w:szCs w:val="20"/>
          <w:color w:val="auto"/>
        </w:rPr>
      </w:pPr>
      <w:r>
        <w:rPr>
          <w:rFonts w:ascii="Times New Roman" w:cs="Times New Roman" w:eastAsia="Times New Roman" w:hAnsi="Times New Roman"/>
          <w:sz w:val="20"/>
          <w:szCs w:val="20"/>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580"/>
          </w:cols>
          <w:pgMar w:left="760" w:top="974" w:right="9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85</w:t>
      </w:r>
    </w:p>
    <w:p>
      <w:pPr>
        <w:sectPr>
          <w:pgSz w:w="12240" w:h="15840" w:orient="portrait"/>
          <w:cols w:equalWidth="0" w:num="1">
            <w:col w:w="10580"/>
          </w:cols>
          <w:pgMar w:left="760" w:top="974" w:right="900" w:bottom="223" w:gutter="0" w:footer="0" w:header="0"/>
          <w:type w:val="continuous"/>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7" w:lineRule="exact"/>
        <w:rPr>
          <w:sz w:val="20"/>
          <w:szCs w:val="20"/>
          <w:color w:val="auto"/>
        </w:rPr>
      </w:pPr>
    </w:p>
    <w:p>
      <w:pPr>
        <w:ind w:right="400"/>
        <w:spacing w:after="0" w:line="364"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 Market Information for Our Common Stock</w:t>
      </w:r>
    </w:p>
    <w:p>
      <w:pPr>
        <w:spacing w:after="0" w:line="2" w:lineRule="exact"/>
        <w:rPr>
          <w:sz w:val="20"/>
          <w:szCs w:val="20"/>
          <w:color w:val="auto"/>
        </w:rPr>
      </w:pPr>
    </w:p>
    <w:p>
      <w:pPr>
        <w:ind w:right="40" w:firstLine="487"/>
        <w:spacing w:after="0" w:line="274" w:lineRule="auto"/>
        <w:rPr>
          <w:sz w:val="20"/>
          <w:szCs w:val="20"/>
          <w:color w:val="auto"/>
        </w:rPr>
      </w:pPr>
      <w:r>
        <w:rPr>
          <w:rFonts w:ascii="Times New Roman" w:cs="Times New Roman" w:eastAsia="Times New Roman" w:hAnsi="Times New Roman"/>
          <w:sz w:val="20"/>
          <w:szCs w:val="20"/>
          <w:color w:val="auto"/>
        </w:rPr>
        <w:t>Our common stock has been listed on the Nasdaq Global Select Market under the symbol “ALXO” since July 17, 2020. Prior to that date, there was no public trading market for our common stock.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 of Record</w:t>
      </w:r>
    </w:p>
    <w:p>
      <w:pPr>
        <w:spacing w:after="0" w:line="122" w:lineRule="exact"/>
        <w:rPr>
          <w:sz w:val="20"/>
          <w:szCs w:val="20"/>
          <w:color w:val="auto"/>
        </w:rPr>
      </w:pPr>
    </w:p>
    <w:p>
      <w:pPr>
        <w:ind w:right="500" w:firstLine="487"/>
        <w:spacing w:after="0" w:line="274" w:lineRule="auto"/>
        <w:rPr>
          <w:sz w:val="20"/>
          <w:szCs w:val="20"/>
          <w:color w:val="auto"/>
        </w:rPr>
      </w:pPr>
      <w:r>
        <w:rPr>
          <w:rFonts w:ascii="Times New Roman" w:cs="Times New Roman" w:eastAsia="Times New Roman" w:hAnsi="Times New Roman"/>
          <w:sz w:val="20"/>
          <w:szCs w:val="20"/>
          <w:color w:val="auto"/>
        </w:rPr>
        <w:t>As of March 2, 2026, there were 127 holders of record of our common stock. Certain shares are held in “street” name and, accordingly, the number of beneficial owners of such shares is not known or included in the foregoing number.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122" w:lineRule="exact"/>
        <w:rPr>
          <w:sz w:val="20"/>
          <w:szCs w:val="20"/>
          <w:color w:val="auto"/>
        </w:rPr>
      </w:pPr>
    </w:p>
    <w:p>
      <w:pPr>
        <w:ind w:firstLine="487"/>
        <w:spacing w:after="0" w:line="247" w:lineRule="auto"/>
        <w:rPr>
          <w:sz w:val="20"/>
          <w:szCs w:val="20"/>
          <w:color w:val="auto"/>
        </w:rPr>
      </w:pPr>
      <w:r>
        <w:rPr>
          <w:rFonts w:ascii="Times New Roman" w:cs="Times New Roman" w:eastAsia="Times New Roman" w:hAnsi="Times New Roman"/>
          <w:sz w:val="20"/>
          <w:szCs w:val="20"/>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Unregistered Sales of Equity Securities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700"/>
          </w:cols>
          <w:pgMar w:left="760" w:top="974"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86</w:t>
      </w:r>
    </w:p>
    <w:p>
      <w:pPr>
        <w:sectPr>
          <w:pgSz w:w="12240" w:h="15840" w:orient="portrait"/>
          <w:cols w:equalWidth="0" w:num="1">
            <w:col w:w="10700"/>
          </w:cols>
          <w:pgMar w:left="760" w:top="974" w:right="780" w:bottom="223"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124" w:lineRule="exact"/>
        <w:rPr>
          <w:sz w:val="20"/>
          <w:szCs w:val="20"/>
          <w:color w:val="auto"/>
        </w:rPr>
      </w:pPr>
    </w:p>
    <w:p>
      <w:pPr>
        <w:ind w:firstLine="487"/>
        <w:spacing w:after="0" w:line="257" w:lineRule="auto"/>
        <w:rPr>
          <w:sz w:val="20"/>
          <w:szCs w:val="20"/>
          <w:color w:val="auto"/>
        </w:rPr>
      </w:pPr>
      <w:r>
        <w:rPr>
          <w:rFonts w:ascii="Times New Roman" w:cs="Times New Roman" w:eastAsia="Times New Roman" w:hAnsi="Times New Roman"/>
          <w:sz w:val="19"/>
          <w:szCs w:val="19"/>
          <w:i w:val="1"/>
          <w:iCs w:val="1"/>
          <w:color w:val="auto"/>
        </w:rPr>
        <w:t>You should read the following discussion of our financial condition and results of operations together with our consolidated financial statements and related notes included elsewhere in this Annual Report on Form 10-K. This discussion and analysis generally addresses 2025 and 2024 items and year-over-year comparisons between 2025 and 2024. Discussions of 2023 items and year-over-year comparisons between 2024 and 2023 that are not included in this Annual Report on Form 10-K can be found in “Item 7. Management’s Discussion and Analysis of Financial Condition and Results of Operations” in our Annual Report on Form 10-K for the fiscal year ended December 31, 2024, filed with the SEC on March 6, 2025.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Annual Report on Form 10-K.</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9"/>
          <w:szCs w:val="19"/>
          <w:color w:val="auto"/>
        </w:rPr>
        <w:t>We are a clinical-stage biotechnology company advancing a pipeline of novel therapies designed to treat cancer and extend patients’ lives. Our clinical pipeline includes two clinical-stage product candidates, the CD47 blocker evorpacept and an epidermal growth factor receptor (EGFR)-targeted antibody drug candidate (ADC) ALX2004. Our lead product candidate, evorpacept, has demonstrated potential to serve as a cornerstone therapy upon which the future of immuno-oncology can be built. Evorpacept is currently being evaluated in combination with trastuzumab and chemotherapy in patients with metastatic HER2-positive breast cancer in the Phase 2 ASPEN-09-Breast clinical trial and is also being studied in clinical trials with other targeted anti-cancer antibodies. Cancer cells leverage CD47, a cell surface protein, as a “don’t eat me” signal to evade macrophage phagocytosis. We are developing evorpacept to be a next-generation checkpoint inhibitor designed to have a high affinity for CD47 and to avoid the limitations caused by hematologic toxicities inherent in other CD47 blocking approaches. Our second pipeline candidate, ALX2004, is a novel EGFR-targeted antibody-drug conjugate with a differentiated mechanism of action entered into a Phase 1 clinical trial in August 2025.</w:t>
      </w:r>
    </w:p>
    <w:p>
      <w:pPr>
        <w:spacing w:after="0" w:line="73" w:lineRule="exact"/>
        <w:rPr>
          <w:sz w:val="20"/>
          <w:szCs w:val="20"/>
          <w:color w:val="auto"/>
        </w:rPr>
      </w:pPr>
    </w:p>
    <w:p>
      <w:pPr>
        <w:ind w:right="120" w:firstLine="486"/>
        <w:spacing w:after="0" w:line="244" w:lineRule="auto"/>
        <w:rPr>
          <w:sz w:val="20"/>
          <w:szCs w:val="20"/>
          <w:color w:val="auto"/>
        </w:rPr>
      </w:pPr>
      <w:r>
        <w:rPr>
          <w:rFonts w:ascii="Times New Roman" w:cs="Times New Roman" w:eastAsia="Times New Roman" w:hAnsi="Times New Roman"/>
          <w:sz w:val="20"/>
          <w:szCs w:val="20"/>
          <w:color w:val="auto"/>
        </w:rPr>
        <w:t>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6,53Į  a protein found on myeloid cells such as macrophages, that is the natural receptor to CD47.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82"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20"/>
          <w:szCs w:val="20"/>
          <w:color w:val="auto"/>
        </w:rPr>
        <w:t>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increased tumor penetration, and greater combination potential with other leading anti-cancer agents.</w:t>
      </w:r>
    </w:p>
    <w:p>
      <w:pPr>
        <w:spacing w:after="0" w:line="75" w:lineRule="exact"/>
        <w:rPr>
          <w:sz w:val="20"/>
          <w:szCs w:val="20"/>
          <w:color w:val="auto"/>
        </w:rPr>
      </w:pPr>
    </w:p>
    <w:p>
      <w:pPr>
        <w:jc w:val="both"/>
        <w:ind w:right="480" w:firstLine="486"/>
        <w:spacing w:after="0" w:line="276" w:lineRule="auto"/>
        <w:rPr>
          <w:sz w:val="20"/>
          <w:szCs w:val="20"/>
          <w:color w:val="auto"/>
        </w:rPr>
      </w:pPr>
      <w:r>
        <w:rPr>
          <w:rFonts w:ascii="Times New Roman" w:cs="Times New Roman" w:eastAsia="Times New Roman" w:hAnsi="Times New Roman"/>
          <w:sz w:val="19"/>
          <w:szCs w:val="19"/>
          <w:color w:val="auto"/>
        </w:rPr>
        <w:t>We are focused on evorpacept development with the standard-of-care agents that provide a stimulatory signal to the innate immune system. We are combining evorpacept with anti-cancer targeted antibodies with an active Fc domain, where evorpacept enables the Fc-mediated antibody dependent phagocytosis that is impaired by the expression of CD47 on cancer cells.</w:t>
      </w:r>
    </w:p>
    <w:p>
      <w:pPr>
        <w:spacing w:after="0" w:line="51" w:lineRule="exact"/>
        <w:rPr>
          <w:sz w:val="20"/>
          <w:szCs w:val="20"/>
          <w:color w:val="auto"/>
        </w:rPr>
      </w:pPr>
    </w:p>
    <w:p>
      <w:pPr>
        <w:ind w:right="200" w:firstLine="486"/>
        <w:spacing w:after="0" w:line="234" w:lineRule="auto"/>
        <w:rPr>
          <w:sz w:val="20"/>
          <w:szCs w:val="20"/>
          <w:color w:val="auto"/>
        </w:rPr>
      </w:pPr>
      <w:r>
        <w:rPr>
          <w:rFonts w:ascii="Times New Roman" w:cs="Times New Roman" w:eastAsia="Times New Roman" w:hAnsi="Times New Roman"/>
          <w:sz w:val="20"/>
          <w:szCs w:val="20"/>
          <w:color w:val="auto"/>
        </w:rPr>
        <w:t>Data from the randomized ASPEN-06 Phase 2 clinical trial supports the clinical validation of this mechanism of action. ASPEN-06 evaluates the contribution of evorpacept to HERCEPTIN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(trastuzumab) plus standard of care (CYRAMZA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(ramucirumab) + paclitaxel) (Evo-TRP), versus trastuzumab, ramucirumab, and paclitaxel (TRP) in second line or later human epidermal growth factor receptor 2 (HER2)-positive gastric/gastroesophageal junction (GEJ) cancer, where all patients had received an anti-HER2 agent in prior lines of therapy. The full data set was previously presented. Results from a pre-planned exploratory analysis were presented at the Society for Immunotherapy of Cancer (SITC) Annual Meeting:</w:t>
      </w:r>
    </w:p>
    <w:p>
      <w:pPr>
        <w:spacing w:after="0" w:line="88" w:lineRule="exact"/>
        <w:rPr>
          <w:sz w:val="20"/>
          <w:szCs w:val="20"/>
          <w:color w:val="auto"/>
        </w:rPr>
      </w:pPr>
    </w:p>
    <w:p>
      <w:pPr>
        <w:ind w:left="960" w:right="240" w:hanging="477"/>
        <w:spacing w:after="0" w:line="243" w:lineRule="auto"/>
        <w:tabs>
          <w:tab w:leader="none" w:pos="960" w:val="left"/>
        </w:tabs>
        <w:numPr>
          <w:ilvl w:val="0"/>
          <w:numId w:val="5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 a pre-planned exploratory analysis of the ASPEN-06 clinical trial in gastric cancer, CD47 overexpression was identified as a key predictive biomarker for response and durable benefit in patients with retained HER2 expression. Retained HER2 expression is defined as patients who are HER-2 positive on a tumor biopsy after receiving a HER2-targeted treatment or by HER2 amplification by circulating tumor DNA (ctDNA). The data was highlighted as part of a poster presentation at the SITC Annual Meeting in November 2025.</w:t>
      </w:r>
    </w:p>
    <w:p>
      <w:pPr>
        <w:spacing w:after="0" w:line="97" w:lineRule="exact"/>
        <w:rPr>
          <w:rFonts w:ascii="PMingLiU" w:cs="PMingLiU" w:eastAsia="PMingLiU" w:hAnsi="PMingLiU"/>
          <w:sz w:val="20"/>
          <w:szCs w:val="20"/>
          <w:color w:val="auto"/>
        </w:rPr>
      </w:pPr>
    </w:p>
    <w:p>
      <w:pPr>
        <w:ind w:left="1560" w:right="300" w:hanging="490"/>
        <w:spacing w:after="0" w:line="256" w:lineRule="auto"/>
        <w:tabs>
          <w:tab w:leader="none" w:pos="1560" w:val="left"/>
        </w:tabs>
        <w:numPr>
          <w:ilvl w:val="1"/>
          <w:numId w:val="53"/>
        </w:numPr>
        <w:rPr>
          <w:rFonts w:ascii="Arial" w:cs="Arial" w:eastAsia="Arial" w:hAnsi="Arial"/>
          <w:sz w:val="20"/>
          <w:szCs w:val="20"/>
          <w:color w:val="auto"/>
        </w:rPr>
      </w:pPr>
      <w:r>
        <w:rPr>
          <w:rFonts w:ascii="Times New Roman" w:cs="Times New Roman" w:eastAsia="Times New Roman" w:hAnsi="Times New Roman"/>
          <w:sz w:val="20"/>
          <w:szCs w:val="20"/>
          <w:color w:val="auto"/>
        </w:rPr>
        <w:t>In patients with retained HER2-positive and CD47-high gastric cancer (n=43), Evo-TRP had a 65.0% objective response rate (ORR) versus 26.1% ORR for TRP, while patients with retained HER2-positive and CD47-low gastric cancer (n=47), Evo-TRP had a 37.5% ORR compared to 26.1% ORR for TRP.</w:t>
      </w:r>
    </w:p>
    <w:p>
      <w:pPr>
        <w:sectPr>
          <w:pgSz w:w="12240" w:h="15840" w:orient="portrait"/>
          <w:cols w:equalWidth="0" w:num="1">
            <w:col w:w="10700"/>
          </w:cols>
          <w:pgMar w:left="760" w:top="974"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2240" w:h="15840" w:orient="portrait"/>
          <w:cols w:equalWidth="0" w:num="1">
            <w:col w:w="10700"/>
          </w:cols>
          <w:pgMar w:left="760" w:top="974" w:right="780" w:bottom="223" w:gutter="0" w:footer="0" w:header="0"/>
          <w:type w:val="continuous"/>
        </w:sectPr>
      </w:pPr>
    </w:p>
    <w:bookmarkStart w:id="97" w:name="page98"/>
    <w:bookmarkEnd w:id="97"/>
    <w:p>
      <w:pPr>
        <w:ind w:left="1560" w:hanging="490"/>
        <w:spacing w:after="0" w:line="244" w:lineRule="auto"/>
        <w:tabs>
          <w:tab w:leader="none" w:pos="1560" w:val="left"/>
        </w:tabs>
        <w:numPr>
          <w:ilvl w:val="0"/>
          <w:numId w:val="54"/>
        </w:numPr>
        <w:rPr>
          <w:rFonts w:ascii="Arial" w:cs="Arial" w:eastAsia="Arial" w:hAnsi="Arial"/>
          <w:sz w:val="20"/>
          <w:szCs w:val="20"/>
          <w:color w:val="auto"/>
        </w:rPr>
      </w:pPr>
      <w:r>
        <w:rPr>
          <w:rFonts w:ascii="Times New Roman" w:cs="Times New Roman" w:eastAsia="Times New Roman" w:hAnsi="Times New Roman"/>
          <w:sz w:val="20"/>
          <w:szCs w:val="20"/>
          <w:color w:val="auto"/>
        </w:rPr>
        <w:t>The duration of response (DOR) was three times longer in the Evo-TRP arm relative to TRP in these patients. Evo-TRP had a median DOR (mDOR) of 25.5 months versus 8.4 months mDOR for TRP, while patients with retained HER2-positive and CD47-low gastric cancer, had an mDOR of 11.2 months for Evo-TRP compared to 12 months for TRP. Progression free survival (PFS) and overall survival (OS) data were evaluated in these patients. Treatment with Evo-TRP resulted in a median PFS (mPFS) of 18.4 months versus 7.0 months for TRP, hazard ratio (HR) of 0.39. Treatment with Evo-TRP resulted in a median OS (mOS) of 17 months versus 9.9 months for TRP, HR of 0.70.</w:t>
      </w:r>
    </w:p>
    <w:p>
      <w:pPr>
        <w:spacing w:after="0" w:line="81" w:lineRule="exact"/>
        <w:rPr>
          <w:sz w:val="20"/>
          <w:szCs w:val="20"/>
          <w:color w:val="auto"/>
        </w:rPr>
      </w:pPr>
    </w:p>
    <w:p>
      <w:pPr>
        <w:ind w:right="120" w:firstLine="486"/>
        <w:spacing w:after="0" w:line="244" w:lineRule="auto"/>
        <w:rPr>
          <w:sz w:val="20"/>
          <w:szCs w:val="20"/>
          <w:color w:val="auto"/>
        </w:rPr>
      </w:pPr>
      <w:r>
        <w:rPr>
          <w:rFonts w:ascii="Times New Roman" w:cs="Times New Roman" w:eastAsia="Times New Roman" w:hAnsi="Times New Roman"/>
          <w:sz w:val="20"/>
          <w:szCs w:val="20"/>
          <w:color w:val="auto"/>
        </w:rPr>
        <w:t>Evorpacept has been combined in clinical trials with multiple anti-cancer antibodies in addition to trastuzumab including the CD20-targeted antibody rituximab, the CD38-targeted antibody isatuximab</w:t>
      </w:r>
      <w:r>
        <w:rPr>
          <w:rFonts w:ascii="Times New Roman" w:cs="Times New Roman" w:eastAsia="Times New Roman" w:hAnsi="Times New Roman"/>
          <w:sz w:val="20"/>
          <w:szCs w:val="20"/>
          <w:i w:val="1"/>
          <w:iCs w:val="1"/>
          <w:color w:val="auto"/>
        </w:rPr>
        <w:t>-irfc</w:t>
      </w:r>
      <w:r>
        <w:rPr>
          <w:rFonts w:ascii="Times New Roman" w:cs="Times New Roman" w:eastAsia="Times New Roman" w:hAnsi="Times New Roman"/>
          <w:sz w:val="20"/>
          <w:szCs w:val="20"/>
          <w:color w:val="auto"/>
        </w:rPr>
        <w:t>, and the HER2-targeted bispecific antibody zanidatamab. Our earlier ASPEN-01 Phase 1 positive data in combination with rituximab in non-Hodgkin lymphoma (NHL); the Phase 1/2 investigator-sponsored trial (IST) of evorpacept in combination with rituximab and lenalidomide in patients with relapsed refractory B-cell NHL (R/R B-NHL) and subsequently, in patients with newly diagnosed indolent B-cell NHL (iNHL); and the Phase 1b/2 trial of evorpacept with zanidatamab in patients with HER2-positive breast cancer provide additional support for the clinical validation of this mechanism of action and support exploring combinations of evorpacept with other anti-cancer antibodies.</w:t>
      </w:r>
    </w:p>
    <w:p>
      <w:pPr>
        <w:spacing w:after="0" w:line="82" w:lineRule="exact"/>
        <w:rPr>
          <w:sz w:val="20"/>
          <w:szCs w:val="20"/>
          <w:color w:val="auto"/>
        </w:rPr>
      </w:pPr>
    </w:p>
    <w:p>
      <w:pPr>
        <w:ind w:right="160" w:firstLine="486"/>
        <w:spacing w:after="0" w:line="244" w:lineRule="auto"/>
        <w:rPr>
          <w:sz w:val="20"/>
          <w:szCs w:val="20"/>
          <w:color w:val="auto"/>
        </w:rPr>
      </w:pPr>
      <w:r>
        <w:rPr>
          <w:rFonts w:ascii="Times New Roman" w:cs="Times New Roman" w:eastAsia="Times New Roman" w:hAnsi="Times New Roman"/>
          <w:sz w:val="20"/>
          <w:szCs w:val="20"/>
          <w:color w:val="auto"/>
        </w:rPr>
        <w:t>Our second product candidate is ALX2004, a novel EGFR-targeted ADC. ALX2004 was created from our proprietary linker-payload library and fully designed and developed in-house by our scientists. ALX2004 comprises a matuzumab-derived affinity-selected EGFR antibody backbone engineered for optimal activity as an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are engaged in the following clinical programs, collaborations, and investigator-sponsored trials: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Evorpacept</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HER2-targeted antibody trastuzumab</w:t>
      </w:r>
    </w:p>
    <w:p>
      <w:pPr>
        <w:spacing w:after="0" w:line="116" w:lineRule="exact"/>
        <w:rPr>
          <w:sz w:val="20"/>
          <w:szCs w:val="20"/>
          <w:color w:val="auto"/>
        </w:rPr>
      </w:pPr>
    </w:p>
    <w:p>
      <w:pPr>
        <w:ind w:left="960" w:hanging="477"/>
        <w:spacing w:after="0"/>
        <w:tabs>
          <w:tab w:leader="none" w:pos="960" w:val="left"/>
        </w:tabs>
        <w:numPr>
          <w:ilvl w:val="0"/>
          <w:numId w:val="5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ASPEN-09-Breast – HER2+ Breast Cancer</w:t>
      </w:r>
    </w:p>
    <w:p>
      <w:pPr>
        <w:spacing w:after="0" w:line="39" w:lineRule="exact"/>
        <w:rPr>
          <w:rFonts w:ascii="PMingLiU" w:cs="PMingLiU" w:eastAsia="PMingLiU" w:hAnsi="PMingLiU"/>
          <w:sz w:val="20"/>
          <w:szCs w:val="20"/>
          <w:color w:val="auto"/>
        </w:rPr>
      </w:pPr>
    </w:p>
    <w:p>
      <w:pPr>
        <w:ind w:left="1560" w:right="480" w:hanging="490"/>
        <w:spacing w:after="0" w:line="256" w:lineRule="auto"/>
        <w:tabs>
          <w:tab w:leader="none" w:pos="1560"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spacing w:after="0" w:line="2" w:lineRule="exact"/>
        <w:rPr>
          <w:rFonts w:ascii="Arial" w:cs="Arial" w:eastAsia="Arial" w:hAnsi="Arial"/>
          <w:sz w:val="20"/>
          <w:szCs w:val="20"/>
          <w:color w:val="auto"/>
        </w:rPr>
      </w:pPr>
    </w:p>
    <w:p>
      <w:pPr>
        <w:ind w:left="1560" w:right="140" w:hanging="490"/>
        <w:spacing w:after="0" w:line="250" w:lineRule="auto"/>
        <w:tabs>
          <w:tab w:leader="none" w:pos="1560"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2025, we announced that based on the magnitude of benefit in patients with high CD47 expression in HER2-positive gastric cancer, the ASPEN-09-Breast study in HER2-positive breast cancer evaluating evorpacept in combination with trastuzumab and chemotherapy has been amended to a single-arm design in all previously treated HER2 positive patients and will be evaluated by CD47 expression.</w:t>
      </w:r>
    </w:p>
    <w:p>
      <w:pPr>
        <w:spacing w:after="0" w:line="8" w:lineRule="exact"/>
        <w:rPr>
          <w:rFonts w:ascii="Arial" w:cs="Arial" w:eastAsia="Arial" w:hAnsi="Arial"/>
          <w:sz w:val="20"/>
          <w:szCs w:val="20"/>
          <w:color w:val="auto"/>
        </w:rPr>
      </w:pPr>
    </w:p>
    <w:p>
      <w:pPr>
        <w:ind w:left="1560" w:hanging="490"/>
        <w:spacing w:after="0"/>
        <w:tabs>
          <w:tab w:leader="none" w:pos="1560"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2026, we announced that the first patient had been dosed in the trial.</w:t>
      </w:r>
    </w:p>
    <w:p>
      <w:pPr>
        <w:spacing w:after="0" w:line="116" w:lineRule="exact"/>
        <w:rPr>
          <w:rFonts w:ascii="Arial" w:cs="Arial" w:eastAsia="Arial" w:hAnsi="Arial"/>
          <w:sz w:val="20"/>
          <w:szCs w:val="20"/>
          <w:color w:val="auto"/>
        </w:rPr>
      </w:pPr>
    </w:p>
    <w:p>
      <w:pPr>
        <w:ind w:left="960" w:hanging="477"/>
        <w:spacing w:after="0"/>
        <w:tabs>
          <w:tab w:leader="none" w:pos="960" w:val="left"/>
        </w:tabs>
        <w:numPr>
          <w:ilvl w:val="0"/>
          <w:numId w:val="55"/>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ASPEN-06 – Gastric/GEJ Cancer</w:t>
      </w:r>
    </w:p>
    <w:p>
      <w:pPr>
        <w:spacing w:after="0" w:line="39" w:lineRule="exact"/>
        <w:rPr>
          <w:rFonts w:ascii="PMingLiU" w:cs="PMingLiU" w:eastAsia="PMingLiU" w:hAnsi="PMingLiU"/>
          <w:sz w:val="20"/>
          <w:szCs w:val="20"/>
          <w:color w:val="auto"/>
        </w:rPr>
      </w:pPr>
    </w:p>
    <w:p>
      <w:pPr>
        <w:ind w:left="1560" w:right="480" w:hanging="490"/>
        <w:spacing w:after="0" w:line="250" w:lineRule="auto"/>
        <w:tabs>
          <w:tab w:leader="none" w:pos="1560"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spacing w:after="0" w:line="8" w:lineRule="exact"/>
        <w:rPr>
          <w:rFonts w:ascii="Arial" w:cs="Arial" w:eastAsia="Arial" w:hAnsi="Arial"/>
          <w:sz w:val="20"/>
          <w:szCs w:val="20"/>
          <w:color w:val="auto"/>
        </w:rPr>
      </w:pPr>
    </w:p>
    <w:p>
      <w:pPr>
        <w:ind w:left="1560" w:right="100" w:hanging="490"/>
        <w:spacing w:after="0" w:line="266" w:lineRule="auto"/>
        <w:tabs>
          <w:tab w:leader="none" w:pos="1560"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2022, the FDA’s Office of Orphan Products Development granted Orphan Drug Designation (ODD) to evorpacept for the treatment of patients with gastric/GEJ cancer.</w:t>
      </w:r>
    </w:p>
    <w:p>
      <w:pPr>
        <w:jc w:val="both"/>
        <w:ind w:left="1560" w:right="280" w:hanging="490"/>
        <w:spacing w:after="0" w:line="250" w:lineRule="auto"/>
        <w:tabs>
          <w:tab w:leader="none" w:pos="1560"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spacing w:after="0" w:line="8" w:lineRule="exact"/>
        <w:rPr>
          <w:rFonts w:ascii="Arial" w:cs="Arial" w:eastAsia="Arial" w:hAnsi="Arial"/>
          <w:sz w:val="20"/>
          <w:szCs w:val="20"/>
          <w:color w:val="auto"/>
        </w:rPr>
      </w:pPr>
    </w:p>
    <w:p>
      <w:pPr>
        <w:ind w:left="1560" w:right="40" w:hanging="490"/>
        <w:spacing w:after="0" w:line="266" w:lineRule="auto"/>
        <w:tabs>
          <w:tab w:leader="none" w:pos="1560" w:val="left"/>
        </w:tabs>
        <w:numPr>
          <w:ilvl w:val="1"/>
          <w:numId w:val="55"/>
        </w:numPr>
        <w:rPr>
          <w:rFonts w:ascii="Arial" w:cs="Arial" w:eastAsia="Arial" w:hAnsi="Arial"/>
          <w:sz w:val="20"/>
          <w:szCs w:val="20"/>
          <w:color w:val="auto"/>
        </w:rPr>
      </w:pPr>
      <w:r>
        <w:rPr>
          <w:rFonts w:ascii="Times New Roman" w:cs="Times New Roman" w:eastAsia="Times New Roman" w:hAnsi="Times New Roman"/>
          <w:sz w:val="20"/>
          <w:szCs w:val="20"/>
          <w:color w:val="auto"/>
        </w:rPr>
        <w:t>In June 2023, the European Commission granted ODD to evorpacept for the treatment of patients with gastric/GEJ cancer.</w:t>
      </w:r>
    </w:p>
    <w:p>
      <w:pPr>
        <w:ind w:left="1560" w:right="120" w:hanging="490"/>
        <w:spacing w:after="0" w:line="260" w:lineRule="auto"/>
        <w:tabs>
          <w:tab w:leader="none" w:pos="1560" w:val="left"/>
        </w:tabs>
        <w:numPr>
          <w:ilvl w:val="1"/>
          <w:numId w:val="55"/>
        </w:numPr>
        <w:rPr>
          <w:rFonts w:ascii="Arial" w:cs="Arial" w:eastAsia="Arial" w:hAnsi="Arial"/>
          <w:sz w:val="19"/>
          <w:szCs w:val="19"/>
          <w:color w:val="auto"/>
        </w:rPr>
      </w:pPr>
      <w:r>
        <w:rPr>
          <w:rFonts w:ascii="Times New Roman" w:cs="Times New Roman" w:eastAsia="Times New Roman" w:hAnsi="Times New Roman"/>
          <w:sz w:val="19"/>
          <w:szCs w:val="19"/>
          <w:color w:val="auto"/>
        </w:rPr>
        <w:t>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TRP control arm. An mDOR was not reached for the Evo-TRP treatment arm compared to 7.4 months for the control group. The safety profile of evorpacept was consistent with previous clinical trials and was well-tolerated.</w:t>
      </w:r>
    </w:p>
    <w:p>
      <w:pPr>
        <w:sectPr>
          <w:pgSz w:w="12240" w:h="15840" w:orient="portrait"/>
          <w:cols w:equalWidth="0" w:num="1">
            <w:col w:w="10720"/>
          </w:cols>
          <w:pgMar w:left="760" w:top="992" w:right="760" w:bottom="223"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2240" w:h="15840" w:orient="portrait"/>
          <w:cols w:equalWidth="0" w:num="1">
            <w:col w:w="10720"/>
          </w:cols>
          <w:pgMar w:left="760" w:top="992" w:right="760" w:bottom="223" w:gutter="0" w:footer="0" w:header="0"/>
          <w:type w:val="continuous"/>
        </w:sectPr>
      </w:pPr>
    </w:p>
    <w:bookmarkStart w:id="98" w:name="page99"/>
    <w:bookmarkEnd w:id="98"/>
    <w:p>
      <w:pPr>
        <w:ind w:left="1560" w:hanging="490"/>
        <w:spacing w:after="0" w:line="235" w:lineRule="auto"/>
        <w:tabs>
          <w:tab w:leader="none" w:pos="15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spacing w:after="0" w:line="22" w:lineRule="exact"/>
        <w:rPr>
          <w:rFonts w:ascii="Arial" w:cs="Arial" w:eastAsia="Arial" w:hAnsi="Arial"/>
          <w:sz w:val="20"/>
          <w:szCs w:val="20"/>
          <w:color w:val="auto"/>
        </w:rPr>
      </w:pPr>
    </w:p>
    <w:p>
      <w:pPr>
        <w:ind w:left="1560" w:right="140" w:hanging="490"/>
        <w:spacing w:after="0" w:line="252" w:lineRule="auto"/>
        <w:tabs>
          <w:tab w:leader="none" w:pos="15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2025, we presented updated results from the ASPEN-06 Phase 2 clinical trial in an oral presentation at the 2025 American Society of Clinical Oncology Gastrointestinal Cancers Symposium. A confirmed ORR of</w:t>
      </w:r>
    </w:p>
    <w:p>
      <w:pPr>
        <w:ind w:left="1560" w:right="20"/>
        <w:spacing w:after="0"/>
        <w:rPr>
          <w:rFonts w:ascii="Arial" w:cs="Arial" w:eastAsia="Arial" w:hAnsi="Arial"/>
          <w:sz w:val="20"/>
          <w:szCs w:val="20"/>
          <w:color w:val="auto"/>
        </w:rPr>
      </w:pPr>
      <w:r>
        <w:rPr>
          <w:rFonts w:ascii="Times New Roman" w:cs="Times New Roman" w:eastAsia="Times New Roman" w:hAnsi="Times New Roman"/>
          <w:sz w:val="20"/>
          <w:szCs w:val="20"/>
          <w:color w:val="auto"/>
        </w:rPr>
        <w:t>41.3% was demonstrated for the Evo-TRP treatment arm compared to 26.6% for the TRP control arm in the intent-to-treat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spacing w:after="0" w:line="18" w:lineRule="exact"/>
        <w:rPr>
          <w:rFonts w:ascii="Arial" w:cs="Arial" w:eastAsia="Arial" w:hAnsi="Arial"/>
          <w:sz w:val="20"/>
          <w:szCs w:val="20"/>
          <w:color w:val="auto"/>
        </w:rPr>
      </w:pPr>
    </w:p>
    <w:p>
      <w:pPr>
        <w:ind w:left="1560" w:hanging="490"/>
        <w:spacing w:after="0" w:line="245" w:lineRule="auto"/>
        <w:tabs>
          <w:tab w:leader="none" w:pos="15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 April 2025, we received guidance from the FDA that the ASPEN-06 Phase 2 trial data evaluating Evo-TRP was not eligible for submission for accelerated approval given the availability of ENHERTU. A Phase 3 versus ENHERTU trial would be needed to pursue a regulatory approval of evorpacept in the second-line setting for HER2-positive gastric and GEJ. Given our disciplined focus and the allocation of our resources, we will not pursue a U.S. registrational path with a Phase 3 trial in gastric cancer and will consider exploring development partnerships to advance this program in gastric cancer.</w:t>
      </w:r>
    </w:p>
    <w:p>
      <w:pPr>
        <w:spacing w:after="0" w:line="15" w:lineRule="exact"/>
        <w:rPr>
          <w:rFonts w:ascii="Arial" w:cs="Arial" w:eastAsia="Arial" w:hAnsi="Arial"/>
          <w:sz w:val="20"/>
          <w:szCs w:val="20"/>
          <w:color w:val="auto"/>
        </w:rPr>
      </w:pPr>
    </w:p>
    <w:p>
      <w:pPr>
        <w:ind w:left="1560" w:right="120" w:hanging="490"/>
        <w:spacing w:after="0" w:line="256" w:lineRule="auto"/>
        <w:tabs>
          <w:tab w:leader="none" w:pos="15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2025, we announced topline results from pre-planned exploratory analysis of the ASPEN-06 trial in gastric cancer, where CD47 overexpression was identified as a key predictive biomarker for response and durable benefit.</w:t>
      </w:r>
    </w:p>
    <w:p>
      <w:pPr>
        <w:spacing w:after="0" w:line="2" w:lineRule="exact"/>
        <w:rPr>
          <w:rFonts w:ascii="Arial" w:cs="Arial" w:eastAsia="Arial" w:hAnsi="Arial"/>
          <w:sz w:val="20"/>
          <w:szCs w:val="20"/>
          <w:color w:val="auto"/>
        </w:rPr>
      </w:pPr>
    </w:p>
    <w:p>
      <w:pPr>
        <w:jc w:val="both"/>
        <w:ind w:left="1560" w:right="500" w:hanging="490"/>
        <w:spacing w:after="0" w:line="256" w:lineRule="auto"/>
        <w:tabs>
          <w:tab w:leader="none" w:pos="1560" w:val="left"/>
        </w:tabs>
        <w:numPr>
          <w:ilvl w:val="0"/>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 November 2025, we presented a pre-planned exploratory analysis of the ASPEN-06 clinical trial in gastric cancer in which CD47 overexpression was identified as a key predictive biomarker for response and durable benefit in patients with retained HER2 expression.</w:t>
      </w:r>
    </w:p>
    <w:p>
      <w:pPr>
        <w:spacing w:after="0" w:line="2" w:lineRule="exact"/>
        <w:rPr>
          <w:rFonts w:ascii="Arial" w:cs="Arial" w:eastAsia="Arial" w:hAnsi="Arial"/>
          <w:sz w:val="20"/>
          <w:szCs w:val="20"/>
          <w:color w:val="auto"/>
        </w:rPr>
      </w:pPr>
    </w:p>
    <w:p>
      <w:pPr>
        <w:jc w:val="both"/>
        <w:ind w:left="2200" w:right="440" w:hanging="487"/>
        <w:spacing w:after="0" w:line="256" w:lineRule="auto"/>
        <w:tabs>
          <w:tab w:leader="none" w:pos="2200" w:val="left"/>
        </w:tabs>
        <w:numPr>
          <w:ilvl w:val="1"/>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In patients with retained HER2-positive and CD47-high gastric cancer (n=43), Evo-TRP had a 65.0% ORR versus 26.1% ORR for TRP, while patients with retained HER2-positive and CD47-low gastric cancer (n=47), Evo-TRP had a 37.5% ORR compared to 26.1% ORR for TRP.</w:t>
      </w:r>
    </w:p>
    <w:p>
      <w:pPr>
        <w:spacing w:after="0" w:line="2" w:lineRule="exact"/>
        <w:rPr>
          <w:rFonts w:ascii="Arial" w:cs="Arial" w:eastAsia="Arial" w:hAnsi="Arial"/>
          <w:sz w:val="20"/>
          <w:szCs w:val="20"/>
          <w:color w:val="auto"/>
        </w:rPr>
      </w:pPr>
    </w:p>
    <w:p>
      <w:pPr>
        <w:ind w:left="2200" w:right="20" w:hanging="487"/>
        <w:spacing w:after="0" w:line="245" w:lineRule="auto"/>
        <w:tabs>
          <w:tab w:leader="none" w:pos="2200" w:val="left"/>
        </w:tabs>
        <w:numPr>
          <w:ilvl w:val="1"/>
          <w:numId w:val="56"/>
        </w:numPr>
        <w:rPr>
          <w:rFonts w:ascii="Arial" w:cs="Arial" w:eastAsia="Arial" w:hAnsi="Arial"/>
          <w:sz w:val="20"/>
          <w:szCs w:val="20"/>
          <w:color w:val="auto"/>
        </w:rPr>
      </w:pPr>
      <w:r>
        <w:rPr>
          <w:rFonts w:ascii="Times New Roman" w:cs="Times New Roman" w:eastAsia="Times New Roman" w:hAnsi="Times New Roman"/>
          <w:sz w:val="20"/>
          <w:szCs w:val="20"/>
          <w:color w:val="auto"/>
        </w:rPr>
        <w:t>The DOR was three times longer in the Evo-TRP arm relative to TRP in these patients. Evo-TRP had an mDOR of 25.5 months versus 8.4 months mDOR for TRP, while patients with retained HER2-positive and CD47-low gastric cancer, had an mDOR of 11.2 months for Evo-TRP compared to 12 months for TRP. PFS and OS data were evaluated in these patients. Treatment with Evo-TRP resulted in an mPFS of 18.4 months versus 7.0 months for TRP, HR of 0.39. Treatment with Evo-TRP resulted in an mOS of 17 months versus 9.9 months for TRP, HR of 0.70.</w:t>
      </w:r>
    </w:p>
    <w:p>
      <w:pPr>
        <w:spacing w:after="0" w:line="14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EGFR-targeted antibody cetuximab</w:t>
      </w:r>
    </w:p>
    <w:p>
      <w:pPr>
        <w:spacing w:after="0" w:line="116" w:lineRule="exact"/>
        <w:rPr>
          <w:sz w:val="20"/>
          <w:szCs w:val="20"/>
          <w:color w:val="auto"/>
        </w:rPr>
      </w:pPr>
    </w:p>
    <w:p>
      <w:pPr>
        <w:ind w:left="960" w:hanging="477"/>
        <w:spacing w:after="0"/>
        <w:tabs>
          <w:tab w:leader="none" w:pos="960" w:val="left"/>
        </w:tabs>
        <w:numPr>
          <w:ilvl w:val="0"/>
          <w:numId w:val="57"/>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ASPEN-CRC – Colorectal Cancer (CRC)</w:t>
      </w:r>
    </w:p>
    <w:p>
      <w:pPr>
        <w:spacing w:after="0" w:line="39" w:lineRule="exact"/>
        <w:rPr>
          <w:rFonts w:ascii="PMingLiU" w:cs="PMingLiU" w:eastAsia="PMingLiU" w:hAnsi="PMingLiU"/>
          <w:sz w:val="20"/>
          <w:szCs w:val="20"/>
          <w:color w:val="auto"/>
        </w:rPr>
      </w:pPr>
    </w:p>
    <w:p>
      <w:pPr>
        <w:ind w:left="1560" w:right="220" w:hanging="490"/>
        <w:spacing w:after="0" w:line="280" w:lineRule="auto"/>
        <w:tabs>
          <w:tab w:leader="none" w:pos="1560" w:val="left"/>
        </w:tabs>
        <w:numPr>
          <w:ilvl w:val="1"/>
          <w:numId w:val="57"/>
        </w:numPr>
        <w:rPr>
          <w:rFonts w:ascii="Arial" w:cs="Arial" w:eastAsia="Arial" w:hAnsi="Arial"/>
          <w:sz w:val="19"/>
          <w:szCs w:val="19"/>
          <w:color w:val="auto"/>
        </w:rPr>
      </w:pPr>
      <w:r>
        <w:rPr>
          <w:rFonts w:ascii="Times New Roman" w:cs="Times New Roman" w:eastAsia="Times New Roman" w:hAnsi="Times New Roman"/>
          <w:sz w:val="19"/>
          <w:szCs w:val="19"/>
          <w:color w:val="auto"/>
        </w:rPr>
        <w:t>In March 2025, we announced intent to initiate a Phase 1b study evaluating evorpacept in combination with the EGFR-targeted antibody cetuximab and FOLFIRI for the treatment of patients with second-line metastatic CRC.</w:t>
      </w:r>
    </w:p>
    <w:p>
      <w:pPr>
        <w:ind w:left="1560" w:right="40" w:hanging="490"/>
        <w:spacing w:after="0" w:line="273" w:lineRule="auto"/>
        <w:tabs>
          <w:tab w:leader="none" w:pos="1560" w:val="left"/>
        </w:tabs>
        <w:numPr>
          <w:ilvl w:val="1"/>
          <w:numId w:val="57"/>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2025, we streamlined evorpacept development program to focus our resources on the ASPEN-09-Breast trial and paused the ASPEN-CRC study announced earlier in March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Collaborations and Investigator-Sponsored Trials (ISTs)</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HER2-targeted bispecific, zanidatamab, and HER2-targeted ADC, fam-trastuzumab deruxtecan-nxki</w:t>
      </w:r>
    </w:p>
    <w:p>
      <w:pPr>
        <w:spacing w:after="0" w:line="116" w:lineRule="exact"/>
        <w:rPr>
          <w:sz w:val="20"/>
          <w:szCs w:val="20"/>
          <w:color w:val="auto"/>
        </w:rPr>
      </w:pPr>
    </w:p>
    <w:p>
      <w:pPr>
        <w:ind w:left="960" w:hanging="477"/>
        <w:spacing w:after="0"/>
        <w:tabs>
          <w:tab w:leader="none" w:pos="960" w:val="left"/>
        </w:tabs>
        <w:numPr>
          <w:ilvl w:val="0"/>
          <w:numId w:val="58"/>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Jazz Pharmaceuticals plc – Breast Cancer</w:t>
      </w:r>
    </w:p>
    <w:p>
      <w:pPr>
        <w:spacing w:after="0" w:line="39" w:lineRule="exact"/>
        <w:rPr>
          <w:rFonts w:ascii="PMingLiU" w:cs="PMingLiU" w:eastAsia="PMingLiU" w:hAnsi="PMingLiU"/>
          <w:sz w:val="20"/>
          <w:szCs w:val="20"/>
          <w:color w:val="auto"/>
        </w:rPr>
      </w:pPr>
    </w:p>
    <w:p>
      <w:pPr>
        <w:ind w:left="1560" w:right="60" w:hanging="490"/>
        <w:spacing w:after="0" w:line="250" w:lineRule="auto"/>
        <w:tabs>
          <w:tab w:leader="none" w:pos="1560" w:val="left"/>
        </w:tabs>
        <w:numPr>
          <w:ilvl w:val="1"/>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Our collaborator, Jazz Pharmaceuticals plc (Jazz), sponsored and managed the Phase 1b/2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spacing w:after="0" w:line="8" w:lineRule="exact"/>
        <w:rPr>
          <w:rFonts w:ascii="Arial" w:cs="Arial" w:eastAsia="Arial" w:hAnsi="Arial"/>
          <w:sz w:val="20"/>
          <w:szCs w:val="20"/>
          <w:color w:val="auto"/>
        </w:rPr>
      </w:pPr>
    </w:p>
    <w:p>
      <w:pPr>
        <w:ind w:left="1560" w:right="80" w:hanging="490"/>
        <w:spacing w:after="0" w:line="250" w:lineRule="auto"/>
        <w:tabs>
          <w:tab w:leader="none" w:pos="1560" w:val="left"/>
        </w:tabs>
        <w:numPr>
          <w:ilvl w:val="1"/>
          <w:numId w:val="58"/>
        </w:numPr>
        <w:rPr>
          <w:rFonts w:ascii="Arial" w:cs="Arial" w:eastAsia="Arial" w:hAnsi="Arial"/>
          <w:sz w:val="20"/>
          <w:szCs w:val="20"/>
          <w:color w:val="auto"/>
        </w:rPr>
      </w:pPr>
      <w:r>
        <w:rPr>
          <w:rFonts w:ascii="Times New Roman" w:cs="Times New Roman" w:eastAsia="Times New Roman" w:hAnsi="Times New Roman"/>
          <w:sz w:val="20"/>
          <w:szCs w:val="20"/>
          <w:color w:val="auto"/>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sectPr>
          <w:pgSz w:w="12240" w:h="15840" w:orient="portrait"/>
          <w:cols w:equalWidth="0" w:num="1">
            <w:col w:w="10720"/>
          </w:cols>
          <w:pgMar w:left="760" w:top="992" w:right="760" w:bottom="223"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89</w:t>
      </w:r>
    </w:p>
    <w:p>
      <w:pPr>
        <w:sectPr>
          <w:pgSz w:w="12240" w:h="15840" w:orient="portrait"/>
          <w:cols w:equalWidth="0" w:num="1">
            <w:col w:w="10720"/>
          </w:cols>
          <w:pgMar w:left="760" w:top="992" w:right="760" w:bottom="223" w:gutter="0" w:footer="0" w:header="0"/>
          <w:type w:val="continuous"/>
        </w:sectPr>
      </w:pPr>
    </w:p>
    <w:bookmarkStart w:id="99" w:name="page100"/>
    <w:bookmarkEnd w:id="99"/>
    <w:p>
      <w:pPr>
        <w:ind w:left="1560" w:hanging="490"/>
        <w:spacing w:after="0" w:line="254" w:lineRule="auto"/>
        <w:tabs>
          <w:tab w:leader="none" w:pos="1560" w:val="left"/>
        </w:tabs>
        <w:numPr>
          <w:ilvl w:val="0"/>
          <w:numId w:val="59"/>
        </w:numPr>
        <w:rPr>
          <w:rFonts w:ascii="Arial" w:cs="Arial" w:eastAsia="Arial" w:hAnsi="Arial"/>
          <w:sz w:val="19"/>
          <w:szCs w:val="19"/>
          <w:color w:val="auto"/>
        </w:rPr>
      </w:pPr>
      <w:r>
        <w:rPr>
          <w:rFonts w:ascii="Times New Roman" w:cs="Times New Roman" w:eastAsia="Times New Roman" w:hAnsi="Times New Roman"/>
          <w:sz w:val="19"/>
          <w:szCs w:val="19"/>
          <w:color w:val="auto"/>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an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mDOR was not reached for Cohort 1 patients (range: 3.6-25.9 months) and was 5.5 months for Cohort 2 patients (range: 3.6-11.0 months), with responses ongoing, including the longest observed response, in each cohort. The combination therapy was well tolerated with a manageable safety profile that was consistent with prior experience of each agent.</w:t>
      </w:r>
    </w:p>
    <w:p>
      <w:pPr>
        <w:spacing w:after="0" w:line="11" w:lineRule="exact"/>
        <w:rPr>
          <w:rFonts w:ascii="Arial" w:cs="Arial" w:eastAsia="Arial" w:hAnsi="Arial"/>
          <w:sz w:val="19"/>
          <w:szCs w:val="19"/>
          <w:color w:val="auto"/>
        </w:rPr>
      </w:pPr>
    </w:p>
    <w:p>
      <w:pPr>
        <w:ind w:left="1560" w:right="120" w:hanging="490"/>
        <w:spacing w:after="0" w:line="274" w:lineRule="auto"/>
        <w:tabs>
          <w:tab w:leader="none" w:pos="1560" w:val="left"/>
        </w:tabs>
        <w:numPr>
          <w:ilvl w:val="0"/>
          <w:numId w:val="59"/>
        </w:numPr>
        <w:rPr>
          <w:rFonts w:ascii="Arial" w:cs="Arial" w:eastAsia="Arial" w:hAnsi="Arial"/>
          <w:sz w:val="20"/>
          <w:szCs w:val="20"/>
          <w:color w:val="auto"/>
        </w:rPr>
      </w:pPr>
      <w:r>
        <w:rPr>
          <w:rFonts w:ascii="Times New Roman" w:cs="Times New Roman" w:eastAsia="Times New Roman" w:hAnsi="Times New Roman"/>
          <w:sz w:val="20"/>
          <w:szCs w:val="20"/>
          <w:color w:val="auto"/>
        </w:rPr>
        <w:t>In January 2026, we announced that an exploratory biomarker analysis showed responses in the trial were largely restricted to patients with higher CD47 expression.</w:t>
      </w:r>
    </w:p>
    <w:p>
      <w:pPr>
        <w:spacing w:after="0" w:line="11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CD20-targeted antibody rituximab</w:t>
      </w:r>
    </w:p>
    <w:p>
      <w:pPr>
        <w:spacing w:after="0" w:line="116" w:lineRule="exact"/>
        <w:rPr>
          <w:sz w:val="20"/>
          <w:szCs w:val="20"/>
          <w:color w:val="auto"/>
        </w:rPr>
      </w:pPr>
    </w:p>
    <w:p>
      <w:pPr>
        <w:ind w:left="960" w:hanging="477"/>
        <w:spacing w:after="0"/>
        <w:tabs>
          <w:tab w:leader="none" w:pos="960" w:val="left"/>
        </w:tabs>
        <w:numPr>
          <w:ilvl w:val="0"/>
          <w:numId w:val="60"/>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MD Anderson Cancer Center – Non-Hodgkin Lymphoma</w:t>
      </w:r>
    </w:p>
    <w:p>
      <w:pPr>
        <w:spacing w:after="0" w:line="39" w:lineRule="exact"/>
        <w:rPr>
          <w:rFonts w:ascii="PMingLiU" w:cs="PMingLiU" w:eastAsia="PMingLiU" w:hAnsi="PMingLiU"/>
          <w:sz w:val="20"/>
          <w:szCs w:val="20"/>
          <w:color w:val="auto"/>
        </w:rPr>
      </w:pPr>
    </w:p>
    <w:p>
      <w:pPr>
        <w:ind w:left="1560" w:right="40" w:hanging="490"/>
        <w:spacing w:after="0" w:line="231" w:lineRule="auto"/>
        <w:tabs>
          <w:tab w:leader="none" w:pos="1560" w:val="left"/>
        </w:tabs>
        <w:numPr>
          <w:ilvl w:val="1"/>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In 2021, an IST of evorpacept was initiated in combination with rituximab and lenalidomide (R</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for the treatment of patients with indolent and aggressive NHL, sponsored by MD Anderson Cancer Center in Texas. We announced the dosing of the first patient in September 2021.</w:t>
      </w:r>
    </w:p>
    <w:p>
      <w:pPr>
        <w:spacing w:after="0" w:line="19" w:lineRule="exact"/>
        <w:rPr>
          <w:rFonts w:ascii="Arial" w:cs="Arial" w:eastAsia="Arial" w:hAnsi="Arial"/>
          <w:sz w:val="20"/>
          <w:szCs w:val="20"/>
          <w:color w:val="auto"/>
        </w:rPr>
      </w:pPr>
    </w:p>
    <w:p>
      <w:pPr>
        <w:ind w:left="1560" w:right="120" w:hanging="490"/>
        <w:spacing w:after="0"/>
        <w:tabs>
          <w:tab w:leader="none" w:pos="1560" w:val="left"/>
        </w:tabs>
        <w:numPr>
          <w:ilvl w:val="1"/>
          <w:numId w:val="60"/>
        </w:numPr>
        <w:rPr>
          <w:rFonts w:ascii="Arial" w:cs="Arial" w:eastAsia="Arial" w:hAnsi="Arial"/>
          <w:sz w:val="19"/>
          <w:szCs w:val="19"/>
          <w:color w:val="auto"/>
        </w:rPr>
      </w:pPr>
      <w:r>
        <w:rPr>
          <w:rFonts w:ascii="Times New Roman" w:cs="Times New Roman" w:eastAsia="Times New Roman" w:hAnsi="Times New Roman"/>
          <w:sz w:val="19"/>
          <w:szCs w:val="19"/>
          <w:color w:val="auto"/>
        </w:rPr>
        <w:t>In April 2024, MD Anderson Cancer Center reported clinical data from the ongoing Phase 1/2 IST of evorpacept in combination with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in patients with R/R B-NHL. The new data were presented in an oral presentation at the 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9"/>
          <w:szCs w:val="19"/>
          <w:color w:val="auto"/>
        </w:rPr>
        <w:t xml:space="preserve"> treatment. The regimen was well tolerated, and there were no dose-limiting toxicities. Patients with indolent R/R B-NHL (n=18) had a best ORR of 94% and a complete response rate of 83%. The mDOR was not reached.</w:t>
      </w:r>
    </w:p>
    <w:p>
      <w:pPr>
        <w:spacing w:after="0" w:line="17" w:lineRule="exact"/>
        <w:rPr>
          <w:rFonts w:ascii="Arial" w:cs="Arial" w:eastAsia="Arial" w:hAnsi="Arial"/>
          <w:sz w:val="19"/>
          <w:szCs w:val="19"/>
          <w:color w:val="auto"/>
        </w:rPr>
      </w:pPr>
    </w:p>
    <w:p>
      <w:pPr>
        <w:ind w:left="1560" w:hanging="490"/>
        <w:spacing w:after="0" w:line="250" w:lineRule="auto"/>
        <w:tabs>
          <w:tab w:leader="none" w:pos="1560" w:val="left"/>
        </w:tabs>
        <w:numPr>
          <w:ilvl w:val="1"/>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In April 2025, final data for the Phase 1 portion of the MD Anderson Cancer Center IST was presented at the 2025 AACR Annual Meeting. In the total population (n=20), after a median follow-up of 28 months (95% CI, 18-28 months) the two-year PFS rate was 69% and two-year OS rate was 84%. The Phase 2 portion of the clinical trial in patients with previously untreated indolent NHL is ongoing and has completed enrollment.</w:t>
      </w:r>
    </w:p>
    <w:p>
      <w:pPr>
        <w:spacing w:after="0" w:line="8" w:lineRule="exact"/>
        <w:rPr>
          <w:rFonts w:ascii="Arial" w:cs="Arial" w:eastAsia="Arial" w:hAnsi="Arial"/>
          <w:sz w:val="20"/>
          <w:szCs w:val="20"/>
          <w:color w:val="auto"/>
        </w:rPr>
      </w:pPr>
    </w:p>
    <w:p>
      <w:pPr>
        <w:ind w:left="1560" w:hanging="490"/>
        <w:spacing w:after="0" w:line="238" w:lineRule="auto"/>
        <w:tabs>
          <w:tab w:leader="none" w:pos="1560" w:val="left"/>
        </w:tabs>
        <w:numPr>
          <w:ilvl w:val="1"/>
          <w:numId w:val="60"/>
        </w:numPr>
        <w:rPr>
          <w:rFonts w:ascii="Arial" w:cs="Arial" w:eastAsia="Arial" w:hAnsi="Arial"/>
          <w:sz w:val="20"/>
          <w:szCs w:val="20"/>
          <w:color w:val="auto"/>
        </w:rPr>
      </w:pPr>
      <w:r>
        <w:rPr>
          <w:rFonts w:ascii="Times New Roman" w:cs="Times New Roman" w:eastAsia="Times New Roman" w:hAnsi="Times New Roman"/>
          <w:sz w:val="20"/>
          <w:szCs w:val="20"/>
          <w:color w:val="auto"/>
        </w:rPr>
        <w:t>In December 2025, data for the Phase 2 portion of this trial, which enrolled patients with untreated indolent NHL was presented at the 2025 American Society of Hematology Annual Meeting. The combination of evorpacept with R</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generated complete responses in 92% of patients comparing favorably to an approximate 50% historical complete response rate for R</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20"/>
          <w:szCs w:val="20"/>
          <w:color w:val="auto"/>
        </w:rPr>
        <w:t xml:space="preserve"> alone.</w:t>
      </w:r>
    </w:p>
    <w:p>
      <w:pPr>
        <w:spacing w:after="0" w:line="6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Combination with the CD38-targeted antibody isatuximab-irfc</w:t>
      </w:r>
    </w:p>
    <w:p>
      <w:pPr>
        <w:spacing w:after="0" w:line="116" w:lineRule="exact"/>
        <w:rPr>
          <w:sz w:val="20"/>
          <w:szCs w:val="20"/>
          <w:color w:val="auto"/>
        </w:rPr>
      </w:pPr>
    </w:p>
    <w:p>
      <w:pPr>
        <w:ind w:left="960" w:hanging="477"/>
        <w:spacing w:after="0"/>
        <w:tabs>
          <w:tab w:leader="none" w:pos="960" w:val="left"/>
        </w:tabs>
        <w:numPr>
          <w:ilvl w:val="0"/>
          <w:numId w:val="61"/>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Sanofi – Multiple Myeloma</w:t>
      </w:r>
    </w:p>
    <w:p>
      <w:pPr>
        <w:spacing w:after="0" w:line="39" w:lineRule="exact"/>
        <w:rPr>
          <w:rFonts w:ascii="PMingLiU" w:cs="PMingLiU" w:eastAsia="PMingLiU" w:hAnsi="PMingLiU"/>
          <w:sz w:val="20"/>
          <w:szCs w:val="20"/>
          <w:color w:val="auto"/>
        </w:rPr>
      </w:pPr>
    </w:p>
    <w:p>
      <w:pPr>
        <w:ind w:left="1560" w:right="200" w:hanging="490"/>
        <w:spacing w:after="0" w:line="233" w:lineRule="auto"/>
        <w:tabs>
          <w:tab w:leader="none" w:pos="1560" w:val="left"/>
        </w:tabs>
        <w:numPr>
          <w:ilvl w:val="1"/>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In April 2023, we announced a collaboration with Sanofi who will sponsor and manage a Phase 1/2 trial of SARCLISA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(isatuximab-irfc), an anti-cancer antibody, and dexamethasone in combination with evorpacept for the treatment of patients with relapsed or refractory multiple myeloma. We announced the dosing of the first patient in September 2024.</w:t>
      </w:r>
    </w:p>
    <w:p>
      <w:pPr>
        <w:spacing w:after="0" w:line="17" w:lineRule="exact"/>
        <w:rPr>
          <w:rFonts w:ascii="Arial" w:cs="Arial" w:eastAsia="Arial" w:hAnsi="Arial"/>
          <w:sz w:val="20"/>
          <w:szCs w:val="20"/>
          <w:color w:val="auto"/>
        </w:rPr>
      </w:pPr>
    </w:p>
    <w:p>
      <w:pPr>
        <w:ind w:left="1560" w:hanging="490"/>
        <w:spacing w:after="0" w:line="273" w:lineRule="auto"/>
        <w:tabs>
          <w:tab w:leader="none" w:pos="1560" w:val="left"/>
        </w:tabs>
        <w:numPr>
          <w:ilvl w:val="1"/>
          <w:numId w:val="61"/>
        </w:numPr>
        <w:rPr>
          <w:rFonts w:ascii="Arial" w:cs="Arial" w:eastAsia="Arial" w:hAnsi="Arial"/>
          <w:sz w:val="20"/>
          <w:szCs w:val="20"/>
          <w:color w:val="auto"/>
        </w:rPr>
      </w:pPr>
      <w:r>
        <w:rPr>
          <w:rFonts w:ascii="Times New Roman" w:cs="Times New Roman" w:eastAsia="Times New Roman" w:hAnsi="Times New Roman"/>
          <w:sz w:val="20"/>
          <w:szCs w:val="20"/>
          <w:color w:val="auto"/>
        </w:rPr>
        <w:t>In August 2025, we announced that the dose escalation portion of this trial was complete and Sanofi had begun the dose optimization portion of the trial.</w:t>
      </w:r>
    </w:p>
    <w:p>
      <w:pPr>
        <w:spacing w:after="0" w:line="111" w:lineRule="exact"/>
        <w:rPr>
          <w:sz w:val="20"/>
          <w:szCs w:val="20"/>
          <w:color w:val="auto"/>
        </w:rPr>
      </w:pPr>
    </w:p>
    <w:p>
      <w:pPr>
        <w:jc w:val="both"/>
        <w:ind w:right="40" w:firstLine="486"/>
        <w:spacing w:after="0" w:line="256" w:lineRule="auto"/>
        <w:rPr>
          <w:sz w:val="20"/>
          <w:szCs w:val="20"/>
          <w:color w:val="auto"/>
        </w:rPr>
      </w:pPr>
      <w:r>
        <w:rPr>
          <w:rFonts w:ascii="Times New Roman" w:cs="Times New Roman" w:eastAsia="Times New Roman" w:hAnsi="Times New Roman"/>
          <w:sz w:val="20"/>
          <w:szCs w:val="20"/>
          <w:color w:val="auto"/>
        </w:rPr>
        <w:t>Based on our clinical results to date in multiple oncology indications that show encouraging anti-tumor activity and tolerability, our strategy is to pursue evorpacept as a potentially critical component of future oncology treatments in combination with anticancer antibodies.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ALX2004</w:t>
      </w:r>
    </w:p>
    <w:p>
      <w:pPr>
        <w:spacing w:after="0" w:line="38" w:lineRule="exact"/>
        <w:rPr>
          <w:sz w:val="20"/>
          <w:szCs w:val="20"/>
          <w:color w:val="auto"/>
        </w:rPr>
      </w:pPr>
    </w:p>
    <w:p>
      <w:pPr>
        <w:ind w:left="960" w:hanging="477"/>
        <w:spacing w:after="0" w:line="249" w:lineRule="auto"/>
        <w:tabs>
          <w:tab w:leader="none" w:pos="960" w:val="left"/>
        </w:tabs>
        <w:numPr>
          <w:ilvl w:val="0"/>
          <w:numId w:val="62"/>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 March 2025, we filed an investigational new drug (IND) application for our first ADC program, ALX2004 and in April 2025, the FDA cleared the IND to evaluate ALX2004 in a Phase 1 clinical trial for patients with EGFR-expressing solid tumors.</w:t>
      </w:r>
    </w:p>
    <w:p>
      <w:pPr>
        <w:sectPr>
          <w:pgSz w:w="12240" w:h="15840" w:orient="portrait"/>
          <w:cols w:equalWidth="0" w:num="1">
            <w:col w:w="10680"/>
          </w:cols>
          <w:pgMar w:left="760" w:top="992" w:right="800" w:bottom="223"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90</w:t>
      </w:r>
    </w:p>
    <w:p>
      <w:pPr>
        <w:sectPr>
          <w:pgSz w:w="12240" w:h="15840" w:orient="portrait"/>
          <w:cols w:equalWidth="0" w:num="1">
            <w:col w:w="10680"/>
          </w:cols>
          <w:pgMar w:left="760" w:top="992" w:right="800" w:bottom="223" w:gutter="0" w:footer="0" w:header="0"/>
          <w:type w:val="continuous"/>
        </w:sectPr>
      </w:pPr>
    </w:p>
    <w:bookmarkStart w:id="100" w:name="page101"/>
    <w:bookmarkEnd w:id="100"/>
    <w:p>
      <w:pPr>
        <w:ind w:left="960" w:right="580" w:hanging="477"/>
        <w:spacing w:after="0" w:line="251" w:lineRule="auto"/>
        <w:tabs>
          <w:tab w:leader="none" w:pos="960" w:val="left"/>
        </w:tabs>
        <w:numPr>
          <w:ilvl w:val="0"/>
          <w:numId w:val="63"/>
        </w:numPr>
        <w:rPr>
          <w:rFonts w:ascii="PMingLiU" w:cs="PMingLiU" w:eastAsia="PMingLiU" w:hAnsi="PMingLiU"/>
          <w:sz w:val="20"/>
          <w:szCs w:val="20"/>
          <w:color w:val="auto"/>
        </w:rPr>
      </w:pPr>
      <w:r>
        <w:rPr>
          <w:rFonts w:ascii="Times New Roman" w:cs="Times New Roman" w:eastAsia="Times New Roman" w:hAnsi="Times New Roman"/>
          <w:sz w:val="20"/>
          <w:szCs w:val="20"/>
          <w:color w:val="auto"/>
        </w:rPr>
        <w:t>In August 2025, we announced the dosing of the first patient in the first-in-human, open-label multi-center Phase 1 clinical trial of ALX2004 for the treatment of advanced or metastatic select EGFR-expressing solid tumors.</w:t>
      </w:r>
    </w:p>
    <w:p>
      <w:pPr>
        <w:spacing w:after="0" w:line="1" w:lineRule="exact"/>
        <w:rPr>
          <w:rFonts w:ascii="PMingLiU" w:cs="PMingLiU" w:eastAsia="PMingLiU" w:hAnsi="PMingLiU"/>
          <w:sz w:val="20"/>
          <w:szCs w:val="20"/>
          <w:color w:val="auto"/>
        </w:rPr>
      </w:pPr>
    </w:p>
    <w:p>
      <w:pPr>
        <w:ind w:left="960" w:right="440" w:hanging="477"/>
        <w:spacing w:after="0" w:line="288" w:lineRule="auto"/>
        <w:tabs>
          <w:tab w:leader="none" w:pos="960" w:val="left"/>
        </w:tabs>
        <w:numPr>
          <w:ilvl w:val="0"/>
          <w:numId w:val="63"/>
        </w:numPr>
        <w:rPr>
          <w:rFonts w:ascii="PMingLiU" w:cs="PMingLiU" w:eastAsia="PMingLiU" w:hAnsi="PMingLiU"/>
          <w:sz w:val="19"/>
          <w:szCs w:val="19"/>
          <w:color w:val="auto"/>
        </w:rPr>
      </w:pPr>
      <w:r>
        <w:rPr>
          <w:rFonts w:ascii="Times New Roman" w:cs="Times New Roman" w:eastAsia="Times New Roman" w:hAnsi="Times New Roman"/>
          <w:sz w:val="19"/>
          <w:szCs w:val="19"/>
          <w:color w:val="auto"/>
        </w:rPr>
        <w:t>In January 2026, we announced that the trial had begun enrolling patients in the third dose cohort at 4 mg/kg after successfully clearing the second dose cohort. No dose-limiting toxicities were observed in the first two dose cohorts.</w:t>
      </w:r>
    </w:p>
    <w:p>
      <w:pPr>
        <w:spacing w:after="0" w:line="37"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20"/>
          <w:szCs w:val="20"/>
          <w:color w:val="auto"/>
        </w:rPr>
        <w:t>Since our founding, we have devoted substantially all of our resources to developing evorpacept, identifying and advancing preclinical programs, including the initiation and advancement of clinical trials of ALX2004, scaling up manufacturing, conducting clinical trials and providing general and administrative support for these operations. We have no products approved for marketing and we have never received any revenue from drug product sales.</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From inception through December 31, 2025, we have raised an aggregate of $644.8 million to fund our operations, of which</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$175.1 million were net proceeds from sales of our convertible preferred stock, $5.8 million were net proceeds from borrowings under</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term loan, $169.5 million were net proceeds from our initial public offering, $194.9 million were net proceeds from our registered</w:t>
      </w:r>
    </w:p>
    <w:p>
      <w:pPr>
        <w:spacing w:after="0" w:line="238" w:lineRule="auto"/>
        <w:rPr>
          <w:sz w:val="20"/>
          <w:szCs w:val="20"/>
          <w:color w:val="auto"/>
        </w:rPr>
      </w:pPr>
      <w:r>
        <w:rPr>
          <w:rFonts w:ascii="Times New Roman" w:cs="Times New Roman" w:eastAsia="Times New Roman" w:hAnsi="Times New Roman"/>
          <w:sz w:val="20"/>
          <w:szCs w:val="20"/>
          <w:color w:val="auto"/>
        </w:rPr>
        <w:t>offering in December 2020, $9.3 million were net proceeds from borrowings under the Loan Agreement (as defined below), $58.9</w:t>
      </w:r>
    </w:p>
    <w:p>
      <w:pPr>
        <w:spacing w:after="0" w:line="238" w:lineRule="auto"/>
        <w:rPr>
          <w:sz w:val="20"/>
          <w:szCs w:val="20"/>
          <w:color w:val="auto"/>
        </w:rPr>
      </w:pPr>
      <w:r>
        <w:rPr>
          <w:rFonts w:ascii="Times New Roman" w:cs="Times New Roman" w:eastAsia="Times New Roman" w:hAnsi="Times New Roman"/>
          <w:sz w:val="20"/>
          <w:szCs w:val="20"/>
          <w:color w:val="auto"/>
        </w:rPr>
        <w:t>million were net proceeds from our registered offering in October 2023, and $31.4 million were net proceeds from our at-the-market</w:t>
      </w:r>
    </w:p>
    <w:p>
      <w:pPr>
        <w:spacing w:after="0"/>
        <w:rPr>
          <w:sz w:val="20"/>
          <w:szCs w:val="20"/>
          <w:color w:val="auto"/>
        </w:rPr>
      </w:pPr>
      <w:r>
        <w:rPr>
          <w:rFonts w:ascii="Times New Roman" w:cs="Times New Roman" w:eastAsia="Times New Roman" w:hAnsi="Times New Roman"/>
          <w:sz w:val="20"/>
          <w:szCs w:val="20"/>
          <w:color w:val="auto"/>
        </w:rPr>
        <w:t>(ATM) offering. After December 31, 2025, we also raised $140.4 million in net proceeds from our registered offering in February</w:t>
      </w:r>
    </w:p>
    <w:p>
      <w:pPr>
        <w:spacing w:after="0" w:line="238" w:lineRule="auto"/>
        <w:rPr>
          <w:sz w:val="20"/>
          <w:szCs w:val="20"/>
          <w:color w:val="auto"/>
        </w:rPr>
      </w:pPr>
      <w:r>
        <w:rPr>
          <w:rFonts w:ascii="Times New Roman" w:cs="Times New Roman" w:eastAsia="Times New Roman" w:hAnsi="Times New Roman"/>
          <w:sz w:val="20"/>
          <w:szCs w:val="20"/>
          <w:color w:val="auto"/>
        </w:rPr>
        <w:t>2026. For more information on the funding of our operations since inception, see section titled “—Liquidity and Capital Resources;</w:t>
      </w:r>
    </w:p>
    <w:p>
      <w:pPr>
        <w:spacing w:after="0"/>
        <w:rPr>
          <w:sz w:val="20"/>
          <w:szCs w:val="20"/>
          <w:color w:val="auto"/>
        </w:rPr>
      </w:pPr>
      <w:r>
        <w:rPr>
          <w:rFonts w:ascii="Times New Roman" w:cs="Times New Roman" w:eastAsia="Times New Roman" w:hAnsi="Times New Roman"/>
          <w:sz w:val="20"/>
          <w:szCs w:val="20"/>
          <w:color w:val="auto"/>
        </w:rPr>
        <w:t>Plan of Operations—Funding Requirements” included elsewhere in this Annual Report on Form 10-K.</w:t>
      </w:r>
    </w:p>
    <w:p>
      <w:pPr>
        <w:spacing w:after="0" w:line="90" w:lineRule="exact"/>
        <w:rPr>
          <w:sz w:val="20"/>
          <w:szCs w:val="20"/>
          <w:color w:val="auto"/>
        </w:rPr>
      </w:pPr>
    </w:p>
    <w:p>
      <w:pPr>
        <w:ind w:firstLine="487"/>
        <w:spacing w:after="0" w:line="250" w:lineRule="auto"/>
        <w:rPr>
          <w:sz w:val="20"/>
          <w:szCs w:val="20"/>
          <w:color w:val="auto"/>
        </w:rPr>
      </w:pPr>
      <w:r>
        <w:rPr>
          <w:rFonts w:ascii="Times New Roman" w:cs="Times New Roman" w:eastAsia="Times New Roman" w:hAnsi="Times New Roman"/>
          <w:sz w:val="20"/>
          <w:szCs w:val="20"/>
          <w:color w:val="auto"/>
        </w:rPr>
        <w:t>We have incurred net losses in each year since inception. Our net losses were $101.7 million, $134.9 million and $ 160.8 million for the years ended December 31, 2025, 2024 and 2023, respectively. As of December 31, 2025, we had an accumulated deficit of $722.8 million. Substantially all of our operating losses are a result of expenses incurred in connection with our research and development programs, primarily evorpacept, and from general and administrative expenses associated with our operations.</w:t>
      </w:r>
    </w:p>
    <w:p>
      <w:pPr>
        <w:spacing w:after="0" w:line="75" w:lineRule="exact"/>
        <w:rPr>
          <w:sz w:val="20"/>
          <w:szCs w:val="20"/>
          <w:color w:val="auto"/>
        </w:rPr>
      </w:pPr>
    </w:p>
    <w:p>
      <w:pPr>
        <w:ind w:right="260" w:firstLine="486"/>
        <w:spacing w:after="0" w:line="274" w:lineRule="auto"/>
        <w:rPr>
          <w:sz w:val="20"/>
          <w:szCs w:val="20"/>
          <w:color w:val="auto"/>
        </w:rPr>
      </w:pPr>
      <w:r>
        <w:rPr>
          <w:rFonts w:ascii="Times New Roman" w:cs="Times New Roman" w:eastAsia="Times New Roman" w:hAnsi="Times New Roman"/>
          <w:sz w:val="20"/>
          <w:szCs w:val="20"/>
          <w:color w:val="auto"/>
        </w:rPr>
        <w:t>We expect to continue to incur significant expenses and increasing operating losses for the foreseeable future. We expect our expenses will increase substantially in connection with our ongoing activities, as we:</w:t>
      </w:r>
    </w:p>
    <w:p>
      <w:pPr>
        <w:spacing w:after="0" w:line="65" w:lineRule="exact"/>
        <w:rPr>
          <w:sz w:val="20"/>
          <w:szCs w:val="20"/>
          <w:color w:val="auto"/>
        </w:rPr>
      </w:pPr>
    </w:p>
    <w:p>
      <w:pPr>
        <w:ind w:left="960" w:hanging="477"/>
        <w:spacing w:after="0"/>
        <w:tabs>
          <w:tab w:leader="none" w:pos="96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advance evorpacept through multiple clinical trials in multiple indications;</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pursue regulatory approval of evorpacept in solid tumors and hematological malignancies;</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advance ALX2004 through a first-in-human trial;</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preclinical and clinical development efforts;</w:t>
      </w:r>
    </w:p>
    <w:p>
      <w:pPr>
        <w:spacing w:after="0" w:line="131" w:lineRule="exact"/>
        <w:rPr>
          <w:rFonts w:ascii="Arial" w:cs="Arial" w:eastAsia="Arial" w:hAnsi="Arial"/>
          <w:sz w:val="20"/>
          <w:szCs w:val="20"/>
          <w:color w:val="auto"/>
        </w:rPr>
      </w:pPr>
    </w:p>
    <w:p>
      <w:pPr>
        <w:ind w:left="960" w:right="560" w:hanging="477"/>
        <w:spacing w:after="0" w:line="274" w:lineRule="auto"/>
        <w:tabs>
          <w:tab w:leader="none" w:pos="96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obtain and maintain patent, trade secret and other intellectual property protection and regulatory exclusivity for our product candidates;</w:t>
      </w:r>
    </w:p>
    <w:p>
      <w:pPr>
        <w:spacing w:after="0" w:line="64" w:lineRule="exact"/>
        <w:rPr>
          <w:rFonts w:ascii="Arial" w:cs="Arial" w:eastAsia="Arial" w:hAnsi="Arial"/>
          <w:sz w:val="20"/>
          <w:szCs w:val="20"/>
          <w:color w:val="auto"/>
        </w:rPr>
      </w:pPr>
    </w:p>
    <w:p>
      <w:pPr>
        <w:ind w:left="960" w:hanging="477"/>
        <w:spacing w:after="0"/>
        <w:tabs>
          <w:tab w:leader="none" w:pos="96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manufacture supplies for our preclinical studies and clinical trials; and</w:t>
      </w:r>
    </w:p>
    <w:p>
      <w:pPr>
        <w:spacing w:after="0" w:line="131" w:lineRule="exact"/>
        <w:rPr>
          <w:rFonts w:ascii="Arial" w:cs="Arial" w:eastAsia="Arial" w:hAnsi="Arial"/>
          <w:sz w:val="20"/>
          <w:szCs w:val="20"/>
          <w:color w:val="auto"/>
        </w:rPr>
      </w:pPr>
    </w:p>
    <w:p>
      <w:pPr>
        <w:ind w:left="960" w:right="360" w:hanging="477"/>
        <w:spacing w:after="0" w:line="273" w:lineRule="auto"/>
        <w:tabs>
          <w:tab w:leader="none" w:pos="960" w:val="left"/>
        </w:tabs>
        <w:numPr>
          <w:ilvl w:val="0"/>
          <w:numId w:val="64"/>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add operational, financial and management information systems to support ongoing operations as a public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Nasdaq Minimum Bid Price Compliance</w:t>
      </w:r>
    </w:p>
    <w:p>
      <w:pPr>
        <w:spacing w:after="0" w:line="122" w:lineRule="exact"/>
        <w:rPr>
          <w:sz w:val="20"/>
          <w:szCs w:val="20"/>
          <w:color w:val="auto"/>
        </w:rPr>
      </w:pPr>
    </w:p>
    <w:p>
      <w:pPr>
        <w:ind w:right="80" w:firstLine="486"/>
        <w:spacing w:after="0" w:line="244" w:lineRule="auto"/>
        <w:rPr>
          <w:sz w:val="20"/>
          <w:szCs w:val="20"/>
          <w:color w:val="auto"/>
        </w:rPr>
      </w:pPr>
      <w:r>
        <w:rPr>
          <w:rFonts w:ascii="Times New Roman" w:cs="Times New Roman" w:eastAsia="Times New Roman" w:hAnsi="Times New Roman"/>
          <w:sz w:val="20"/>
          <w:szCs w:val="20"/>
          <w:color w:val="auto"/>
        </w:rPr>
        <w:t>On April 23, 2025, we received a written notice (Notice), from the Listing Qualifications Staff (Staff) of The Nasdaq Stock Market LLC (Nasdaq) notifying us that we had not been in compliance with the minimum bid price requirement for continued listing on the Nasdaq Global Select Market set forth in Nasdaq Listing Rule 5450(a)(1) for a period of 30 consecutive business days. The Notice had no immediate effect on the listing of our common stock on the Nasdaq Global Select Market, subject to our compliance with the other listing requirements of Nasdaq. In September 2025, we received written confirmation from the Staff of Nasdaq that we had regained compliance with the minimum bid price requirement for continued listing on the Nasdaq Global Select Market, as the closing bid price of our common stock had been at $1.00 per share or greater for ten consecutive business days.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4" w:lineRule="exact"/>
        <w:rPr>
          <w:sz w:val="20"/>
          <w:szCs w:val="20"/>
          <w:color w:val="auto"/>
        </w:rPr>
      </w:pPr>
    </w:p>
    <w:p>
      <w:pPr>
        <w:ind w:right="440" w:firstLine="486"/>
        <w:spacing w:after="0" w:line="274" w:lineRule="auto"/>
        <w:rPr>
          <w:sz w:val="20"/>
          <w:szCs w:val="20"/>
          <w:color w:val="auto"/>
        </w:rPr>
      </w:pPr>
      <w:r>
        <w:rPr>
          <w:rFonts w:ascii="Times New Roman" w:cs="Times New Roman" w:eastAsia="Times New Roman" w:hAnsi="Times New Roman"/>
          <w:sz w:val="20"/>
          <w:szCs w:val="20"/>
          <w:color w:val="auto"/>
        </w:rPr>
        <w:t>Research and development expenses consist primarily of costs incurred for the development of our lead product candidate, evorpacept, and the initiation and advancement of ALX2004, which include:</w:t>
      </w:r>
    </w:p>
    <w:p>
      <w:pPr>
        <w:spacing w:after="0" w:line="65" w:lineRule="exact"/>
        <w:rPr>
          <w:sz w:val="20"/>
          <w:szCs w:val="20"/>
          <w:color w:val="auto"/>
        </w:rPr>
      </w:pPr>
    </w:p>
    <w:p>
      <w:pPr>
        <w:ind w:left="960" w:right="980" w:hanging="477"/>
        <w:spacing w:after="0" w:line="274" w:lineRule="auto"/>
        <w:tabs>
          <w:tab w:leader="none" w:pos="960" w:val="left"/>
        </w:tabs>
        <w:numPr>
          <w:ilvl w:val="0"/>
          <w:numId w:val="65"/>
        </w:numPr>
        <w:rPr>
          <w:rFonts w:ascii="Arial" w:cs="Arial" w:eastAsia="Arial" w:hAnsi="Arial"/>
          <w:sz w:val="20"/>
          <w:szCs w:val="20"/>
          <w:color w:val="auto"/>
        </w:rPr>
      </w:pPr>
      <w:r>
        <w:rPr>
          <w:rFonts w:ascii="Times New Roman" w:cs="Times New Roman" w:eastAsia="Times New Roman" w:hAnsi="Times New Roman"/>
          <w:sz w:val="20"/>
          <w:szCs w:val="20"/>
          <w:color w:val="auto"/>
        </w:rPr>
        <w:t>expenses incurred in connection with preclinical and clinical development, including expenses incurred under collaboration agreements and under agreements with contract research organizations, or CROs;</w:t>
      </w: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91</w:t>
      </w:r>
    </w:p>
    <w:p>
      <w:pPr>
        <w:sectPr>
          <w:pgSz w:w="12240" w:h="15840" w:orient="portrait"/>
          <w:cols w:equalWidth="0" w:num="1">
            <w:col w:w="10680"/>
          </w:cols>
          <w:pgMar w:left="760" w:top="978" w:right="800" w:bottom="223" w:gutter="0" w:footer="0" w:header="0"/>
          <w:type w:val="continuous"/>
        </w:sectPr>
      </w:pPr>
    </w:p>
    <w:bookmarkStart w:id="101" w:name="page102"/>
    <w:bookmarkEnd w:id="101"/>
    <w:p>
      <w:pPr>
        <w:ind w:left="960" w:right="700" w:hanging="477"/>
        <w:spacing w:after="0" w:line="273" w:lineRule="auto"/>
        <w:tabs>
          <w:tab w:leader="none" w:pos="96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employee-related expenses, including salaries, related benefits, travel and stock-based compensation expenses for employees engaged in research and development functions;</w:t>
      </w:r>
    </w:p>
    <w:p>
      <w:pPr>
        <w:spacing w:after="0" w:line="66" w:lineRule="exact"/>
        <w:rPr>
          <w:rFonts w:ascii="Arial" w:cs="Arial" w:eastAsia="Arial" w:hAnsi="Arial"/>
          <w:sz w:val="20"/>
          <w:szCs w:val="20"/>
          <w:color w:val="auto"/>
        </w:rPr>
      </w:pPr>
    </w:p>
    <w:p>
      <w:pPr>
        <w:ind w:left="960" w:right="580" w:hanging="477"/>
        <w:spacing w:after="0" w:line="273" w:lineRule="auto"/>
        <w:tabs>
          <w:tab w:leader="none" w:pos="96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expenses related to production of clinical materials, including fees paid to contract manufacturing organizations, or CMOs;</w:t>
      </w:r>
    </w:p>
    <w:p>
      <w:pPr>
        <w:spacing w:after="0" w:line="66" w:lineRule="exact"/>
        <w:rPr>
          <w:rFonts w:ascii="Arial" w:cs="Arial" w:eastAsia="Arial" w:hAnsi="Arial"/>
          <w:sz w:val="20"/>
          <w:szCs w:val="20"/>
          <w:color w:val="auto"/>
        </w:rPr>
      </w:pPr>
    </w:p>
    <w:p>
      <w:pPr>
        <w:ind w:left="960" w:hanging="477"/>
        <w:spacing w:after="0"/>
        <w:tabs>
          <w:tab w:leader="none" w:pos="96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laboratory, vendor expenses and third-party drugs related to the execution of preclinical studies and clinical trials;</w:t>
      </w:r>
    </w:p>
    <w:p>
      <w:pPr>
        <w:spacing w:after="0" w:line="131" w:lineRule="exact"/>
        <w:rPr>
          <w:rFonts w:ascii="Arial" w:cs="Arial" w:eastAsia="Arial" w:hAnsi="Arial"/>
          <w:sz w:val="20"/>
          <w:szCs w:val="20"/>
          <w:color w:val="auto"/>
        </w:rPr>
      </w:pPr>
    </w:p>
    <w:p>
      <w:pPr>
        <w:ind w:left="960" w:right="40" w:hanging="477"/>
        <w:spacing w:after="0" w:line="274" w:lineRule="auto"/>
        <w:tabs>
          <w:tab w:leader="none" w:pos="96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facilities and other expenses, which include expenses for rent and maintenance of facilities, depreciation and amortization expense and other supplies; and</w:t>
      </w:r>
    </w:p>
    <w:p>
      <w:pPr>
        <w:spacing w:after="0" w:line="64" w:lineRule="exact"/>
        <w:rPr>
          <w:rFonts w:ascii="Arial" w:cs="Arial" w:eastAsia="Arial" w:hAnsi="Arial"/>
          <w:sz w:val="20"/>
          <w:szCs w:val="20"/>
          <w:color w:val="auto"/>
        </w:rPr>
      </w:pPr>
    </w:p>
    <w:p>
      <w:pPr>
        <w:ind w:left="980" w:hanging="491"/>
        <w:spacing w:after="0"/>
        <w:tabs>
          <w:tab w:leader="none" w:pos="980" w:val="left"/>
        </w:tabs>
        <w:numPr>
          <w:ilvl w:val="0"/>
          <w:numId w:val="66"/>
        </w:numPr>
        <w:rPr>
          <w:rFonts w:ascii="Arial" w:cs="Arial" w:eastAsia="Arial" w:hAnsi="Arial"/>
          <w:sz w:val="20"/>
          <w:szCs w:val="20"/>
          <w:color w:val="auto"/>
        </w:rPr>
      </w:pPr>
      <w:r>
        <w:rPr>
          <w:rFonts w:ascii="Times New Roman" w:cs="Times New Roman" w:eastAsia="Times New Roman" w:hAnsi="Times New Roman"/>
          <w:sz w:val="20"/>
          <w:szCs w:val="20"/>
          <w:color w:val="auto"/>
        </w:rPr>
        <w:t>milestone payments related to our ScalmiBio acquisition.</w:t>
      </w:r>
    </w:p>
    <w:p>
      <w:pPr>
        <w:spacing w:after="0" w:line="117" w:lineRule="exact"/>
        <w:rPr>
          <w:sz w:val="20"/>
          <w:szCs w:val="20"/>
          <w:color w:val="auto"/>
        </w:rPr>
      </w:pPr>
    </w:p>
    <w:p>
      <w:pPr>
        <w:ind w:right="80" w:firstLine="487"/>
        <w:spacing w:after="0" w:line="245" w:lineRule="auto"/>
        <w:rPr>
          <w:sz w:val="20"/>
          <w:szCs w:val="20"/>
          <w:color w:val="auto"/>
        </w:rPr>
      </w:pPr>
      <w:r>
        <w:rPr>
          <w:rFonts w:ascii="Times New Roman" w:cs="Times New Roman" w:eastAsia="Times New Roman" w:hAnsi="Times New Roman"/>
          <w:sz w:val="20"/>
          <w:szCs w:val="20"/>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81"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20"/>
          <w:szCs w:val="20"/>
          <w:color w:val="auto"/>
        </w:rPr>
        <w:t>Our research and development expenses consist primarily of costs associated with the development of our lead product candidate, evorpacept, and the initiation and advancement of clinical trials of ALX2004, and include external costs, such as fees paid to consultants, central laboratories, contractors, collaborators, CMOs and CROs in connection with our preclinical and clinical development activities.</w:t>
      </w:r>
    </w:p>
    <w:p>
      <w:pPr>
        <w:spacing w:after="0" w:line="75" w:lineRule="exact"/>
        <w:rPr>
          <w:sz w:val="20"/>
          <w:szCs w:val="20"/>
          <w:color w:val="auto"/>
        </w:rPr>
      </w:pPr>
    </w:p>
    <w:p>
      <w:pPr>
        <w:ind w:right="120" w:firstLine="487"/>
        <w:spacing w:after="0" w:line="243" w:lineRule="auto"/>
        <w:rPr>
          <w:sz w:val="20"/>
          <w:szCs w:val="20"/>
          <w:color w:val="auto"/>
        </w:rPr>
      </w:pPr>
      <w:r>
        <w:rPr>
          <w:rFonts w:ascii="Times New Roman" w:cs="Times New Roman" w:eastAsia="Times New Roman" w:hAnsi="Times New Roman"/>
          <w:sz w:val="20"/>
          <w:szCs w:val="20"/>
          <w:color w:val="auto"/>
        </w:rPr>
        <w:t>Almost all of our research and development expenses to date have been related to the clinical development of our lead product candidate, evorpacept, and the initiation and advancement of clinical trials of ALX2004. We expect to incur significant research and development expenses in the foreseeable future as we continue to invest in research and development activities related to progress on our existing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84" w:lineRule="exact"/>
        <w:rPr>
          <w:sz w:val="20"/>
          <w:szCs w:val="20"/>
          <w:color w:val="auto"/>
        </w:rPr>
      </w:pPr>
    </w:p>
    <w:p>
      <w:pPr>
        <w:ind w:right="120" w:firstLine="486"/>
        <w:spacing w:after="0" w:line="274" w:lineRule="auto"/>
        <w:rPr>
          <w:sz w:val="20"/>
          <w:szCs w:val="20"/>
          <w:color w:val="auto"/>
        </w:rPr>
      </w:pPr>
      <w:r>
        <w:rPr>
          <w:rFonts w:ascii="Times New Roman" w:cs="Times New Roman" w:eastAsia="Times New Roman" w:hAnsi="Times New Roman"/>
          <w:sz w:val="20"/>
          <w:szCs w:val="20"/>
          <w:color w:val="auto"/>
        </w:rPr>
        <w:t>The successful development of our current and future product candidates is highly uncertain. This is due to numerous risks and uncertainties, including the following:</w:t>
      </w:r>
    </w:p>
    <w:p>
      <w:pPr>
        <w:spacing w:after="0" w:line="65" w:lineRule="exact"/>
        <w:rPr>
          <w:sz w:val="20"/>
          <w:szCs w:val="20"/>
          <w:color w:val="auto"/>
        </w:rPr>
      </w:pPr>
    </w:p>
    <w:p>
      <w:pPr>
        <w:ind w:left="960" w:hanging="477"/>
        <w:spacing w:after="0"/>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completion of preclinical studies and clinical trials;</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regulators or institutional review boards authorizing us or our investigators to commence our clinical trials;</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negotiate agreements with clinical trial sites or CROs;</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the number and location of clinical sites included in the trials;</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raising additional funds necessary to complete clinical development of our product candidates;</w:t>
      </w:r>
    </w:p>
    <w:p>
      <w:pPr>
        <w:spacing w:after="0" w:line="131" w:lineRule="exact"/>
        <w:rPr>
          <w:rFonts w:ascii="Arial" w:cs="Arial" w:eastAsia="Arial" w:hAnsi="Arial"/>
          <w:sz w:val="20"/>
          <w:szCs w:val="20"/>
          <w:color w:val="auto"/>
        </w:rPr>
      </w:pPr>
    </w:p>
    <w:p>
      <w:pPr>
        <w:ind w:left="960" w:right="80" w:hanging="477"/>
        <w:spacing w:after="0" w:line="273" w:lineRule="auto"/>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and maintaining patent, trade secret and other intellectual property protection and regulatory exclusivity for our product candidates;</w:t>
      </w:r>
    </w:p>
    <w:p>
      <w:pPr>
        <w:spacing w:after="0" w:line="66" w:lineRule="exact"/>
        <w:rPr>
          <w:rFonts w:ascii="Arial" w:cs="Arial" w:eastAsia="Arial" w:hAnsi="Arial"/>
          <w:sz w:val="20"/>
          <w:szCs w:val="20"/>
          <w:color w:val="auto"/>
        </w:rPr>
      </w:pPr>
    </w:p>
    <w:p>
      <w:pPr>
        <w:ind w:left="960" w:hanging="477"/>
        <w:spacing w:after="0"/>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contracting with third-party manufacturers for clinical supplies of our product candidates;</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protecting and enforcing our rights in our intellectual property portfolio, including, if necessary, litigation; and</w:t>
      </w:r>
    </w:p>
    <w:p>
      <w:pPr>
        <w:spacing w:after="0" w:line="131" w:lineRule="exact"/>
        <w:rPr>
          <w:rFonts w:ascii="Arial" w:cs="Arial" w:eastAsia="Arial" w:hAnsi="Arial"/>
          <w:sz w:val="20"/>
          <w:szCs w:val="20"/>
          <w:color w:val="auto"/>
        </w:rPr>
      </w:pPr>
    </w:p>
    <w:p>
      <w:pPr>
        <w:ind w:left="960" w:hanging="477"/>
        <w:spacing w:after="0"/>
        <w:tabs>
          <w:tab w:leader="none" w:pos="960" w:val="left"/>
        </w:tabs>
        <w:numPr>
          <w:ilvl w:val="0"/>
          <w:numId w:val="67"/>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 continued acceptable safety profile of the products following approval.</w:t>
      </w:r>
    </w:p>
    <w:p>
      <w:pPr>
        <w:spacing w:after="0" w:line="117"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20"/>
          <w:szCs w:val="20"/>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69" w:lineRule="exact"/>
        <w:rPr>
          <w:sz w:val="20"/>
          <w:szCs w:val="20"/>
          <w:color w:val="auto"/>
        </w:rPr>
      </w:pPr>
    </w:p>
    <w:p>
      <w:pPr>
        <w:ind w:right="300" w:firstLine="486"/>
        <w:spacing w:after="0" w:line="250" w:lineRule="auto"/>
        <w:rPr>
          <w:sz w:val="20"/>
          <w:szCs w:val="20"/>
          <w:color w:val="auto"/>
        </w:rPr>
      </w:pPr>
      <w:r>
        <w:rPr>
          <w:rFonts w:ascii="Times New Roman" w:cs="Times New Roman" w:eastAsia="Times New Roman" w:hAnsi="Times New Roman"/>
          <w:sz w:val="20"/>
          <w:szCs w:val="20"/>
          <w:color w:val="auto"/>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ectPr>
          <w:pgSz w:w="12240" w:h="15840" w:orient="portrait"/>
          <w:cols w:equalWidth="0" w:num="1">
            <w:col w:w="10700"/>
          </w:cols>
          <w:pgMar w:left="760" w:top="992"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92</w:t>
      </w:r>
    </w:p>
    <w:p>
      <w:pPr>
        <w:sectPr>
          <w:pgSz w:w="12240" w:h="15840" w:orient="portrait"/>
          <w:cols w:equalWidth="0" w:num="1">
            <w:col w:w="10700"/>
          </w:cols>
          <w:pgMar w:left="760" w:top="992" w:right="780" w:bottom="223"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18" w:lineRule="exact"/>
        <w:rPr>
          <w:sz w:val="20"/>
          <w:szCs w:val="20"/>
          <w:color w:val="auto"/>
        </w:rPr>
      </w:pPr>
    </w:p>
    <w:p>
      <w:pPr>
        <w:ind w:right="80" w:firstLine="486"/>
        <w:spacing w:after="0" w:line="250"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spacing w:after="0" w:line="75" w:lineRule="exact"/>
        <w:rPr>
          <w:sz w:val="20"/>
          <w:szCs w:val="20"/>
          <w:color w:val="auto"/>
        </w:rPr>
      </w:pPr>
    </w:p>
    <w:p>
      <w:pPr>
        <w:ind w:right="100" w:firstLine="486"/>
        <w:spacing w:after="0" w:line="250" w:lineRule="auto"/>
        <w:rPr>
          <w:sz w:val="20"/>
          <w:szCs w:val="20"/>
          <w:color w:val="auto"/>
        </w:rPr>
      </w:pPr>
      <w:r>
        <w:rPr>
          <w:rFonts w:ascii="Times New Roman" w:cs="Times New Roman" w:eastAsia="Times New Roman" w:hAnsi="Times New Roman"/>
          <w:sz w:val="20"/>
          <w:szCs w:val="20"/>
          <w:color w:val="auto"/>
        </w:rPr>
        <w:t>We anticipate that our general and administrative expenses will decrease as a result of the completed reduction in workforce. Other factors that may affect general administrative expenses include inflationary pressures, higher costs of consulting, legal, tax and regulatory-related services associated with maintaining compliance with stock exchange listing and SEC requirements, audit and investor relations costs, director and officer insurance premiums and other costs associated with being a public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Charge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Impairment charge consists of impairment of long-lived assets.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interest income consists primarily of interest income on cash, cash equivalents and investments.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18" w:lineRule="exact"/>
        <w:rPr>
          <w:sz w:val="20"/>
          <w:szCs w:val="20"/>
          <w:color w:val="auto"/>
        </w:rPr>
      </w:pPr>
    </w:p>
    <w:p>
      <w:pPr>
        <w:ind w:right="240" w:firstLine="487"/>
        <w:spacing w:after="0" w:line="274" w:lineRule="auto"/>
        <w:rPr>
          <w:sz w:val="20"/>
          <w:szCs w:val="20"/>
          <w:color w:val="auto"/>
        </w:rPr>
      </w:pPr>
      <w:r>
        <w:rPr>
          <w:rFonts w:ascii="Times New Roman" w:cs="Times New Roman" w:eastAsia="Times New Roman" w:hAnsi="Times New Roman"/>
          <w:sz w:val="20"/>
          <w:szCs w:val="20"/>
          <w:color w:val="auto"/>
        </w:rPr>
        <w:t>Our interest expense consists primarily of interest expense on the term loan, amortization of deferred debt issuance costs, and interest related to finance leases.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other income (expense), net consists primarily of realized foreign currency transaction gains and losses.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and Net Loss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Comparisons of the Years Ended December 31, 2025 and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3"/>
          </w:tcPr>
          <w:p>
            <w:pPr>
              <w:jc w:val="right"/>
              <w:ind w:right="1"/>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5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980" w:type="dxa"/>
            <w:vAlign w:val="bottom"/>
            <w:tcBorders>
              <w:bottom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7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20"/>
                <w:szCs w:val="20"/>
                <w:b w:val="1"/>
                <w:bCs w:val="1"/>
                <w:color w:val="auto"/>
              </w:rPr>
              <w:t>$</w:t>
            </w:r>
          </w:p>
        </w:tc>
        <w:tc>
          <w:tcPr>
            <w:tcW w:w="260" w:type="dxa"/>
            <w:vAlign w:val="bottom"/>
          </w:tcPr>
          <w:p>
            <w:pPr>
              <w:spacing w:after="0"/>
              <w:rPr>
                <w:sz w:val="20"/>
                <w:szCs w:val="20"/>
                <w:color w:val="auto"/>
              </w:rPr>
            </w:pPr>
          </w:p>
        </w:tc>
        <w:tc>
          <w:tcPr>
            <w:tcW w:w="7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00" w:type="dxa"/>
            <w:vAlign w:val="bottom"/>
            <w:gridSpan w:val="2"/>
          </w:tcPr>
          <w:p>
            <w:pPr>
              <w:jc w:val="right"/>
              <w:ind w:right="117"/>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76,996</w:t>
            </w:r>
          </w:p>
        </w:tc>
        <w:tc>
          <w:tcPr>
            <w:tcW w:w="260" w:type="dxa"/>
            <w:vAlign w:val="bottom"/>
          </w:tcPr>
          <w:p>
            <w:pPr>
              <w:spacing w:after="0"/>
              <w:rPr>
                <w:sz w:val="21"/>
                <w:szCs w:val="21"/>
                <w:color w:val="auto"/>
              </w:rPr>
            </w:pPr>
          </w:p>
        </w:tc>
        <w:tc>
          <w:tcPr>
            <w:tcW w:w="4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116,373</w:t>
            </w:r>
          </w:p>
        </w:tc>
        <w:tc>
          <w:tcPr>
            <w:tcW w:w="280" w:type="dxa"/>
            <w:vAlign w:val="bottom"/>
          </w:tcPr>
          <w:p>
            <w:pPr>
              <w:spacing w:after="0"/>
              <w:rPr>
                <w:sz w:val="21"/>
                <w:szCs w:val="21"/>
                <w:color w:val="auto"/>
              </w:rPr>
            </w:pPr>
          </w:p>
        </w:tc>
        <w:tc>
          <w:tcPr>
            <w:tcW w:w="3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(39,377)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42"/>
        </w:trPr>
        <w:tc>
          <w:tcPr>
            <w:tcW w:w="4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23,850</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26,094</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(2,244)</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48"/>
        </w:trPr>
        <w:tc>
          <w:tcPr>
            <w:tcW w:w="4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charge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3,175</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3,175</w:t>
            </w:r>
          </w:p>
        </w:tc>
        <w:tc>
          <w:tcPr>
            <w:tcW w:w="2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458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104,021</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142,467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(38,446)</w:t>
            </w:r>
          </w:p>
        </w:tc>
        <w:tc>
          <w:tcPr>
            <w:tcW w:w="260" w:type="dxa"/>
            <w:vAlign w:val="bottom"/>
            <w:vMerge w:val="continue"/>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5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(104,021)</w:t>
            </w:r>
          </w:p>
        </w:tc>
        <w:tc>
          <w:tcPr>
            <w:tcW w:w="26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(142,467)</w:t>
            </w:r>
          </w:p>
        </w:tc>
        <w:tc>
          <w:tcPr>
            <w:tcW w:w="28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38,446</w:t>
            </w: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42"/>
        </w:trPr>
        <w:tc>
          <w:tcPr>
            <w:tcW w:w="4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9,366</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(5,402)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42"/>
        </w:trPr>
        <w:tc>
          <w:tcPr>
            <w:tcW w:w="4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(1,602)</w:t>
            </w:r>
          </w:p>
        </w:tc>
        <w:tc>
          <w:tcPr>
            <w:tcW w:w="4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(1,729)</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w:t>
            </w:r>
          </w:p>
        </w:tc>
        <w:tc>
          <w:tcPr>
            <w:tcW w:w="26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8"/>
        </w:trPr>
        <w:tc>
          <w:tcPr>
            <w:tcW w:w="4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(36)</w:t>
            </w:r>
          </w:p>
        </w:tc>
        <w:tc>
          <w:tcPr>
            <w:tcW w:w="4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(20)</w:t>
            </w:r>
          </w:p>
        </w:tc>
        <w:tc>
          <w:tcPr>
            <w:tcW w:w="38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(16)</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w:t>
            </w:r>
          </w:p>
        </w:tc>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(101,695)</w:t>
            </w:r>
          </w:p>
        </w:tc>
        <w:tc>
          <w:tcPr>
            <w:tcW w:w="260" w:type="dxa"/>
            <w:vAlign w:val="bottom"/>
            <w:vMerge w:val="continue"/>
          </w:tcPr>
          <w:p>
            <w:pPr>
              <w:spacing w:after="0"/>
              <w:rPr>
                <w:sz w:val="20"/>
                <w:szCs w:val="20"/>
                <w:color w:val="auto"/>
              </w:rPr>
            </w:pPr>
          </w:p>
        </w:tc>
        <w:tc>
          <w:tcPr>
            <w:tcW w:w="48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(134,850)</w:t>
            </w:r>
          </w:p>
        </w:tc>
        <w:tc>
          <w:tcPr>
            <w:tcW w:w="280" w:type="dxa"/>
            <w:vAlign w:val="bottom"/>
            <w:vMerge w:val="continue"/>
          </w:tcPr>
          <w:p>
            <w:pPr>
              <w:spacing w:after="0"/>
              <w:rPr>
                <w:sz w:val="20"/>
                <w:szCs w:val="20"/>
                <w:color w:val="auto"/>
              </w:rPr>
            </w:pPr>
          </w:p>
        </w:tc>
        <w:tc>
          <w:tcPr>
            <w:tcW w:w="380" w:type="dxa"/>
            <w:vAlign w:val="bottom"/>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33,155</w:t>
            </w:r>
          </w:p>
        </w:tc>
        <w:tc>
          <w:tcPr>
            <w:tcW w:w="2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93</w:t>
      </w:r>
    </w:p>
    <w:p>
      <w:pPr>
        <w:sectPr>
          <w:pgSz w:w="12240" w:h="15840" w:orient="portrait"/>
          <w:cols w:equalWidth="0" w:num="1">
            <w:col w:w="10680"/>
          </w:cols>
          <w:pgMar w:left="760" w:top="978" w:right="800" w:bottom="223"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research and development (R&amp;D) expenses incurred for the years ended December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2024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00" w:type="dxa"/>
            <w:vAlign w:val="bottom"/>
            <w:gridSpan w:val="5"/>
          </w:tcPr>
          <w:p>
            <w:pPr>
              <w:jc w:val="right"/>
              <w:ind w:right="45"/>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Clinical and development costs</w:t>
            </w: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44,418</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61,868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(17,450)</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42"/>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Preclinical costs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6,717</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(4,612)</w:t>
            </w:r>
          </w:p>
        </w:tc>
        <w:tc>
          <w:tcPr>
            <w:tcW w:w="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-69%</w:t>
            </w:r>
          </w:p>
        </w:tc>
        <w:tc>
          <w:tcPr>
            <w:tcW w:w="0" w:type="dxa"/>
            <w:vAlign w:val="bottom"/>
          </w:tcPr>
          <w:p>
            <w:pPr>
              <w:spacing w:after="0"/>
              <w:rPr>
                <w:sz w:val="1"/>
                <w:szCs w:val="1"/>
                <w:color w:val="auto"/>
              </w:rPr>
            </w:pPr>
          </w:p>
        </w:tc>
      </w:tr>
      <w:tr>
        <w:trPr>
          <w:trHeight w:val="242"/>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Personnel and related costs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17,037</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(6,048)</w:t>
            </w:r>
          </w:p>
        </w:tc>
        <w:tc>
          <w:tcPr>
            <w:tcW w:w="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42"/>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18,490</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(12,285)</w:t>
            </w:r>
          </w:p>
        </w:tc>
        <w:tc>
          <w:tcPr>
            <w:tcW w:w="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48"/>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research costs</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7,231</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300" w:type="dxa"/>
            <w:vAlign w:val="bottom"/>
            <w:gridSpan w:val="2"/>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gridSpan w:val="2"/>
            <w:vMerge w:val="continue"/>
          </w:tcPr>
          <w:p>
            <w:pPr>
              <w:spacing w:after="0"/>
              <w:rPr>
                <w:sz w:val="20"/>
                <w:szCs w:val="20"/>
                <w:color w:val="auto"/>
              </w:rPr>
            </w:pPr>
          </w:p>
        </w:tc>
        <w:tc>
          <w:tcPr>
            <w:tcW w:w="300" w:type="dxa"/>
            <w:vAlign w:val="bottom"/>
            <w:gridSpan w:val="2"/>
          </w:tcPr>
          <w:p>
            <w:pPr>
              <w:jc w:val="right"/>
              <w:ind w:right="16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76,996</w:t>
            </w:r>
          </w:p>
        </w:tc>
        <w:tc>
          <w:tcPr>
            <w:tcW w:w="2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60" w:type="dxa"/>
            <w:vAlign w:val="bottom"/>
            <w:gridSpan w:val="2"/>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116,373</w:t>
            </w:r>
          </w:p>
        </w:tc>
        <w:tc>
          <w:tcPr>
            <w:tcW w:w="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(39,377)</w:t>
            </w:r>
          </w:p>
        </w:tc>
        <w:tc>
          <w:tcPr>
            <w:tcW w:w="26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right="60" w:firstLine="486"/>
        <w:spacing w:after="0" w:line="248" w:lineRule="auto"/>
        <w:rPr>
          <w:sz w:val="20"/>
          <w:szCs w:val="20"/>
          <w:color w:val="auto"/>
        </w:rPr>
      </w:pPr>
      <w:r>
        <w:rPr>
          <w:rFonts w:ascii="Times New Roman" w:cs="Times New Roman" w:eastAsia="Times New Roman" w:hAnsi="Times New Roman"/>
          <w:sz w:val="20"/>
          <w:szCs w:val="20"/>
          <w:color w:val="auto"/>
        </w:rPr>
        <w:t xml:space="preserve">R&amp;D expenses decreased by $39.4 million for the year ended December 31, 2025 compared to the year ended December 31, 2024. The decrease was primarily attributable to (i) a decrease of $17.5 million in clinical and development costs due to manufacturing of clinical trial materials, the majority of which was completed in early 2024, to support active clinical trials for our product candidate, evorpacept, (ii) a decrease of $12.3 million in stock-based compensation expense due to </w:t>
      </w:r>
      <w:r>
        <w:rPr>
          <w:rFonts w:ascii="Times New Roman" w:cs="Times New Roman" w:eastAsia="Times New Roman" w:hAnsi="Times New Roman"/>
          <w:sz w:val="19"/>
          <w:szCs w:val="19"/>
          <w:color w:val="auto"/>
        </w:rPr>
        <w:t>terminations from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reduction in workforce as well as modification from the December 2024 option exchange, (iii) a decrease of $6.0 million in personnel and related costs primarily driven by the reduction in workforce in the first quarter of 2025, and (iv) a decrease of $4.6 million in preclinical costs due to pipeline prioritization strategy. These decreases were offset by an increase of $1.0 million in other research costs primarily due to a development milestone payment to ScalmiBio stockholders.</w:t>
      </w:r>
    </w:p>
    <w:p>
      <w:pPr>
        <w:spacing w:after="0" w:line="81" w:lineRule="exact"/>
        <w:rPr>
          <w:sz w:val="20"/>
          <w:szCs w:val="20"/>
          <w:color w:val="auto"/>
        </w:rPr>
      </w:pPr>
    </w:p>
    <w:p>
      <w:pPr>
        <w:ind w:right="220" w:firstLine="486"/>
        <w:spacing w:after="0" w:line="274" w:lineRule="auto"/>
        <w:rPr>
          <w:sz w:val="20"/>
          <w:szCs w:val="20"/>
          <w:color w:val="auto"/>
        </w:rPr>
      </w:pPr>
      <w:r>
        <w:rPr>
          <w:rFonts w:ascii="Times New Roman" w:cs="Times New Roman" w:eastAsia="Times New Roman" w:hAnsi="Times New Roman"/>
          <w:sz w:val="20"/>
          <w:szCs w:val="20"/>
          <w:color w:val="auto"/>
        </w:rPr>
        <w:t>The future trend of our R&amp;D expenses is dependent on our decision-making on which indications to pursue for future clinical development and the costs, timing, and outcomes of any future clinical trials.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summarizes our general and administrative (G&amp;A) expenses incurred for the years ended December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and 2024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5"/>
          </w:tcPr>
          <w:p>
            <w:pPr>
              <w:jc w:val="right"/>
              <w:ind w:right="45"/>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0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Personnel and related costs</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580" w:type="dxa"/>
            <w:vAlign w:val="bottom"/>
            <w:gridSpan w:val="2"/>
            <w:vMerge w:val="continue"/>
          </w:tcPr>
          <w:p>
            <w:pPr>
              <w:spacing w:after="0"/>
              <w:rPr>
                <w:sz w:val="20"/>
                <w:szCs w:val="20"/>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jc w:val="right"/>
              <w:ind w:right="225"/>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42"/>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(2,229)</w:t>
            </w:r>
          </w:p>
        </w:tc>
        <w:tc>
          <w:tcPr>
            <w:tcW w:w="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0" w:type="dxa"/>
            <w:vAlign w:val="bottom"/>
          </w:tcPr>
          <w:p>
            <w:pPr>
              <w:spacing w:after="0"/>
              <w:rPr>
                <w:sz w:val="1"/>
                <w:szCs w:val="1"/>
                <w:color w:val="auto"/>
              </w:rPr>
            </w:pPr>
          </w:p>
        </w:tc>
      </w:tr>
      <w:tr>
        <w:trPr>
          <w:trHeight w:val="248"/>
        </w:trPr>
        <w:tc>
          <w:tcPr>
            <w:tcW w:w="45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general and administrative costs</w:t>
            </w: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(1,068)</w:t>
            </w:r>
          </w:p>
        </w:tc>
        <w:tc>
          <w:tcPr>
            <w:tcW w:w="2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color w:val="auto"/>
              </w:rPr>
              <w:t>Total general and administrative expenses</w:t>
            </w: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gridSpan w:val="2"/>
            <w:vMerge w:val="continue"/>
          </w:tcPr>
          <w:p>
            <w:pPr>
              <w:spacing w:after="0"/>
              <w:rPr>
                <w:sz w:val="20"/>
                <w:szCs w:val="20"/>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23,850</w:t>
            </w:r>
          </w:p>
        </w:tc>
        <w:tc>
          <w:tcPr>
            <w:tcW w:w="26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460" w:type="dxa"/>
            <w:vAlign w:val="bottom"/>
            <w:gridSpan w:val="2"/>
          </w:tcPr>
          <w:p>
            <w:pPr>
              <w:jc w:val="right"/>
              <w:ind w:right="3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26,094</w:t>
            </w:r>
          </w:p>
        </w:tc>
        <w:tc>
          <w:tcPr>
            <w:tcW w:w="2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60" w:type="dxa"/>
            <w:vAlign w:val="bottom"/>
            <w:gridSpan w:val="2"/>
          </w:tcPr>
          <w:p>
            <w:pPr>
              <w:jc w:val="right"/>
              <w:ind w:right="22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(2,244)</w:t>
            </w:r>
          </w:p>
        </w:tc>
        <w:tc>
          <w:tcPr>
            <w:tcW w:w="26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G&amp;A expenses decreased by $2.2 million for the year ended December 31, 2025 compared to the year ended December 31,</w:t>
      </w:r>
    </w:p>
    <w:p>
      <w:pPr>
        <w:spacing w:after="0" w:line="26" w:lineRule="exact"/>
        <w:rPr>
          <w:sz w:val="20"/>
          <w:szCs w:val="20"/>
          <w:color w:val="auto"/>
        </w:rPr>
      </w:pPr>
    </w:p>
    <w:p>
      <w:pPr>
        <w:jc w:val="both"/>
        <w:ind w:right="100"/>
        <w:spacing w:after="0" w:line="249" w:lineRule="auto"/>
        <w:rPr>
          <w:sz w:val="20"/>
          <w:szCs w:val="20"/>
          <w:color w:val="auto"/>
        </w:rPr>
      </w:pPr>
      <w:r>
        <w:rPr>
          <w:rFonts w:ascii="Times New Roman" w:cs="Times New Roman" w:eastAsia="Times New Roman" w:hAnsi="Times New Roman"/>
          <w:sz w:val="20"/>
          <w:szCs w:val="20"/>
          <w:color w:val="auto"/>
        </w:rPr>
        <w:t xml:space="preserve">2024. The decrease was primarily attributable to (i) a decrease of $2.2 million in stock-based compensation expense primarily due to </w:t>
      </w:r>
      <w:r>
        <w:rPr>
          <w:rFonts w:ascii="Times New Roman" w:cs="Times New Roman" w:eastAsia="Times New Roman" w:hAnsi="Times New Roman"/>
          <w:sz w:val="19"/>
          <w:szCs w:val="19"/>
          <w:color w:val="auto"/>
        </w:rPr>
        <w:t>terminations from the reduction in workforce as well as modification from the December 2024 option exchange and (ii) a decrease of $1.1 million in other G&amp;A costs such as legal patent fees, corporate consulting fees, and accounting consulting costs. This was offset by an increase of $1.1 million in personnel and related costs primarily driven by severance costs from the reduction in workforce and merit increases.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Charge</w:t>
      </w:r>
    </w:p>
    <w:p>
      <w:pPr>
        <w:spacing w:after="0" w:line="118"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20"/>
          <w:szCs w:val="20"/>
          <w:color w:val="auto"/>
        </w:rPr>
        <w:t>Impairment charge increased by $3.2 million for the year ended December 31, 2025. In May 2025, we made a decision to sublease our leased property in Palo Alto and are actively marketing the leased property for sublease. We recorded long-lived asset impairment charge based on the performed impairment analysis. There was no impairment charge for the year ended December 31,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Income</w:t>
      </w:r>
    </w:p>
    <w:p>
      <w:pPr>
        <w:spacing w:after="0" w:line="118"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20"/>
          <w:szCs w:val="20"/>
          <w:color w:val="auto"/>
        </w:rPr>
        <w:t>Interest income decreased by $5.4 million for the year ended December 31, 2025 compared to the year ended December 31, 2024. The decrease was primarily attributable to lower interest rates as well as lower cash and investment balances during the current year as compared to prior year.</w:t>
      </w:r>
    </w:p>
    <w:p>
      <w:pPr>
        <w:sectPr>
          <w:pgSz w:w="12240" w:h="15840" w:orient="portrait"/>
          <w:cols w:equalWidth="0" w:num="1">
            <w:col w:w="10680"/>
          </w:cols>
          <w:pgMar w:left="760" w:top="978" w:right="80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94</w:t>
      </w:r>
    </w:p>
    <w:p>
      <w:pPr>
        <w:sectPr>
          <w:pgSz w:w="12240" w:h="15840" w:orient="portrait"/>
          <w:cols w:equalWidth="0" w:num="1">
            <w:col w:w="10680"/>
          </w:cols>
          <w:pgMar w:left="760" w:top="978" w:right="800" w:bottom="223"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Interest expense decreased by $0.1 million for the year ended December 31, 2025 compared to the year ended December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 The decrease was primarily attributable to lower interest rates.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Other income (expense), net remained flat for the year ended December 31, 2025 compared to the year ended December 31,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 Plan of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Sources of Liquidity</w:t>
      </w:r>
    </w:p>
    <w:p>
      <w:pPr>
        <w:spacing w:after="0" w:line="118" w:lineRule="exact"/>
        <w:rPr>
          <w:sz w:val="20"/>
          <w:szCs w:val="20"/>
          <w:color w:val="auto"/>
        </w:rPr>
      </w:pPr>
    </w:p>
    <w:p>
      <w:pPr>
        <w:ind w:firstLine="487"/>
        <w:spacing w:after="0" w:line="247" w:lineRule="auto"/>
        <w:rPr>
          <w:sz w:val="20"/>
          <w:szCs w:val="20"/>
          <w:color w:val="auto"/>
        </w:rPr>
      </w:pPr>
      <w:r>
        <w:rPr>
          <w:rFonts w:ascii="Times New Roman" w:cs="Times New Roman" w:eastAsia="Times New Roman" w:hAnsi="Times New Roman"/>
          <w:sz w:val="20"/>
          <w:szCs w:val="20"/>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December 31, 2025, we had cash, cash equivalents and investments of $48.3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Funding Requirements</w:t>
      </w:r>
    </w:p>
    <w:p>
      <w:pPr>
        <w:spacing w:after="0" w:line="118" w:lineRule="exact"/>
        <w:rPr>
          <w:sz w:val="20"/>
          <w:szCs w:val="20"/>
          <w:color w:val="auto"/>
        </w:rPr>
      </w:pPr>
    </w:p>
    <w:p>
      <w:pPr>
        <w:ind w:right="120" w:firstLine="487"/>
        <w:spacing w:after="0" w:line="245" w:lineRule="auto"/>
        <w:rPr>
          <w:sz w:val="20"/>
          <w:szCs w:val="20"/>
          <w:color w:val="auto"/>
        </w:rPr>
      </w:pPr>
      <w:r>
        <w:rPr>
          <w:rFonts w:ascii="Times New Roman" w:cs="Times New Roman" w:eastAsia="Times New Roman" w:hAnsi="Times New Roman"/>
          <w:sz w:val="20"/>
          <w:szCs w:val="20"/>
          <w:color w:val="auto"/>
        </w:rPr>
        <w:t>We have incurred losses and negative cash flows from operations since inception and anticipate that we will continue to incur net losses for the foreseeable future. As of December 31, 2025, we had an accumulated deficit of $722.8 million. We expect to incur significant expenses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95" w:lineRule="exact"/>
        <w:rPr>
          <w:sz w:val="20"/>
          <w:szCs w:val="20"/>
          <w:color w:val="auto"/>
        </w:rPr>
      </w:pPr>
    </w:p>
    <w:p>
      <w:pPr>
        <w:ind w:left="980" w:hanging="496"/>
        <w:spacing w:after="0"/>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progress of preclinical and clinical development activities;</w:t>
      </w:r>
    </w:p>
    <w:p>
      <w:pPr>
        <w:spacing w:after="0" w:line="131" w:lineRule="exact"/>
        <w:rPr>
          <w:rFonts w:ascii="Arial" w:cs="Arial" w:eastAsia="Arial" w:hAnsi="Arial"/>
          <w:sz w:val="20"/>
          <w:szCs w:val="20"/>
          <w:color w:val="auto"/>
        </w:rPr>
      </w:pPr>
    </w:p>
    <w:p>
      <w:pPr>
        <w:ind w:left="980" w:hanging="496"/>
        <w:spacing w:after="0"/>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 enrollment in and completion of clinical trials;</w:t>
      </w:r>
    </w:p>
    <w:p>
      <w:pPr>
        <w:spacing w:after="0" w:line="131" w:lineRule="exact"/>
        <w:rPr>
          <w:rFonts w:ascii="Arial" w:cs="Arial" w:eastAsia="Arial" w:hAnsi="Arial"/>
          <w:sz w:val="20"/>
          <w:szCs w:val="20"/>
          <w:color w:val="auto"/>
        </w:rPr>
      </w:pPr>
    </w:p>
    <w:p>
      <w:pPr>
        <w:ind w:left="980" w:hanging="496"/>
        <w:spacing w:after="0"/>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outcome of regulatory review of our product candidates;</w:t>
      </w:r>
    </w:p>
    <w:p>
      <w:pPr>
        <w:spacing w:after="0" w:line="131" w:lineRule="exact"/>
        <w:rPr>
          <w:rFonts w:ascii="Arial" w:cs="Arial" w:eastAsia="Arial" w:hAnsi="Arial"/>
          <w:sz w:val="20"/>
          <w:szCs w:val="20"/>
          <w:color w:val="auto"/>
        </w:rPr>
      </w:pPr>
    </w:p>
    <w:p>
      <w:pPr>
        <w:ind w:left="980" w:right="240" w:hanging="496"/>
        <w:spacing w:after="0" w:line="273" w:lineRule="auto"/>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establish agreements with third-party manufacturers for clinical supply for our clinical trials and, if any of our product candidates are approved, commercial manufacturing;</w:t>
      </w:r>
    </w:p>
    <w:p>
      <w:pPr>
        <w:spacing w:after="0" w:line="66" w:lineRule="exact"/>
        <w:rPr>
          <w:rFonts w:ascii="Arial" w:cs="Arial" w:eastAsia="Arial" w:hAnsi="Arial"/>
          <w:sz w:val="20"/>
          <w:szCs w:val="20"/>
          <w:color w:val="auto"/>
        </w:rPr>
      </w:pPr>
    </w:p>
    <w:p>
      <w:pPr>
        <w:ind w:left="980" w:hanging="496"/>
        <w:spacing w:after="0"/>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addition and retention of key research and development personnel;</w:t>
      </w:r>
    </w:p>
    <w:p>
      <w:pPr>
        <w:spacing w:after="0" w:line="131" w:lineRule="exact"/>
        <w:rPr>
          <w:rFonts w:ascii="Arial" w:cs="Arial" w:eastAsia="Arial" w:hAnsi="Arial"/>
          <w:sz w:val="20"/>
          <w:szCs w:val="20"/>
          <w:color w:val="auto"/>
        </w:rPr>
      </w:pPr>
    </w:p>
    <w:p>
      <w:pPr>
        <w:ind w:left="980" w:right="720" w:hanging="496"/>
        <w:spacing w:after="0" w:line="273" w:lineRule="auto"/>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our efforts to enhance operational, financial and information management systems, and hire additional personnel, including personnel to support development of our product candidates;</w:t>
      </w:r>
    </w:p>
    <w:p>
      <w:pPr>
        <w:spacing w:after="0" w:line="66" w:lineRule="exact"/>
        <w:rPr>
          <w:rFonts w:ascii="Arial" w:cs="Arial" w:eastAsia="Arial" w:hAnsi="Arial"/>
          <w:sz w:val="20"/>
          <w:szCs w:val="20"/>
          <w:color w:val="auto"/>
        </w:rPr>
      </w:pPr>
    </w:p>
    <w:p>
      <w:pPr>
        <w:ind w:left="980" w:right="660" w:hanging="496"/>
        <w:spacing w:after="0" w:line="273" w:lineRule="auto"/>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costs and timing of future commercialization activities, including product manufacturing, marketing, sales and distribution, for any of our product candidates for which we obtain marketing approval;</w:t>
      </w:r>
    </w:p>
    <w:p>
      <w:pPr>
        <w:spacing w:after="0" w:line="66" w:lineRule="exact"/>
        <w:rPr>
          <w:rFonts w:ascii="Arial" w:cs="Arial" w:eastAsia="Arial" w:hAnsi="Arial"/>
          <w:sz w:val="20"/>
          <w:szCs w:val="20"/>
          <w:color w:val="auto"/>
        </w:rPr>
      </w:pPr>
    </w:p>
    <w:p>
      <w:pPr>
        <w:ind w:left="960" w:right="620" w:hanging="477"/>
        <w:spacing w:after="0" w:line="274" w:lineRule="auto"/>
        <w:tabs>
          <w:tab w:leader="none" w:pos="96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legal patent costs involved in prosecuting patent applications and enforcing patent claims and other intellectual property claims;</w:t>
      </w:r>
    </w:p>
    <w:p>
      <w:pPr>
        <w:spacing w:after="0" w:line="64" w:lineRule="exact"/>
        <w:rPr>
          <w:rFonts w:ascii="Arial" w:cs="Arial" w:eastAsia="Arial" w:hAnsi="Arial"/>
          <w:sz w:val="20"/>
          <w:szCs w:val="20"/>
          <w:color w:val="auto"/>
        </w:rPr>
      </w:pPr>
    </w:p>
    <w:p>
      <w:pPr>
        <w:ind w:left="980" w:right="160" w:hanging="496"/>
        <w:spacing w:after="0" w:line="274" w:lineRule="auto"/>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the terms and timing of any collaboration, license or other arrangement, including the terms and timing of any milestone and royalty payments thereunder;</w:t>
      </w:r>
    </w:p>
    <w:p>
      <w:pPr>
        <w:spacing w:after="0" w:line="64" w:lineRule="exact"/>
        <w:rPr>
          <w:rFonts w:ascii="Arial" w:cs="Arial" w:eastAsia="Arial" w:hAnsi="Arial"/>
          <w:sz w:val="20"/>
          <w:szCs w:val="20"/>
          <w:color w:val="auto"/>
        </w:rPr>
      </w:pPr>
    </w:p>
    <w:p>
      <w:pPr>
        <w:ind w:left="980" w:hanging="496"/>
        <w:spacing w:after="0"/>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listing on Nasdaq; and</w:t>
      </w:r>
    </w:p>
    <w:p>
      <w:pPr>
        <w:spacing w:after="0" w:line="131" w:lineRule="exact"/>
        <w:rPr>
          <w:rFonts w:ascii="Arial" w:cs="Arial" w:eastAsia="Arial" w:hAnsi="Arial"/>
          <w:sz w:val="20"/>
          <w:szCs w:val="20"/>
          <w:color w:val="auto"/>
        </w:rPr>
      </w:pPr>
    </w:p>
    <w:p>
      <w:pPr>
        <w:ind w:left="980" w:right="180" w:hanging="496"/>
        <w:spacing w:after="0" w:line="247" w:lineRule="auto"/>
        <w:tabs>
          <w:tab w:leader="none" w:pos="980" w:val="left"/>
        </w:tabs>
        <w:numPr>
          <w:ilvl w:val="0"/>
          <w:numId w:val="68"/>
        </w:numPr>
        <w:rPr>
          <w:rFonts w:ascii="Arial" w:cs="Arial" w:eastAsia="Arial" w:hAnsi="Arial"/>
          <w:sz w:val="20"/>
          <w:szCs w:val="20"/>
          <w:color w:val="auto"/>
        </w:rPr>
      </w:pPr>
      <w:r>
        <w:rPr>
          <w:rFonts w:ascii="Times New Roman" w:cs="Times New Roman" w:eastAsia="Times New Roman" w:hAnsi="Times New Roman"/>
          <w:sz w:val="20"/>
          <w:szCs w:val="20"/>
          <w:color w:val="auto"/>
        </w:rPr>
        <w:t>macroeconomic conditions and global economic environment, such as inflation, interest rate changes, trade and other global disputes and interruptions, including related to tariffs and trade protection measures, U.S. federal government shutdowns, economic downturns, bank failures or instability in the financial services sector, or geopolitical risks, disasters, and medical or public health crises, such as the COVID-19 pandemic, which may exacerbate the magnitude of the factors discussed above.</w:t>
      </w:r>
    </w:p>
    <w:p>
      <w:pPr>
        <w:sectPr>
          <w:pgSz w:w="12240" w:h="15840" w:orient="portrait"/>
          <w:cols w:equalWidth="0" w:num="1">
            <w:col w:w="10700"/>
          </w:cols>
          <w:pgMar w:left="760" w:top="978"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95</w:t>
      </w:r>
    </w:p>
    <w:p>
      <w:pPr>
        <w:sectPr>
          <w:pgSz w:w="12240" w:h="15840" w:orient="portrait"/>
          <w:cols w:equalWidth="0" w:num="1">
            <w:col w:w="10700"/>
          </w:cols>
          <w:pgMar w:left="760" w:top="978" w:right="780" w:bottom="223" w:gutter="0" w:footer="0" w:header="0"/>
          <w:type w:val="continuous"/>
        </w:sectPr>
      </w:pPr>
    </w:p>
    <w:bookmarkStart w:id="105" w:name="page106"/>
    <w:bookmarkEnd w:id="105"/>
    <w:p>
      <w:pPr>
        <w:ind w:right="20" w:firstLine="486"/>
        <w:spacing w:after="0" w:line="241" w:lineRule="auto"/>
        <w:rPr>
          <w:sz w:val="20"/>
          <w:szCs w:val="20"/>
          <w:color w:val="auto"/>
        </w:rPr>
      </w:pPr>
      <w:r>
        <w:rPr>
          <w:rFonts w:ascii="Times New Roman" w:cs="Times New Roman" w:eastAsia="Times New Roman" w:hAnsi="Times New Roman"/>
          <w:sz w:val="20"/>
          <w:szCs w:val="20"/>
          <w:color w:val="auto"/>
        </w:rPr>
        <w:t>Until such time, if ever, as we can generate substantial product revenue, we expect to finance our operations through a combination of equity offerings, debt financings, collaborations, strategic alliances and marketing, distribution or licensing arrangements. Other than the Loan Agreement,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84" w:lineRule="exact"/>
        <w:rPr>
          <w:sz w:val="20"/>
          <w:szCs w:val="20"/>
          <w:color w:val="auto"/>
        </w:rPr>
      </w:pPr>
    </w:p>
    <w:p>
      <w:pPr>
        <w:ind w:right="80" w:firstLine="486"/>
        <w:spacing w:after="0" w:line="247" w:lineRule="auto"/>
        <w:rPr>
          <w:sz w:val="20"/>
          <w:szCs w:val="20"/>
          <w:color w:val="auto"/>
        </w:rPr>
      </w:pPr>
      <w:r>
        <w:rPr>
          <w:rFonts w:ascii="Times New Roman" w:cs="Times New Roman" w:eastAsia="Times New Roman" w:hAnsi="Times New Roman"/>
          <w:sz w:val="20"/>
          <w:szCs w:val="20"/>
          <w:color w:val="auto"/>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spacing w:after="0" w:line="78" w:lineRule="exact"/>
        <w:rPr>
          <w:sz w:val="20"/>
          <w:szCs w:val="20"/>
          <w:color w:val="auto"/>
        </w:rPr>
      </w:pPr>
    </w:p>
    <w:p>
      <w:pPr>
        <w:ind w:right="280" w:firstLine="486"/>
        <w:spacing w:after="0" w:line="247" w:lineRule="auto"/>
        <w:rPr>
          <w:sz w:val="20"/>
          <w:szCs w:val="20"/>
          <w:color w:val="auto"/>
        </w:rPr>
      </w:pPr>
      <w:r>
        <w:rPr>
          <w:rFonts w:ascii="Times New Roman" w:cs="Times New Roman" w:eastAsia="Times New Roman" w:hAnsi="Times New Roman"/>
          <w:sz w:val="20"/>
          <w:szCs w:val="20"/>
          <w:color w:val="auto"/>
        </w:rPr>
        <w:t>In December 2020, we completed our registered offering pursuant to a registration statement on Form S-1. In this registered offering, we issued and sold an aggregate of 2,737,000 shares of common stock, including the underwriters’ exercise in full of their overallotment option, under the registration statement at an offering price of $76.00 per share. Net proceeds were approximately $194.9 million, after deducting underwriting discounts and commissions of $12.5 million and offering-related expenses of $0.7 million.</w:t>
      </w:r>
    </w:p>
    <w:p>
      <w:pPr>
        <w:spacing w:after="0" w:line="78"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20"/>
          <w:szCs w:val="20"/>
          <w:color w:val="auto"/>
        </w:rPr>
        <w:t>In December 2021, we entered into a sales agreement (as amended, Sales Agreement) with Cantor Fitzgerald &amp; Co. and Credit Suisse Securities (USA) LLC (Credit Suisse), under which we may offer and sell our common stock, having aggregate gross proceeds of up to $ 150.0 million, from time to time through them as our sales agents in our ATM offering program. In March 2022, we filed a universal shelf registration statement (2022 Shelf Registration Statement) with the SEC, which was declared effective by the SEC on May 31, 2022. In August 2023, we entered into an amendment to the Sales Agreement to include UBS Securities LLC as an additional sales agent and to remove Credit Suisse as a sales agent.</w:t>
      </w:r>
    </w:p>
    <w:p>
      <w:pPr>
        <w:spacing w:after="0" w:line="8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9"/>
          <w:szCs w:val="19"/>
          <w:color w:val="auto"/>
        </w:rPr>
        <w:t>In October 2022, we entered into the Loan Agreement as described above. Upon closing of the Loan Agreement, we drew $10.0 million. Under the original terms of the Loan Agreement, we had the right to draw an additional $40.0 million through the end of</w:t>
      </w:r>
    </w:p>
    <w:p>
      <w:pPr>
        <w:spacing w:after="0" w:line="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2023. A further $50.0 million was potentially available to us, $25.0 million upon the achievement of pre-determined development milestones and $25.0 million at the Lenders’ sole discretion. For a description of the terms of the Loan Agreement, see “Note 7. Term Loan” to our consolidated financial statements included elsewhere in this Annual Report on Form 10-K.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88"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spacing w:after="0" w:line="88" w:lineRule="exact"/>
        <w:rPr>
          <w:sz w:val="20"/>
          <w:szCs w:val="20"/>
          <w:color w:val="auto"/>
        </w:rPr>
      </w:pPr>
    </w:p>
    <w:p>
      <w:pPr>
        <w:ind w:right="140" w:firstLine="486"/>
        <w:spacing w:after="0" w:line="245" w:lineRule="auto"/>
        <w:rPr>
          <w:sz w:val="20"/>
          <w:szCs w:val="20"/>
          <w:color w:val="auto"/>
        </w:rPr>
      </w:pPr>
      <w:r>
        <w:rPr>
          <w:rFonts w:ascii="Times New Roman" w:cs="Times New Roman" w:eastAsia="Times New Roman" w:hAnsi="Times New Roman"/>
          <w:sz w:val="20"/>
          <w:szCs w:val="20"/>
          <w:color w:val="auto"/>
        </w:rPr>
        <w:t>In October 2023, we completed a registered offering pursuant to the 2022 Shelf Registration Statement. In this registered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an offering price of $6.38 per share and $6.379 per pre-funded warrant. Net proceeds were approximately $58.9 million, after deducting underwriting discounts and commissions of $3.8 million and offering-related expenses of $0.6 million. As of December 31, 2025, no shares underlying the pre-funded warrants had been exercised.</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96</w:t>
      </w:r>
    </w:p>
    <w:p>
      <w:pPr>
        <w:sectPr>
          <w:pgSz w:w="12240" w:h="15840" w:orient="portrait"/>
          <w:cols w:equalWidth="0" w:num="1">
            <w:col w:w="10720"/>
          </w:cols>
          <w:pgMar w:left="760" w:top="978" w:right="760" w:bottom="223" w:gutter="0" w:footer="0" w:header="0"/>
          <w:type w:val="continuous"/>
        </w:sectPr>
      </w:pPr>
    </w:p>
    <w:bookmarkStart w:id="106" w:name="page107"/>
    <w:bookmarkEnd w:id="106"/>
    <w:p>
      <w:pPr>
        <w:ind w:right="40" w:firstLine="486"/>
        <w:spacing w:after="0" w:line="245" w:lineRule="auto"/>
        <w:rPr>
          <w:sz w:val="20"/>
          <w:szCs w:val="20"/>
          <w:color w:val="auto"/>
        </w:rPr>
      </w:pPr>
      <w:r>
        <w:rPr>
          <w:rFonts w:ascii="Times New Roman" w:cs="Times New Roman" w:eastAsia="Times New Roman" w:hAnsi="Times New Roman"/>
          <w:sz w:val="20"/>
          <w:szCs w:val="20"/>
          <w:color w:val="auto"/>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81" w:lineRule="exact"/>
        <w:rPr>
          <w:sz w:val="20"/>
          <w:szCs w:val="20"/>
          <w:color w:val="auto"/>
        </w:rPr>
      </w:pPr>
    </w:p>
    <w:p>
      <w:pPr>
        <w:ind w:right="140" w:firstLine="487"/>
        <w:spacing w:after="0" w:line="244" w:lineRule="auto"/>
        <w:rPr>
          <w:sz w:val="20"/>
          <w:szCs w:val="20"/>
          <w:color w:val="auto"/>
        </w:rPr>
      </w:pPr>
      <w:r>
        <w:rPr>
          <w:rFonts w:ascii="Times New Roman" w:cs="Times New Roman" w:eastAsia="Times New Roman" w:hAnsi="Times New Roman"/>
          <w:sz w:val="20"/>
          <w:szCs w:val="20"/>
          <w:color w:val="auto"/>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$ 25.0 million tranche available at the Lenders’ sole discretion was available to us as of December 31, 2025. The term loans under the Loan Agreement mature on October 1, 2027. We began to make principal payments in equal monthly installments beginning on December 1, 2025.</w:t>
      </w:r>
    </w:p>
    <w:p>
      <w:pPr>
        <w:spacing w:after="0" w:line="82" w:lineRule="exact"/>
        <w:rPr>
          <w:sz w:val="20"/>
          <w:szCs w:val="20"/>
          <w:color w:val="auto"/>
        </w:rPr>
      </w:pPr>
    </w:p>
    <w:p>
      <w:pPr>
        <w:ind w:right="100" w:firstLine="486"/>
        <w:spacing w:after="0" w:line="245" w:lineRule="auto"/>
        <w:rPr>
          <w:sz w:val="20"/>
          <w:szCs w:val="20"/>
          <w:color w:val="auto"/>
        </w:rPr>
      </w:pPr>
      <w:r>
        <w:rPr>
          <w:rFonts w:ascii="Times New Roman" w:cs="Times New Roman" w:eastAsia="Times New Roman" w:hAnsi="Times New Roman"/>
          <w:sz w:val="20"/>
          <w:szCs w:val="20"/>
          <w:color w:val="auto"/>
        </w:rPr>
        <w:t>On March 6, 2025, we filed a shelf registration statement with the SEC that became effective on April 24, 2025 (the 2025 Shelf Registration Statement). The 2025 Shelf Registration Statement replaced the 2022 Shelf Registration Statement and registered the unsold securities from the 2022 Shelf Registration Statement, including those available under the ATM program. From December 2021 to December 31, 2025, we sold an aggregate of 3,175,681 shares of common stock under our Sales Agreement for net proceeds of $31.4 million, after deducting commissions. We may terminate this ATM program and the Sales Agreement at any time, pursuant to its terms.</w:t>
      </w:r>
    </w:p>
    <w:p>
      <w:pPr>
        <w:spacing w:after="0" w:line="81" w:lineRule="exact"/>
        <w:rPr>
          <w:sz w:val="20"/>
          <w:szCs w:val="20"/>
          <w:color w:val="auto"/>
        </w:rPr>
      </w:pPr>
    </w:p>
    <w:p>
      <w:pPr>
        <w:ind w:right="260" w:firstLine="486"/>
        <w:spacing w:after="0" w:line="250" w:lineRule="auto"/>
        <w:rPr>
          <w:sz w:val="20"/>
          <w:szCs w:val="20"/>
          <w:color w:val="auto"/>
        </w:rPr>
      </w:pPr>
      <w:r>
        <w:rPr>
          <w:rFonts w:ascii="Times New Roman" w:cs="Times New Roman" w:eastAsia="Times New Roman" w:hAnsi="Times New Roman"/>
          <w:sz w:val="20"/>
          <w:szCs w:val="20"/>
          <w:color w:val="auto"/>
        </w:rPr>
        <w:t>On February 2, 2026, the Company completed a registered offering and issued an aggregate of 76,979,112 shares of common stock at an offering price of $1.57 per share and pre-funded warrants to purchase 18,574,120 shares of common stock at an offering price of $1.569 per pre-funded warrant. The Company received net proceeds of approximately $140.4 million, after deducting underwriting discounts and commissions of $9.0 million and other offering-related expenses of $0.6 million.</w:t>
      </w:r>
    </w:p>
    <w:p>
      <w:pPr>
        <w:spacing w:after="0" w:line="75" w:lineRule="exact"/>
        <w:rPr>
          <w:sz w:val="20"/>
          <w:szCs w:val="20"/>
          <w:color w:val="auto"/>
        </w:rPr>
      </w:pPr>
    </w:p>
    <w:p>
      <w:pPr>
        <w:ind w:firstLine="486"/>
        <w:spacing w:after="0" w:line="250" w:lineRule="auto"/>
        <w:rPr>
          <w:sz w:val="20"/>
          <w:szCs w:val="20"/>
          <w:color w:val="auto"/>
        </w:rPr>
      </w:pPr>
      <w:r>
        <w:rPr>
          <w:rFonts w:ascii="Times New Roman" w:cs="Times New Roman" w:eastAsia="Times New Roman" w:hAnsi="Times New Roman"/>
          <w:sz w:val="20"/>
          <w:szCs w:val="20"/>
          <w:color w:val="auto"/>
        </w:rPr>
        <w:t>We believe our existing cash, cash equivalents and investments, including net proceeds from the February 2026 offering, will enable us to fund our operating expenses and capital expenditure requirements through the first half of 2028. Additionally, the Company also has the ability to further utilize the ATM program. We have based these estimates on assumptions in which actuals may materially differ, and we could utilize our available capital resources sooner than we expect.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110" w:lineRule="exact"/>
        <w:rPr>
          <w:sz w:val="20"/>
          <w:szCs w:val="20"/>
          <w:color w:val="auto"/>
        </w:rPr>
      </w:pPr>
    </w:p>
    <w:p>
      <w:pPr>
        <w:ind w:right="60" w:firstLine="487"/>
        <w:spacing w:after="0" w:line="264" w:lineRule="auto"/>
        <w:rPr>
          <w:sz w:val="20"/>
          <w:szCs w:val="20"/>
          <w:color w:val="auto"/>
        </w:rPr>
      </w:pPr>
      <w:r>
        <w:rPr>
          <w:rFonts w:ascii="Times New Roman" w:cs="Times New Roman" w:eastAsia="Times New Roman" w:hAnsi="Times New Roman"/>
          <w:sz w:val="20"/>
          <w:szCs w:val="20"/>
          <w:color w:val="auto"/>
        </w:rPr>
        <w:t>The following table presents a summary of the net cash flow activity for the years ended December 31, 2025, 2024 and 2023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cash provided by (used in):</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6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activities</w:t>
            </w: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(84,142)</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(121,912)</w:t>
            </w:r>
          </w:p>
        </w:tc>
        <w:tc>
          <w:tcPr>
            <w:tcW w:w="4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(130,364)</w:t>
            </w:r>
          </w:p>
        </w:tc>
        <w:tc>
          <w:tcPr>
            <w:tcW w:w="0" w:type="dxa"/>
            <w:vAlign w:val="bottom"/>
          </w:tcPr>
          <w:p>
            <w:pPr>
              <w:spacing w:after="0"/>
              <w:rPr>
                <w:sz w:val="1"/>
                <w:szCs w:val="1"/>
                <w:color w:val="auto"/>
              </w:rPr>
            </w:pPr>
          </w:p>
        </w:tc>
      </w:tr>
      <w:tr>
        <w:trPr>
          <w:trHeight w:val="242"/>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Investing activities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82,586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86,256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44,657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6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activities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30,817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59,291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20"/>
                <w:szCs w:val="20"/>
                <w:color w:val="auto"/>
              </w:rPr>
              <w:t>Net decrease in cash, cash equivalents and restricted cash</w:t>
            </w: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(1,194)</w:t>
            </w:r>
          </w:p>
        </w:tc>
        <w:tc>
          <w:tcPr>
            <w:tcW w:w="2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(4,839)</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-993775</wp:posOffset>
            </wp:positionV>
            <wp:extent cx="324167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3241675" cy="38100"/>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Activities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the year ended December 31, 2025, net cash used in operating activities of $84.1 million was attributable to a net loss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$101.7 million offset by an increase in net operating assets and liabilities of $0.3 million and non-cash charges of $17.2 million. The</w:t>
      </w:r>
    </w:p>
    <w:p>
      <w:pPr>
        <w:spacing w:after="0" w:line="238" w:lineRule="auto"/>
        <w:rPr>
          <w:sz w:val="20"/>
          <w:szCs w:val="20"/>
          <w:color w:val="auto"/>
        </w:rPr>
      </w:pPr>
      <w:r>
        <w:rPr>
          <w:rFonts w:ascii="Times New Roman" w:cs="Times New Roman" w:eastAsia="Times New Roman" w:hAnsi="Times New Roman"/>
          <w:sz w:val="20"/>
          <w:szCs w:val="20"/>
          <w:color w:val="auto"/>
        </w:rPr>
        <w:t>change in operating assets and liabilities was primarily driven by an increase in accounts payable and accrued expenses and other</w:t>
      </w:r>
    </w:p>
    <w:p>
      <w:pPr>
        <w:spacing w:after="0" w:line="238" w:lineRule="auto"/>
        <w:rPr>
          <w:sz w:val="20"/>
          <w:szCs w:val="20"/>
          <w:color w:val="auto"/>
        </w:rPr>
      </w:pPr>
      <w:r>
        <w:rPr>
          <w:rFonts w:ascii="Times New Roman" w:cs="Times New Roman" w:eastAsia="Times New Roman" w:hAnsi="Times New Roman"/>
          <w:sz w:val="20"/>
          <w:szCs w:val="20"/>
          <w:color w:val="auto"/>
        </w:rPr>
        <w:t>current liabilities of $2.3 million, primarily due to timing of invoices and payments, and an increase in other assets of $0.7 million.</w:t>
      </w:r>
    </w:p>
    <w:p>
      <w:pPr>
        <w:spacing w:after="0"/>
        <w:rPr>
          <w:sz w:val="20"/>
          <w:szCs w:val="20"/>
          <w:color w:val="auto"/>
        </w:rPr>
      </w:pPr>
      <w:r>
        <w:rPr>
          <w:rFonts w:ascii="Times New Roman" w:cs="Times New Roman" w:eastAsia="Times New Roman" w:hAnsi="Times New Roman"/>
          <w:sz w:val="20"/>
          <w:szCs w:val="20"/>
          <w:color w:val="auto"/>
        </w:rPr>
        <w:t>These increases were partially offset by a decrease in prepaid and other current assets of $0.7 million and a decrease in other non-</w:t>
      </w:r>
    </w:p>
    <w:p>
      <w:pPr>
        <w:spacing w:after="0" w:line="238" w:lineRule="auto"/>
        <w:rPr>
          <w:sz w:val="20"/>
          <w:szCs w:val="20"/>
          <w:color w:val="auto"/>
        </w:rPr>
      </w:pPr>
      <w:r>
        <w:rPr>
          <w:rFonts w:ascii="Times New Roman" w:cs="Times New Roman" w:eastAsia="Times New Roman" w:hAnsi="Times New Roman"/>
          <w:sz w:val="20"/>
          <w:szCs w:val="20"/>
          <w:color w:val="auto"/>
        </w:rPr>
        <w:t>current liabilities of $1.9 million. Non-cash charges consisted primarily of stock-based compensation expense of $12.6 million, an</w:t>
      </w:r>
    </w:p>
    <w:p>
      <w:pPr>
        <w:spacing w:after="0"/>
        <w:rPr>
          <w:sz w:val="20"/>
          <w:szCs w:val="20"/>
          <w:color w:val="auto"/>
        </w:rPr>
      </w:pPr>
      <w:r>
        <w:rPr>
          <w:rFonts w:ascii="Times New Roman" w:cs="Times New Roman" w:eastAsia="Times New Roman" w:hAnsi="Times New Roman"/>
          <w:sz w:val="19"/>
          <w:szCs w:val="19"/>
          <w:color w:val="auto"/>
        </w:rPr>
        <w:t>impairment charge of $3.2 million, non-cash lease costs of $1.7 million, and depreciation and amortization costs of $0.7 million offset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net amortization of premiums and accretion of discounts on investments of $1.2 million.</w:t>
      </w:r>
    </w:p>
    <w:p>
      <w:pPr>
        <w:spacing w:after="0" w:line="90"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20"/>
          <w:szCs w:val="20"/>
          <w:color w:val="auto"/>
        </w:rPr>
        <w:t>In the year ended December 31, 2024, net cash used in operating activities of $</w:t>
      </w:r>
      <w:r>
        <w:rPr>
          <w:rFonts w:ascii="Times New Roman" w:cs="Times New Roman" w:eastAsia="Times New Roman" w:hAnsi="Times New Roman"/>
          <w:sz w:val="19"/>
          <w:szCs w:val="19"/>
          <w:color w:val="auto"/>
        </w:rPr>
        <w:t>121.9 million was attributable to a net loss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$134.9 million and a decrease in net operating assets and liabilities of $12.4 million offset by non-cash charges of $ 25.4 million. The change in operating assets and liabilities was primarily due to a decrease in accounts payable and accrued expenses and other current liabilities of $17.0 million primarily due to timing of invoices and payments and a decrease in other assets of $7.4 million offset by an increase in prepaid and other current assets of $0.7 million and a decrease in other non-current liabilities of $2.1 million. Non-cash</w:t>
      </w:r>
    </w:p>
    <w:p>
      <w:pPr>
        <w:sectPr>
          <w:pgSz w:w="12240" w:h="15840" w:orient="portrait"/>
          <w:cols w:equalWidth="0" w:num="1">
            <w:col w:w="10720"/>
          </w:cols>
          <w:pgMar w:left="760" w:top="978" w:right="760" w:bottom="223"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97</w:t>
      </w:r>
    </w:p>
    <w:p>
      <w:pPr>
        <w:sectPr>
          <w:pgSz w:w="12240" w:h="15840" w:orient="portrait"/>
          <w:cols w:equalWidth="0" w:num="1">
            <w:col w:w="10720"/>
          </w:cols>
          <w:pgMar w:left="760" w:top="978" w:right="760" w:bottom="223" w:gutter="0" w:footer="0" w:header="0"/>
          <w:type w:val="continuous"/>
        </w:sectPr>
      </w:pPr>
    </w:p>
    <w:bookmarkStart w:id="107" w:name="page108"/>
    <w:bookmarkEnd w:id="107"/>
    <w:p>
      <w:pPr>
        <w:ind w:right="140"/>
        <w:spacing w:after="0" w:line="256" w:lineRule="auto"/>
        <w:rPr>
          <w:sz w:val="20"/>
          <w:szCs w:val="20"/>
          <w:color w:val="auto"/>
        </w:rPr>
      </w:pPr>
      <w:r>
        <w:rPr>
          <w:rFonts w:ascii="Times New Roman" w:cs="Times New Roman" w:eastAsia="Times New Roman" w:hAnsi="Times New Roman"/>
          <w:sz w:val="20"/>
          <w:szCs w:val="20"/>
          <w:color w:val="auto"/>
        </w:rPr>
        <w:t>charges consisted primarily of stock-based compensation expense of $27.1 million, non-cash lease costs of $1.8 million, and depreciation and amortization costs of $0.9 million offset by net amortization of premiums and accretion of discounts on investments of $4.7 million</w:t>
      </w:r>
      <w:r>
        <w:rPr>
          <w:rFonts w:ascii="Times New Roman" w:cs="Times New Roman" w:eastAsia="Times New Roman" w:hAnsi="Times New Roman"/>
          <w:sz w:val="19"/>
          <w:szCs w:val="19"/>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Investing Activities</w:t>
      </w:r>
    </w:p>
    <w:p>
      <w:pPr>
        <w:spacing w:after="0" w:line="11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20"/>
          <w:szCs w:val="20"/>
          <w:color w:val="auto"/>
        </w:rPr>
        <w:t>In the year ended December 31, 2025, net cash provided by investing activities of $82.6 million was attributable to cash received for maturities of investments of $134.4 million, offset by purchases of short-term and long-term investments of $51.6 million and purchases of property and equipment of $0.2 million.</w:t>
      </w:r>
    </w:p>
    <w:p>
      <w:pPr>
        <w:spacing w:after="0" w:line="69" w:lineRule="exact"/>
        <w:rPr>
          <w:sz w:val="20"/>
          <w:szCs w:val="20"/>
          <w:color w:val="auto"/>
        </w:rPr>
      </w:pPr>
    </w:p>
    <w:p>
      <w:pPr>
        <w:ind w:right="580" w:firstLine="486"/>
        <w:spacing w:after="0" w:line="262" w:lineRule="auto"/>
        <w:rPr>
          <w:sz w:val="20"/>
          <w:szCs w:val="20"/>
          <w:color w:val="auto"/>
        </w:rPr>
      </w:pPr>
      <w:r>
        <w:rPr>
          <w:rFonts w:ascii="Times New Roman" w:cs="Times New Roman" w:eastAsia="Times New Roman" w:hAnsi="Times New Roman"/>
          <w:sz w:val="20"/>
          <w:szCs w:val="20"/>
          <w:color w:val="auto"/>
        </w:rPr>
        <w:t xml:space="preserve">In the year ended December 31, 2024, net cash provided by investing activities of $86.3 million </w:t>
      </w:r>
      <w:r>
        <w:rPr>
          <w:rFonts w:ascii="Times New Roman" w:cs="Times New Roman" w:eastAsia="Times New Roman" w:hAnsi="Times New Roman"/>
          <w:sz w:val="19"/>
          <w:szCs w:val="19"/>
          <w:color w:val="auto"/>
        </w:rPr>
        <w:t>was attributable to cash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received for maturities of investments of $194.1 million, offset by purchases of short-term and long-term investments of $107.4 million and purchases of property and equipment of $0.4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Activities</w:t>
      </w:r>
    </w:p>
    <w:p>
      <w:pPr>
        <w:spacing w:after="0" w:line="118" w:lineRule="exact"/>
        <w:rPr>
          <w:sz w:val="20"/>
          <w:szCs w:val="20"/>
          <w:color w:val="auto"/>
        </w:rPr>
      </w:pPr>
    </w:p>
    <w:p>
      <w:pPr>
        <w:ind w:right="400" w:firstLine="486"/>
        <w:spacing w:after="0" w:line="256" w:lineRule="auto"/>
        <w:rPr>
          <w:sz w:val="20"/>
          <w:szCs w:val="20"/>
          <w:color w:val="auto"/>
        </w:rPr>
      </w:pPr>
      <w:r>
        <w:rPr>
          <w:rFonts w:ascii="Times New Roman" w:cs="Times New Roman" w:eastAsia="Times New Roman" w:hAnsi="Times New Roman"/>
          <w:sz w:val="20"/>
          <w:szCs w:val="20"/>
          <w:color w:val="auto"/>
        </w:rPr>
        <w:t>In the year ended December 31, 2025, net cash provided by financing activities of $0.4 million was attributable to proceeds from our ATM offering, net of commissions, of $1.7 million, offset by principal payments on finance leases of $0.9 million and principal payments on term loan of $0.4 million.</w:t>
      </w:r>
    </w:p>
    <w:p>
      <w:pPr>
        <w:spacing w:after="0" w:line="69" w:lineRule="exact"/>
        <w:rPr>
          <w:sz w:val="20"/>
          <w:szCs w:val="20"/>
          <w:color w:val="auto"/>
        </w:rPr>
      </w:pPr>
    </w:p>
    <w:p>
      <w:pPr>
        <w:ind w:right="160" w:firstLine="486"/>
        <w:spacing w:after="0" w:line="250" w:lineRule="auto"/>
        <w:rPr>
          <w:sz w:val="20"/>
          <w:szCs w:val="20"/>
          <w:color w:val="auto"/>
        </w:rPr>
      </w:pPr>
      <w:r>
        <w:rPr>
          <w:rFonts w:ascii="Times New Roman" w:cs="Times New Roman" w:eastAsia="Times New Roman" w:hAnsi="Times New Roman"/>
          <w:sz w:val="20"/>
          <w:szCs w:val="20"/>
          <w:color w:val="auto"/>
        </w:rPr>
        <w:t>In the year ended December 31, 2024, net cash provided by financing activities of $30.8 million was attributable to proceeds from our ATM offering, net of commissions, of $29.7 million, proceeds from the exercise of stock options under equity incentive plans of $1.6 million, and proceeds from issuance of common stock pursuant to employee stock purchase plan of $0.4 million, offset by principal payments on finance leases of $0.8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Off-Balance Sheet Arrangements</w:t>
      </w:r>
    </w:p>
    <w:p>
      <w:pPr>
        <w:spacing w:after="0" w:line="103" w:lineRule="exact"/>
        <w:rPr>
          <w:sz w:val="20"/>
          <w:szCs w:val="20"/>
          <w:color w:val="auto"/>
        </w:rPr>
      </w:pPr>
    </w:p>
    <w:p>
      <w:pPr>
        <w:ind w:right="220" w:firstLine="487"/>
        <w:spacing w:after="0" w:line="251" w:lineRule="auto"/>
        <w:rPr>
          <w:sz w:val="20"/>
          <w:szCs w:val="20"/>
          <w:color w:val="auto"/>
        </w:rPr>
      </w:pPr>
      <w:r>
        <w:rPr>
          <w:rFonts w:ascii="Times New Roman" w:cs="Times New Roman" w:eastAsia="Times New Roman" w:hAnsi="Times New Roman"/>
          <w:sz w:val="20"/>
          <w:szCs w:val="20"/>
          <w:color w:val="auto"/>
        </w:rPr>
        <w:t>During the period presented, we did not have, nor do we currently have, any off-balance sheet arrangements, as defined in the rules and regulations of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122"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Our management’s discussion and analysis of financial condition and results of operations is based on our consolidated financial statements, which have been prepared in accordance with generally accepted accounting principles in the United States, or U.S.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spacing w:after="0" w:line="85"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20"/>
          <w:szCs w:val="20"/>
          <w:color w:val="auto"/>
        </w:rPr>
        <w:t>Our significant accounting policies are more fully described in the notes to our audited consolidated financial statements elsewhere in this Annual Report on Form 10-K. We believe that the following accounting policy reflects the most critical judgments and estimation uncertainty used in the preparation of our consolidated financial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Clinical and Contract Manufacturing Accruals</w:t>
      </w:r>
    </w:p>
    <w:p>
      <w:pPr>
        <w:spacing w:after="0" w:line="118"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20"/>
          <w:szCs w:val="20"/>
          <w:color w:val="auto"/>
        </w:rPr>
        <w:t>We record accruals for estimated costs of research, preclinical studies and clinical trials, and manufacturing development, which are a significant component of research and development expenses. A substantial portion of our ongoing research and development activities are conducted by third-party service providers, including CROs and contract manufacturing organizations, or CMOs. Our contracts with CROs generally include pass-through fees such as regulatory expenses, investigator fees, travel costs and other miscellaneous costs, including shipping and printing fees. Similarly, our contracts with CMOs generally include pass-through fees such as raw materials and other miscellaneous costs, including shipping. The financial terms of these contracts are subject to negotiations, which vary from contract to contract and may result in payment flows that do not match the periods over which materials or services are provided to us under such contracts. We accrue the costs incurred under agreements with these third parties based on estimates of actual work completed but not yet invoiced in accordance with the respective agreements. We determine the estimated costs through discussions with internal personnel and external service providers as to the progress or stage of completion of the services and the agreed-upon fees to be paid for such services. To assist in our estimates, we rely upon the receipt of timely and accurate reporting from our clinical and non-clinical studies and other third-party vendors.</w:t>
      </w:r>
    </w:p>
    <w:p>
      <w:pPr>
        <w:sectPr>
          <w:pgSz w:w="12240" w:h="15840" w:orient="portrait"/>
          <w:cols w:equalWidth="0" w:num="1">
            <w:col w:w="10700"/>
          </w:cols>
          <w:pgMar w:left="760" w:top="978" w:right="78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98</w:t>
      </w:r>
    </w:p>
    <w:p>
      <w:pPr>
        <w:sectPr>
          <w:pgSz w:w="12240" w:h="15840" w:orient="portrait"/>
          <w:cols w:equalWidth="0" w:num="1">
            <w:col w:w="10700"/>
          </w:cols>
          <w:pgMar w:left="760" w:top="978" w:right="780" w:bottom="223" w:gutter="0" w:footer="0" w:header="0"/>
          <w:type w:val="continuous"/>
        </w:sectPr>
      </w:pPr>
    </w:p>
    <w:bookmarkStart w:id="108" w:name="page109"/>
    <w:bookmarkEnd w:id="108"/>
    <w:p>
      <w:pPr>
        <w:ind w:right="20" w:firstLine="486"/>
        <w:spacing w:after="0" w:line="242" w:lineRule="auto"/>
        <w:rPr>
          <w:sz w:val="20"/>
          <w:szCs w:val="20"/>
          <w:color w:val="auto"/>
        </w:rPr>
      </w:pPr>
      <w:r>
        <w:rPr>
          <w:rFonts w:ascii="Times New Roman" w:cs="Times New Roman" w:eastAsia="Times New Roman" w:hAnsi="Times New Roman"/>
          <w:sz w:val="20"/>
          <w:szCs w:val="20"/>
          <w:color w:val="auto"/>
        </w:rPr>
        <w:t>We make judgments and estimates in determining the accrual balance related to our CMOs at the end of each reporting period based on discussion with internal personnel who work directly and meet regularly with the CMOs.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reporting amounts that are too high or too low in any particular period. Through December 31, 2025, there have been no material differences from our accrued estimated expenses to the actual clinical trial and manufacturing development expenses. However, variations in the assumptions used to estimate accruals, including, but not limited to, the number of patients enrolled, the rate of patient enrollment, the actual services performed, and related costs may vary from our estimates, resulting in adjustments to clinical trial expense and manufacturing costs in future periods. Changes in these estimates that result in material changes to our accruals could materially affect our financial position and results of our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122" w:lineRule="exact"/>
        <w:rPr>
          <w:sz w:val="20"/>
          <w:szCs w:val="20"/>
          <w:color w:val="auto"/>
        </w:rPr>
      </w:pPr>
    </w:p>
    <w:p>
      <w:pPr>
        <w:ind w:right="280" w:firstLine="487"/>
        <w:spacing w:after="0" w:line="256" w:lineRule="auto"/>
        <w:rPr>
          <w:sz w:val="20"/>
          <w:szCs w:val="20"/>
          <w:color w:val="auto"/>
        </w:rPr>
      </w:pPr>
      <w:r>
        <w:rPr>
          <w:rFonts w:ascii="Times New Roman" w:cs="Times New Roman" w:eastAsia="Times New Roman" w:hAnsi="Times New Roman"/>
          <w:sz w:val="20"/>
          <w:szCs w:val="20"/>
          <w:color w:val="auto"/>
        </w:rPr>
        <w:t>See “Note 2. Significant Accounting Policies” of the Notes to Consolidated Financial Statements in “Item 8. Financial Statements and Supplementary Data” for a full description of recent accounting pronouncements, including the respective expected dates of adoption and estimated effects, if any, on our consolidated financial statements.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We are exposed to market risks in the ordinary course of our business. These risks primarily include interest rate sensitivities.</w:t>
      </w:r>
    </w:p>
    <w:p>
      <w:pPr>
        <w:spacing w:after="0" w:line="118" w:lineRule="exact"/>
        <w:rPr>
          <w:sz w:val="20"/>
          <w:szCs w:val="20"/>
          <w:color w:val="auto"/>
        </w:rPr>
      </w:pPr>
    </w:p>
    <w:p>
      <w:pPr>
        <w:ind w:right="20" w:firstLine="487"/>
        <w:spacing w:after="0" w:line="245" w:lineRule="auto"/>
        <w:rPr>
          <w:sz w:val="20"/>
          <w:szCs w:val="20"/>
          <w:color w:val="auto"/>
        </w:rPr>
      </w:pPr>
      <w:r>
        <w:rPr>
          <w:rFonts w:ascii="Times New Roman" w:cs="Times New Roman" w:eastAsia="Times New Roman" w:hAnsi="Times New Roman"/>
          <w:sz w:val="20"/>
          <w:szCs w:val="20"/>
          <w:color w:val="auto"/>
        </w:rPr>
        <w:t>As of December 31, 2025, we had cash, cash equivalents and investments of $48.3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spacing w:after="0" w:line="81" w:lineRule="exact"/>
        <w:rPr>
          <w:sz w:val="20"/>
          <w:szCs w:val="20"/>
          <w:color w:val="auto"/>
        </w:rPr>
      </w:pPr>
    </w:p>
    <w:p>
      <w:pPr>
        <w:ind w:right="120" w:firstLine="487"/>
        <w:spacing w:after="0" w:line="250" w:lineRule="auto"/>
        <w:rPr>
          <w:sz w:val="20"/>
          <w:szCs w:val="20"/>
          <w:color w:val="auto"/>
        </w:rPr>
      </w:pPr>
      <w:r>
        <w:rPr>
          <w:rFonts w:ascii="Times New Roman" w:cs="Times New Roman" w:eastAsia="Times New Roman" w:hAnsi="Times New Roman"/>
          <w:sz w:val="20"/>
          <w:szCs w:val="20"/>
          <w:color w:val="auto"/>
        </w:rPr>
        <w:t>As of December 31, 2025, we had borrowings of $9.6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Credit Risk</w:t>
      </w:r>
    </w:p>
    <w:p>
      <w:pPr>
        <w:spacing w:after="0" w:line="118" w:lineRule="exact"/>
        <w:rPr>
          <w:sz w:val="20"/>
          <w:szCs w:val="20"/>
          <w:color w:val="auto"/>
        </w:rPr>
      </w:pPr>
    </w:p>
    <w:p>
      <w:pPr>
        <w:ind w:right="20" w:firstLine="487"/>
        <w:spacing w:after="0" w:line="245"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Federal Deposit Insurance Corporation.</w:t>
      </w:r>
    </w:p>
    <w:p>
      <w:pPr>
        <w:spacing w:after="0" w:line="81" w:lineRule="exact"/>
        <w:rPr>
          <w:sz w:val="20"/>
          <w:szCs w:val="20"/>
          <w:color w:val="auto"/>
        </w:rPr>
      </w:pPr>
    </w:p>
    <w:p>
      <w:pPr>
        <w:ind w:right="240" w:firstLine="487"/>
        <w:spacing w:after="0" w:line="256" w:lineRule="auto"/>
        <w:rPr>
          <w:sz w:val="20"/>
          <w:szCs w:val="20"/>
          <w:color w:val="auto"/>
        </w:rPr>
      </w:pPr>
      <w:r>
        <w:rPr>
          <w:rFonts w:ascii="Times New Roman" w:cs="Times New Roman" w:eastAsia="Times New Roman" w:hAnsi="Times New Roman"/>
          <w:sz w:val="20"/>
          <w:szCs w:val="20"/>
          <w:color w:val="auto"/>
        </w:rPr>
        <w:t>The Company is continuing to monitor any events involving limited liquidity, defaults, non-performance or other adverse developments that affect financial institutions or other companies in the financial services industry or the financial services industry generally.</w:t>
      </w:r>
    </w:p>
    <w:p>
      <w:pPr>
        <w:spacing w:after="0" w:line="69" w:lineRule="exact"/>
        <w:rPr>
          <w:sz w:val="20"/>
          <w:szCs w:val="20"/>
          <w:color w:val="auto"/>
        </w:rPr>
      </w:pPr>
    </w:p>
    <w:p>
      <w:pPr>
        <w:ind w:right="180" w:firstLine="487"/>
        <w:spacing w:after="0" w:line="274" w:lineRule="auto"/>
        <w:rPr>
          <w:sz w:val="20"/>
          <w:szCs w:val="20"/>
          <w:color w:val="auto"/>
        </w:rPr>
      </w:pPr>
      <w:r>
        <w:rPr>
          <w:rFonts w:ascii="Times New Roman" w:cs="Times New Roman" w:eastAsia="Times New Roman" w:hAnsi="Times New Roman"/>
          <w:sz w:val="20"/>
          <w:szCs w:val="20"/>
          <w:color w:val="auto"/>
        </w:rPr>
        <w:t>During the periods presented, the Company has not experienced any realized losses on its deposits of cash, cash equivalents or investments.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w:t>
      </w:r>
    </w:p>
    <w:p>
      <w:pPr>
        <w:spacing w:after="0" w:line="118"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20"/>
          <w:szCs w:val="20"/>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impact on our financial results.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ectPr>
          <w:pgSz w:w="12240" w:h="15840" w:orient="portrait"/>
          <w:cols w:equalWidth="0" w:num="1">
            <w:col w:w="10720"/>
          </w:cols>
          <w:pgMar w:left="760" w:top="978" w:right="760" w:bottom="2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99</w:t>
      </w:r>
    </w:p>
    <w:p>
      <w:pPr>
        <w:sectPr>
          <w:pgSz w:w="12240" w:h="15840" w:orient="portrait"/>
          <w:cols w:equalWidth="0" w:num="1">
            <w:col w:w="10720"/>
          </w:cols>
          <w:pgMar w:left="760" w:top="978" w:right="760" w:bottom="223"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73"/>
        </w:trPr>
        <w:tc>
          <w:tcPr>
            <w:tcW w:w="8780" w:type="dxa"/>
            <w:vAlign w:val="bottom"/>
          </w:tcPr>
          <w:p>
            <w:pPr>
              <w:ind w:left="3580"/>
              <w:spacing w:after="0"/>
              <w:rPr>
                <w:sz w:val="20"/>
                <w:szCs w:val="20"/>
                <w:color w:val="auto"/>
              </w:rPr>
            </w:pPr>
            <w:r>
              <w:rPr>
                <w:rFonts w:ascii="Times New Roman" w:cs="Times New Roman" w:eastAsia="Times New Roman" w:hAnsi="Times New Roman"/>
                <w:sz w:val="20"/>
                <w:szCs w:val="20"/>
                <w:b w:val="1"/>
                <w:bCs w:val="1"/>
                <w:color w:val="auto"/>
              </w:rPr>
              <w:t>INDEX TO FINANCIAL STATEMENTS</w:t>
            </w:r>
          </w:p>
        </w:tc>
        <w:tc>
          <w:tcPr>
            <w:tcW w:w="1920" w:type="dxa"/>
            <w:vAlign w:val="bottom"/>
          </w:tcPr>
          <w:p>
            <w:pPr>
              <w:spacing w:after="0"/>
              <w:rPr>
                <w:sz w:val="23"/>
                <w:szCs w:val="23"/>
                <w:color w:val="auto"/>
              </w:rPr>
            </w:pPr>
          </w:p>
        </w:tc>
      </w:tr>
      <w:tr>
        <w:trPr>
          <w:trHeight w:val="468"/>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185)</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r>
      <w:tr>
        <w:trPr>
          <w:trHeight w:val="395"/>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r>
      <w:tr>
        <w:trPr>
          <w:trHeight w:val="395"/>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w:t>
            </w:r>
          </w:p>
        </w:tc>
      </w:tr>
      <w:tr>
        <w:trPr>
          <w:trHeight w:val="395"/>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Comprehensive Loss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r>
      <w:tr>
        <w:trPr>
          <w:trHeight w:val="395"/>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Stockholders’ Equity</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w:t>
            </w:r>
          </w:p>
        </w:tc>
      </w:tr>
      <w:tr>
        <w:trPr>
          <w:trHeight w:val="395"/>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r>
      <w:tr>
        <w:trPr>
          <w:trHeight w:val="395"/>
        </w:trPr>
        <w:tc>
          <w:tcPr>
            <w:tcW w:w="878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r>
    </w:tbl>
    <w:p>
      <w:pPr>
        <w:spacing w:after="0" w:line="200" w:lineRule="exact"/>
        <w:rPr>
          <w:sz w:val="20"/>
          <w:szCs w:val="20"/>
          <w:color w:val="auto"/>
        </w:rPr>
      </w:pPr>
    </w:p>
    <w:p>
      <w:pPr>
        <w:sectPr>
          <w:pgSz w:w="12240" w:h="15840" w:orient="portrait"/>
          <w:cols w:equalWidth="0" w:num="1">
            <w:col w:w="10700"/>
          </w:cols>
          <w:pgMar w:left="760" w:top="974"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2240" w:h="15840" w:orient="portrait"/>
          <w:cols w:equalWidth="0" w:num="1">
            <w:col w:w="10700"/>
          </w:cols>
          <w:pgMar w:left="760" w:top="974" w:right="780" w:bottom="246" w:gutter="0" w:footer="0" w:header="0"/>
          <w:type w:val="continuous"/>
        </w:sectPr>
      </w:pPr>
    </w:p>
    <w:bookmarkStart w:id="110" w:name="page111"/>
    <w:bookmarkEnd w:id="110"/>
    <w:p>
      <w:pPr>
        <w:ind w:left="288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ALX Oncology Holdings Inc.:</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Opinion on the Consolidated Financial Statements</w:t>
      </w:r>
    </w:p>
    <w:p>
      <w:pPr>
        <w:spacing w:after="0" w:line="15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ALX Oncology Holdings Inc. and subsidiaries (the Company) as of December 31, 2025 and 2024, the related consolidated statements of operations, comprehensive loss,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for Opinion</w:t>
      </w:r>
    </w:p>
    <w:p>
      <w:pPr>
        <w:spacing w:after="0" w:line="15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Critical Audit Matters</w:t>
      </w:r>
    </w:p>
    <w:p>
      <w:pPr>
        <w:spacing w:after="0" w:line="15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 KPMG LLP</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San Francisco,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9, 2026</w:t>
      </w:r>
    </w:p>
    <w:p>
      <w:pPr>
        <w:sectPr>
          <w:pgSz w:w="12240" w:h="15840" w:orient="portrait"/>
          <w:cols w:equalWidth="0" w:num="1">
            <w:col w:w="10720"/>
          </w:cols>
          <w:pgMar w:left="760" w:top="974"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2240" w:h="15840" w:orient="portrait"/>
          <w:cols w:equalWidth="0" w:num="1">
            <w:col w:w="10720"/>
          </w:cols>
          <w:pgMar w:left="760" w:top="974" w:right="760" w:bottom="246" w:gutter="0" w:footer="0" w:header="0"/>
          <w:type w:val="continuous"/>
        </w:sectPr>
      </w:pPr>
    </w:p>
    <w:bookmarkStart w:id="111" w:name="page112"/>
    <w:bookmarkEnd w:id="11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20"/>
          <w:szCs w:val="20"/>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6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8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16,373</w:t>
            </w:r>
          </w:p>
        </w:tc>
        <w:tc>
          <w:tcPr>
            <w:tcW w:w="1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Short-term investments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28,417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110,190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assets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50,727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assets</w:t>
            </w: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147,775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8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200" w:type="dxa"/>
            <w:vAlign w:val="bottom"/>
            <w:gridSpan w:val="2"/>
          </w:tcPr>
          <w:p>
            <w:pPr>
              <w:jc w:val="right"/>
              <w:ind w:right="17"/>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4,914</w:t>
            </w:r>
          </w:p>
        </w:tc>
        <w:tc>
          <w:tcPr>
            <w:tcW w:w="18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Payable and accrued liabilities due to related party</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Term loan, current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 and other current liabilities</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14,422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liabilities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24,553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Term loan, non-current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4,532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3,980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33,065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Commitments and contingencies (Note 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880" w:type="dxa"/>
            <w:vAlign w:val="bottom"/>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88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Common stock, $0.001 par value; 1,000,000,000 shares authorized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80" w:type="dxa"/>
            <w:vAlign w:val="bottom"/>
          </w:tcPr>
          <w:p>
            <w:pPr>
              <w:ind w:left="440"/>
              <w:spacing w:after="0" w:line="229" w:lineRule="exact"/>
              <w:rPr>
                <w:sz w:val="20"/>
                <w:szCs w:val="20"/>
                <w:color w:val="auto"/>
              </w:rPr>
            </w:pPr>
            <w:r>
              <w:rPr>
                <w:rFonts w:ascii="Times New Roman" w:cs="Times New Roman" w:eastAsia="Times New Roman" w:hAnsi="Times New Roman"/>
                <w:sz w:val="20"/>
                <w:szCs w:val="20"/>
                <w:color w:val="auto"/>
              </w:rPr>
              <w:t>as of December 31, 2025 and December 31, 2024; 54,388,022 and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880" w:type="dxa"/>
            <w:vAlign w:val="bottom"/>
          </w:tcPr>
          <w:p>
            <w:pPr>
              <w:ind w:left="440"/>
              <w:spacing w:after="0" w:line="229" w:lineRule="exact"/>
              <w:rPr>
                <w:sz w:val="20"/>
                <w:szCs w:val="20"/>
                <w:color w:val="auto"/>
              </w:rPr>
            </w:pPr>
            <w:r>
              <w:rPr>
                <w:rFonts w:ascii="Times New Roman" w:cs="Times New Roman" w:eastAsia="Times New Roman" w:hAnsi="Times New Roman"/>
                <w:sz w:val="20"/>
                <w:szCs w:val="20"/>
                <w:color w:val="auto"/>
              </w:rPr>
              <w:t>53,052,912 shares issued and outstanding as of December 31, 2025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and December 31, 2024, respectively</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748,716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734,412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Accumulated deficit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(722,817)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(621,122)</w:t>
            </w:r>
          </w:p>
        </w:tc>
        <w:tc>
          <w:tcPr>
            <w:tcW w:w="0" w:type="dxa"/>
            <w:vAlign w:val="bottom"/>
          </w:tcPr>
          <w:p>
            <w:pPr>
              <w:spacing w:after="0"/>
              <w:rPr>
                <w:sz w:val="1"/>
                <w:szCs w:val="1"/>
                <w:color w:val="auto"/>
              </w:rPr>
            </w:pPr>
          </w:p>
        </w:tc>
      </w:tr>
      <w:tr>
        <w:trPr>
          <w:trHeight w:val="237"/>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stockholders’ equity</w:t>
            </w:r>
          </w:p>
        </w:tc>
        <w:tc>
          <w:tcPr>
            <w:tcW w:w="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25,981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113,618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liabilities and stockholders’ equity</w:t>
            </w:r>
          </w:p>
        </w:tc>
        <w:tc>
          <w:tcPr>
            <w:tcW w:w="2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59,046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147,775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700"/>
          </w:cols>
          <w:pgMar w:left="760" w:top="974"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ectPr>
          <w:pgSz w:w="12240" w:h="15840" w:orient="portrait"/>
          <w:cols w:equalWidth="0" w:num="1">
            <w:col w:w="10700"/>
          </w:cols>
          <w:pgMar w:left="760" w:top="974" w:right="780" w:bottom="246" w:gutter="0" w:footer="0" w:header="0"/>
          <w:type w:val="continuous"/>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w:t>
      </w:r>
    </w:p>
    <w:p>
      <w:pPr>
        <w:jc w:val="center"/>
        <w:ind w:right="-19"/>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4"/>
              </w:rPr>
              <w:t>2024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76,996</w:t>
            </w:r>
          </w:p>
        </w:tc>
        <w:tc>
          <w:tcPr>
            <w:tcW w:w="2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116,373</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141,795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23,850</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26,094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28,483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Impairment charge</w:t>
            </w: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3,175</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5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operating expenses</w:t>
            </w: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104,021</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142,467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(104,021)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(142,467)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3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(1,602)</w:t>
            </w:r>
          </w:p>
        </w:tc>
        <w:tc>
          <w:tcPr>
            <w:tcW w:w="1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(1,729)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(1,565)</w:t>
            </w:r>
          </w:p>
        </w:tc>
        <w:tc>
          <w:tcPr>
            <w:tcW w:w="0" w:type="dxa"/>
            <w:vAlign w:val="bottom"/>
          </w:tcPr>
          <w:p>
            <w:pPr>
              <w:spacing w:after="0"/>
              <w:rPr>
                <w:sz w:val="1"/>
                <w:szCs w:val="1"/>
                <w:color w:val="auto"/>
              </w:rPr>
            </w:pPr>
          </w:p>
        </w:tc>
      </w:tr>
      <w:tr>
        <w:trPr>
          <w:trHeight w:val="248"/>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(36)</w:t>
            </w:r>
          </w:p>
        </w:tc>
        <w:tc>
          <w:tcPr>
            <w:tcW w:w="160" w:type="dxa"/>
            <w:vAlign w:val="bottom"/>
          </w:tcPr>
          <w:p>
            <w:pPr>
              <w:spacing w:after="0"/>
              <w:rPr>
                <w:sz w:val="21"/>
                <w:szCs w:val="21"/>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(101,695)</w:t>
            </w: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(160,805)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Income tax provision</w:t>
            </w:r>
          </w:p>
        </w:tc>
        <w:tc>
          <w:tcPr>
            <w:tcW w:w="340" w:type="dxa"/>
            <w:vAlign w:val="bottom"/>
          </w:tcPr>
          <w:p>
            <w:pPr>
              <w:spacing w:after="0"/>
              <w:rPr>
                <w:sz w:val="21"/>
                <w:szCs w:val="21"/>
                <w:color w:val="auto"/>
              </w:rPr>
            </w:pP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(101,695)</w:t>
            </w: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(160,805)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3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200" w:type="dxa"/>
            <w:vAlign w:val="bottom"/>
            <w:vMerge w:val="continue"/>
          </w:tcPr>
          <w:p>
            <w:pPr>
              <w:spacing w:after="0"/>
              <w:rPr>
                <w:sz w:val="19"/>
                <w:szCs w:val="19"/>
                <w:color w:val="auto"/>
              </w:rPr>
            </w:pPr>
          </w:p>
        </w:tc>
        <w:tc>
          <w:tcPr>
            <w:tcW w:w="340" w:type="dxa"/>
            <w:vAlign w:val="bottom"/>
            <w:tcBorders>
              <w:top w:val="single" w:sz="8" w:color="auto"/>
              <w:bottom w:val="single" w:sz="8" w:color="auto"/>
            </w:tcBorders>
          </w:tcPr>
          <w:p>
            <w:pPr>
              <w:jc w:val="right"/>
              <w:ind w:right="141"/>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(1.90)</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(2.58)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41"/>
              <w:spacing w:after="0" w:line="227" w:lineRule="exact"/>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(3.74)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Weighted-average shares of common stock used to</w:t>
            </w: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2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53,658,399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52,174,904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42,987,767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compute net loss per share, basic and diluted</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-2618105</wp:posOffset>
            </wp:positionV>
            <wp:extent cx="349440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3494405" cy="38100"/>
                    </a:xfrm>
                    <a:prstGeom prst="rect">
                      <a:avLst/>
                    </a:prstGeom>
                    <a:noFill/>
                  </pic:spPr>
                </pic:pic>
              </a:graphicData>
            </a:graphic>
          </wp:anchor>
        </w:drawing>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700"/>
          </w:cols>
          <w:pgMar w:left="760" w:top="974"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2240" w:h="15840" w:orient="portrait"/>
          <w:cols w:equalWidth="0" w:num="1">
            <w:col w:w="10700"/>
          </w:cols>
          <w:pgMar w:left="760" w:top="974" w:right="780" w:bottom="246" w:gutter="0" w:footer="0" w:header="0"/>
          <w:type w:val="continuous"/>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Comprehensive Loss</w:t>
      </w:r>
    </w:p>
    <w:p>
      <w:pPr>
        <w:jc w:val="center"/>
        <w:ind w:right="-19"/>
        <w:spacing w:after="0"/>
        <w:rPr>
          <w:sz w:val="20"/>
          <w:szCs w:val="20"/>
          <w:color w:val="auto"/>
        </w:rPr>
      </w:pPr>
      <w:r>
        <w:rPr>
          <w:rFonts w:ascii="Times New Roman" w:cs="Times New Roman" w:eastAsia="Times New Roman" w:hAnsi="Times New Roman"/>
          <w:sz w:val="20"/>
          <w:szCs w:val="20"/>
          <w:color w:val="auto"/>
        </w:rPr>
        <w:t>(in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gridSpan w:val="2"/>
          </w:tcPr>
          <w:p>
            <w:pPr>
              <w:jc w:val="center"/>
              <w:ind w:right="48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gridSpan w:val="2"/>
          </w:tcPr>
          <w:p>
            <w:pPr>
              <w:jc w:val="center"/>
              <w:ind w:right="5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4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w:t>
            </w: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880" w:type="dxa"/>
            <w:vAlign w:val="bottom"/>
            <w:vMerge w:val="continue"/>
          </w:tcPr>
          <w:p>
            <w:pPr>
              <w:spacing w:after="0"/>
              <w:rPr>
                <w:sz w:val="17"/>
                <w:szCs w:val="17"/>
                <w:color w:val="auto"/>
              </w:rPr>
            </w:pPr>
          </w:p>
        </w:tc>
        <w:tc>
          <w:tcPr>
            <w:tcW w:w="380" w:type="dxa"/>
            <w:vAlign w:val="bottom"/>
          </w:tcPr>
          <w:p>
            <w:pPr>
              <w:jc w:val="right"/>
              <w:ind w:right="18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(101,695)</w:t>
            </w:r>
          </w:p>
        </w:tc>
        <w:tc>
          <w:tcPr>
            <w:tcW w:w="300" w:type="dxa"/>
            <w:vAlign w:val="bottom"/>
          </w:tcPr>
          <w:p>
            <w:pPr>
              <w:spacing w:after="0"/>
              <w:rPr>
                <w:sz w:val="17"/>
                <w:szCs w:val="17"/>
                <w:color w:val="auto"/>
              </w:rPr>
            </w:pPr>
          </w:p>
        </w:tc>
        <w:tc>
          <w:tcPr>
            <w:tcW w:w="200" w:type="dxa"/>
            <w:vAlign w:val="bottom"/>
          </w:tcPr>
          <w:p>
            <w:pPr>
              <w:jc w:val="right"/>
              <w:ind w:right="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(134,850)</w:t>
            </w:r>
          </w:p>
        </w:tc>
        <w:tc>
          <w:tcPr>
            <w:tcW w:w="300" w:type="dxa"/>
            <w:vAlign w:val="bottom"/>
          </w:tcPr>
          <w:p>
            <w:pPr>
              <w:spacing w:after="0"/>
              <w:rPr>
                <w:sz w:val="17"/>
                <w:szCs w:val="17"/>
                <w:color w:val="auto"/>
              </w:rPr>
            </w:pPr>
          </w:p>
        </w:tc>
        <w:tc>
          <w:tcPr>
            <w:tcW w:w="380" w:type="dxa"/>
            <w:vAlign w:val="bottom"/>
          </w:tcPr>
          <w:p>
            <w:pPr>
              <w:jc w:val="right"/>
              <w:ind w:right="18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(160,805)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Other comprehensive gain (loss), net of tax:</w:t>
            </w: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Unrealized gain (loss) on available-for-sale investments</w:t>
            </w:r>
          </w:p>
        </w:tc>
        <w:tc>
          <w:tcPr>
            <w:tcW w:w="38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(247)</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Total comprehensive loss</w:t>
            </w:r>
          </w:p>
        </w:tc>
        <w:tc>
          <w:tcPr>
            <w:tcW w:w="380" w:type="dxa"/>
            <w:vAlign w:val="bottom"/>
            <w:tcBorders>
              <w:top w:val="single" w:sz="8" w:color="auto"/>
              <w:bottom w:val="single" w:sz="8" w:color="auto"/>
            </w:tcBorders>
          </w:tcPr>
          <w:p>
            <w:pPr>
              <w:jc w:val="right"/>
              <w:ind w:right="18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(101,942)</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(134,831)</w:t>
            </w: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8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(159,704)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-795655</wp:posOffset>
            </wp:positionV>
            <wp:extent cx="368808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3688080" cy="38100"/>
                    </a:xfrm>
                    <a:prstGeom prst="rect">
                      <a:avLst/>
                    </a:prstGeom>
                    <a:noFill/>
                  </pic:spPr>
                </pic:pic>
              </a:graphicData>
            </a:graphic>
          </wp:anchor>
        </w:drawing>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700"/>
          </w:cols>
          <w:pgMar w:left="760" w:top="974"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2240" w:h="15840" w:orient="portrait"/>
          <w:cols w:equalWidth="0" w:num="1">
            <w:col w:w="10700"/>
          </w:cols>
          <w:pgMar w:left="760" w:top="974" w:right="780" w:bottom="246" w:gutter="0" w:footer="0" w:header="0"/>
          <w:type w:val="continuous"/>
        </w:sectPr>
      </w:pPr>
    </w:p>
    <w:bookmarkStart w:id="114" w:name="page115"/>
    <w:bookmarkEnd w:id="114"/>
    <w:p>
      <w:pPr>
        <w:jc w:val="center"/>
        <w:ind w:right="-325"/>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43" w:lineRule="exact"/>
        <w:rPr>
          <w:sz w:val="20"/>
          <w:szCs w:val="20"/>
          <w:color w:val="auto"/>
        </w:rPr>
      </w:pPr>
    </w:p>
    <w:p>
      <w:pPr>
        <w:jc w:val="center"/>
        <w:ind w:right="-325"/>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4" w:lineRule="exact"/>
        <w:rPr>
          <w:sz w:val="20"/>
          <w:szCs w:val="20"/>
          <w:color w:val="auto"/>
        </w:rPr>
      </w:pPr>
    </w:p>
    <w:p>
      <w:pPr>
        <w:jc w:val="center"/>
        <w:ind w:right="-325"/>
        <w:spacing w:after="0"/>
        <w:rPr>
          <w:sz w:val="20"/>
          <w:szCs w:val="20"/>
          <w:color w:val="auto"/>
        </w:rPr>
      </w:pPr>
      <w:r>
        <w:rPr>
          <w:rFonts w:ascii="Times New Roman" w:cs="Times New Roman" w:eastAsia="Times New Roman" w:hAnsi="Times New Roman"/>
          <w:sz w:val="20"/>
          <w:szCs w:val="20"/>
          <w:color w:val="auto"/>
        </w:rPr>
        <w:t>(in thousands, except share amounts)</w:t>
      </w:r>
    </w:p>
    <w:p>
      <w:pPr>
        <w:sectPr>
          <w:pgSz w:w="15840" w:h="12240" w:orient="landscape"/>
          <w:cols w:equalWidth="0" w:num="1">
            <w:col w:w="14566"/>
          </w:cols>
          <w:pgMar w:left="774" w:top="929" w:right="5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43"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10</w:t>
            </w:r>
            <w:r>
              <w:rPr>
                <w:rFonts w:ascii="PMingLiU" w:cs="PMingLiU" w:eastAsia="PMingLiU" w:hAnsi="PMingLiU"/>
                <w:sz w:val="20"/>
                <w:szCs w:val="20"/>
                <w:color w:val="auto"/>
              </w:rPr>
              <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2022</w:t>
      </w:r>
    </w:p>
    <w:p>
      <w:pPr>
        <w:spacing w:after="0" w:line="36" w:lineRule="exact"/>
        <w:rPr>
          <w:sz w:val="20"/>
          <w:szCs w:val="20"/>
          <w:color w:val="auto"/>
        </w:rPr>
      </w:pPr>
    </w:p>
    <w:p>
      <w:pPr>
        <w:jc w:val="both"/>
        <w:ind w:left="320" w:right="80" w:hanging="118"/>
        <w:spacing w:after="0" w:line="258" w:lineRule="auto"/>
        <w:rPr>
          <w:sz w:val="20"/>
          <w:szCs w:val="20"/>
          <w:color w:val="auto"/>
        </w:rPr>
      </w:pPr>
      <w:r>
        <w:rPr>
          <w:rFonts w:ascii="Times New Roman" w:cs="Times New Roman" w:eastAsia="Times New Roman" w:hAnsi="Times New Roman"/>
          <w:sz w:val="15"/>
          <w:szCs w:val="15"/>
          <w:color w:val="auto"/>
        </w:rPr>
        <w:t>Issuance of common stock and pre-funded warrants in connection with equity offerings, net of underwriter discounts ($3,795) and issuance costs ($567)</w:t>
      </w:r>
    </w:p>
    <w:p>
      <w:pPr>
        <w:spacing w:after="0" w:line="2" w:lineRule="exact"/>
        <w:rPr>
          <w:sz w:val="20"/>
          <w:szCs w:val="20"/>
          <w:color w:val="auto"/>
        </w:rPr>
      </w:pPr>
    </w:p>
    <w:p>
      <w:pPr>
        <w:ind w:left="200"/>
        <w:spacing w:after="0" w:line="256" w:lineRule="auto"/>
        <w:rPr>
          <w:sz w:val="20"/>
          <w:szCs w:val="20"/>
          <w:color w:val="auto"/>
        </w:rPr>
      </w:pPr>
      <w:r>
        <w:rPr>
          <w:rFonts w:ascii="Times New Roman" w:cs="Times New Roman" w:eastAsia="Times New Roman" w:hAnsi="Times New Roman"/>
          <w:sz w:val="16"/>
          <w:szCs w:val="16"/>
          <w:color w:val="auto"/>
        </w:rPr>
        <w:t>Issuance of common stock under equity incentive plans Issuance of common stock under employee stock</w:t>
      </w:r>
    </w:p>
    <w:p>
      <w:pPr>
        <w:ind w:left="320"/>
        <w:spacing w:after="0"/>
        <w:rPr>
          <w:sz w:val="20"/>
          <w:szCs w:val="20"/>
          <w:color w:val="auto"/>
        </w:rPr>
      </w:pPr>
      <w:r>
        <w:rPr>
          <w:rFonts w:ascii="Times New Roman" w:cs="Times New Roman" w:eastAsia="Times New Roman" w:hAnsi="Times New Roman"/>
          <w:sz w:val="16"/>
          <w:szCs w:val="16"/>
          <w:color w:val="auto"/>
        </w:rPr>
        <w:t>purchase plan</w:t>
      </w:r>
    </w:p>
    <w:p>
      <w:pPr>
        <w:ind w:left="20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3" w:lineRule="exact"/>
        <w:rPr>
          <w:sz w:val="20"/>
          <w:szCs w:val="20"/>
          <w:color w:val="auto"/>
        </w:rPr>
      </w:pPr>
    </w:p>
    <w:p>
      <w:pPr>
        <w:ind w:left="200" w:right="380"/>
        <w:spacing w:after="0" w:line="256" w:lineRule="auto"/>
        <w:rPr>
          <w:sz w:val="20"/>
          <w:szCs w:val="20"/>
          <w:color w:val="auto"/>
        </w:rPr>
      </w:pPr>
      <w:r>
        <w:rPr>
          <w:rFonts w:ascii="Times New Roman" w:cs="Times New Roman" w:eastAsia="Times New Roman" w:hAnsi="Times New Roman"/>
          <w:sz w:val="16"/>
          <w:szCs w:val="16"/>
          <w:color w:val="auto"/>
        </w:rPr>
        <w:t>Unrealized gain on available-for-sale investments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p>
      <w:pPr>
        <w:spacing w:after="0" w:line="32"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6"/>
          <w:szCs w:val="16"/>
          <w:color w:val="auto"/>
        </w:rPr>
        <w:t>Issuance of common stock under equity incentive plans Issuance of common stock under employee stock</w:t>
      </w:r>
    </w:p>
    <w:p>
      <w:pPr>
        <w:ind w:left="320"/>
        <w:spacing w:after="0"/>
        <w:rPr>
          <w:sz w:val="20"/>
          <w:szCs w:val="20"/>
          <w:color w:val="auto"/>
        </w:rPr>
      </w:pPr>
      <w:r>
        <w:rPr>
          <w:rFonts w:ascii="Times New Roman" w:cs="Times New Roman" w:eastAsia="Times New Roman" w:hAnsi="Times New Roman"/>
          <w:sz w:val="16"/>
          <w:szCs w:val="16"/>
          <w:color w:val="auto"/>
        </w:rPr>
        <w:t>purchase plan</w:t>
      </w:r>
    </w:p>
    <w:p>
      <w:pPr>
        <w:ind w:left="320" w:right="320" w:hanging="118"/>
        <w:spacing w:after="0" w:line="247" w:lineRule="auto"/>
        <w:rPr>
          <w:sz w:val="20"/>
          <w:szCs w:val="20"/>
          <w:color w:val="auto"/>
        </w:rPr>
      </w:pPr>
      <w:r>
        <w:rPr>
          <w:rFonts w:ascii="Times New Roman" w:cs="Times New Roman" w:eastAsia="Times New Roman" w:hAnsi="Times New Roman"/>
          <w:sz w:val="16"/>
          <w:szCs w:val="16"/>
          <w:color w:val="auto"/>
        </w:rPr>
        <w:t>Issuance of common stock through ATM offering, net of commissions ($839)</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3" w:lineRule="exact"/>
        <w:rPr>
          <w:sz w:val="20"/>
          <w:szCs w:val="20"/>
          <w:color w:val="auto"/>
        </w:rPr>
      </w:pPr>
    </w:p>
    <w:p>
      <w:pPr>
        <w:ind w:left="200" w:right="380"/>
        <w:spacing w:after="0" w:line="256" w:lineRule="auto"/>
        <w:rPr>
          <w:sz w:val="20"/>
          <w:szCs w:val="20"/>
          <w:color w:val="auto"/>
        </w:rPr>
      </w:pPr>
      <w:r>
        <w:rPr>
          <w:rFonts w:ascii="Times New Roman" w:cs="Times New Roman" w:eastAsia="Times New Roman" w:hAnsi="Times New Roman"/>
          <w:sz w:val="16"/>
          <w:szCs w:val="16"/>
          <w:color w:val="auto"/>
        </w:rPr>
        <w:t>Unrealized gain on available-for-sale investments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p>
      <w:pPr>
        <w:spacing w:after="0" w:line="32" w:lineRule="exact"/>
        <w:rPr>
          <w:sz w:val="20"/>
          <w:szCs w:val="20"/>
          <w:color w:val="auto"/>
        </w:rPr>
      </w:pPr>
    </w:p>
    <w:p>
      <w:pPr>
        <w:ind w:left="200"/>
        <w:spacing w:after="0" w:line="253" w:lineRule="auto"/>
        <w:rPr>
          <w:sz w:val="20"/>
          <w:szCs w:val="20"/>
          <w:color w:val="auto"/>
        </w:rPr>
      </w:pPr>
      <w:r>
        <w:rPr>
          <w:rFonts w:ascii="Times New Roman" w:cs="Times New Roman" w:eastAsia="Times New Roman" w:hAnsi="Times New Roman"/>
          <w:sz w:val="16"/>
          <w:szCs w:val="16"/>
          <w:color w:val="auto"/>
        </w:rPr>
        <w:t>Issuance of common stock under equity incentive plans Issuance of common stock under employee stock</w:t>
      </w:r>
    </w:p>
    <w:p>
      <w:pPr>
        <w:ind w:left="320"/>
        <w:spacing w:after="0"/>
        <w:rPr>
          <w:sz w:val="20"/>
          <w:szCs w:val="20"/>
          <w:color w:val="auto"/>
        </w:rPr>
      </w:pPr>
      <w:r>
        <w:rPr>
          <w:rFonts w:ascii="Times New Roman" w:cs="Times New Roman" w:eastAsia="Times New Roman" w:hAnsi="Times New Roman"/>
          <w:sz w:val="16"/>
          <w:szCs w:val="16"/>
          <w:color w:val="auto"/>
        </w:rPr>
        <w:t>purchase plan</w:t>
      </w:r>
    </w:p>
    <w:p>
      <w:pPr>
        <w:ind w:left="320" w:right="320" w:hanging="118"/>
        <w:spacing w:after="0" w:line="247" w:lineRule="auto"/>
        <w:rPr>
          <w:sz w:val="20"/>
          <w:szCs w:val="20"/>
          <w:color w:val="auto"/>
        </w:rPr>
      </w:pPr>
      <w:r>
        <w:rPr>
          <w:rFonts w:ascii="Times New Roman" w:cs="Times New Roman" w:eastAsia="Times New Roman" w:hAnsi="Times New Roman"/>
          <w:sz w:val="16"/>
          <w:szCs w:val="16"/>
          <w:color w:val="auto"/>
        </w:rPr>
        <w:t>Issuance of common stock through ATM offering, net of commissions ($37)</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13" w:lineRule="exact"/>
        <w:rPr>
          <w:sz w:val="20"/>
          <w:szCs w:val="20"/>
          <w:color w:val="auto"/>
        </w:rPr>
      </w:pPr>
    </w:p>
    <w:p>
      <w:pPr>
        <w:ind w:left="200" w:right="400"/>
        <w:spacing w:after="0" w:line="256" w:lineRule="auto"/>
        <w:rPr>
          <w:sz w:val="20"/>
          <w:szCs w:val="20"/>
          <w:color w:val="auto"/>
        </w:rPr>
      </w:pPr>
      <w:r>
        <w:rPr>
          <w:rFonts w:ascii="Times New Roman" w:cs="Times New Roman" w:eastAsia="Times New Roman" w:hAnsi="Times New Roman"/>
          <w:sz w:val="16"/>
          <w:szCs w:val="16"/>
          <w:color w:val="auto"/>
        </w:rPr>
        <w:t>Unrealized loss on available-for-sale investments Net loss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3"/>
        </w:trPr>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4"/>
          </w:tcPr>
          <w:p>
            <w:pPr>
              <w:jc w:val="center"/>
              <w:ind w:right="300"/>
              <w:spacing w:after="0" w:line="183"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6"/>
          </w:tcPr>
          <w:p>
            <w:pPr>
              <w:jc w:val="center"/>
              <w:ind w:right="420"/>
              <w:spacing w:after="0" w:line="183"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5"/>
          </w:tcPr>
          <w:p>
            <w:pPr>
              <w:jc w:val="center"/>
              <w:ind w:right="220"/>
              <w:spacing w:after="0" w:line="183" w:lineRule="exact"/>
              <w:rPr>
                <w:sz w:val="20"/>
                <w:szCs w:val="20"/>
                <w:color w:val="auto"/>
              </w:rPr>
            </w:pPr>
            <w:r>
              <w:rPr>
                <w:rFonts w:ascii="Times New Roman" w:cs="Times New Roman" w:eastAsia="Times New Roman" w:hAnsi="Times New Roman"/>
                <w:sz w:val="16"/>
                <w:szCs w:val="16"/>
                <w:b w:val="1"/>
                <w:bCs w:val="1"/>
                <w:color w:val="auto"/>
                <w:w w:val="98"/>
              </w:rPr>
              <w:t>Total</w:t>
            </w:r>
          </w:p>
        </w:tc>
      </w:tr>
      <w:tr>
        <w:trPr>
          <w:trHeight w:val="217"/>
        </w:trPr>
        <w:tc>
          <w:tcPr>
            <w:tcW w:w="2820" w:type="dxa"/>
            <w:vAlign w:val="bottom"/>
            <w:tcBorders>
              <w:bottom w:val="single" w:sz="8" w:color="auto"/>
            </w:tcBorders>
            <w:gridSpan w:val="5"/>
          </w:tcPr>
          <w:p>
            <w:pPr>
              <w:jc w:val="right"/>
              <w:ind w:right="68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3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6"/>
          </w:tcPr>
          <w:p>
            <w:pPr>
              <w:jc w:val="center"/>
              <w:ind w:right="4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18"/>
                <w:szCs w:val="18"/>
                <w:color w:val="auto"/>
              </w:rPr>
            </w:pPr>
          </w:p>
        </w:tc>
        <w:tc>
          <w:tcPr>
            <w:tcW w:w="1580" w:type="dxa"/>
            <w:vAlign w:val="bottom"/>
            <w:gridSpan w:val="8"/>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r>
      <w:tr>
        <w:trPr>
          <w:trHeight w:val="192"/>
        </w:trPr>
        <w:tc>
          <w:tcPr>
            <w:tcW w:w="1420" w:type="dxa"/>
            <w:vAlign w:val="bottom"/>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4"/>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gridSpan w:val="6"/>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40" w:type="dxa"/>
            <w:vAlign w:val="bottom"/>
          </w:tcPr>
          <w:p>
            <w:pPr>
              <w:spacing w:after="0"/>
              <w:rPr>
                <w:sz w:val="16"/>
                <w:szCs w:val="16"/>
                <w:color w:val="auto"/>
              </w:rPr>
            </w:pPr>
          </w:p>
        </w:tc>
        <w:tc>
          <w:tcPr>
            <w:tcW w:w="1580" w:type="dxa"/>
            <w:vAlign w:val="bottom"/>
            <w:gridSpan w:val="8"/>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06"/>
        </w:trPr>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40,861,386</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top w:val="single" w:sz="8" w:color="auto"/>
            </w:tcBorders>
          </w:tcPr>
          <w:p>
            <w:pPr>
              <w:jc w:val="right"/>
              <w:ind w:right="989"/>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5"/>
                <w:szCs w:val="5"/>
                <w:color w:val="auto"/>
                <w:w w:val="7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589,735</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5"/>
                <w:szCs w:val="5"/>
                <w:color w:val="auto"/>
                <w:w w:val="78"/>
              </w:rPr>
              <w:t>$</w:t>
            </w:r>
          </w:p>
        </w:tc>
        <w:tc>
          <w:tcPr>
            <w:tcW w:w="134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(845)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(325,467)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5"/>
                <w:szCs w:val="5"/>
                <w:color w:val="auto"/>
                <w:w w:val="7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263,464</w:t>
            </w: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8,663,793</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344,213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64"/>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82,597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5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(160,805)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(160,805)</w:t>
            </w:r>
          </w:p>
        </w:tc>
      </w:tr>
      <w:tr>
        <w:trPr>
          <w:trHeight w:val="169"/>
        </w:trPr>
        <w:tc>
          <w:tcPr>
            <w:tcW w:w="14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49,951,989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50</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675,678</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256</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gridSpan w:val="3"/>
          </w:tcPr>
          <w:p>
            <w:pPr>
              <w:jc w:val="right"/>
              <w:ind w:right="40"/>
              <w:spacing w:after="0" w:line="169" w:lineRule="exact"/>
              <w:rPr>
                <w:sz w:val="20"/>
                <w:szCs w:val="20"/>
                <w:color w:val="auto"/>
              </w:rPr>
            </w:pPr>
            <w:r>
              <w:rPr>
                <w:rFonts w:ascii="Times New Roman" w:cs="Times New Roman" w:eastAsia="Times New Roman" w:hAnsi="Times New Roman"/>
                <w:sz w:val="16"/>
                <w:szCs w:val="16"/>
                <w:color w:val="auto"/>
              </w:rPr>
              <w:t>(486,272)</w:t>
            </w:r>
          </w:p>
        </w:tc>
        <w:tc>
          <w:tcPr>
            <w:tcW w:w="2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189,712</w:t>
            </w: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810,243</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91,138</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2,199,542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9"/>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5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(134,850)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(134,850)</w:t>
            </w:r>
          </w:p>
        </w:tc>
      </w:tr>
      <w:tr>
        <w:trPr>
          <w:trHeight w:val="169"/>
        </w:trPr>
        <w:tc>
          <w:tcPr>
            <w:tcW w:w="14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53,052,912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53</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734,412</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275</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gridSpan w:val="2"/>
          </w:tcPr>
          <w:p>
            <w:pPr>
              <w:jc w:val="right"/>
              <w:ind w:right="20"/>
              <w:spacing w:after="0" w:line="169" w:lineRule="exact"/>
              <w:rPr>
                <w:sz w:val="20"/>
                <w:szCs w:val="20"/>
                <w:color w:val="auto"/>
              </w:rPr>
            </w:pPr>
            <w:r>
              <w:rPr>
                <w:rFonts w:ascii="Times New Roman" w:cs="Times New Roman" w:eastAsia="Times New Roman" w:hAnsi="Times New Roman"/>
                <w:sz w:val="16"/>
                <w:szCs w:val="16"/>
                <w:color w:val="auto"/>
              </w:rPr>
              <w:t>(621,122)</w:t>
            </w:r>
          </w:p>
        </w:tc>
        <w:tc>
          <w:tcPr>
            <w:tcW w:w="2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6"/>
                <w:szCs w:val="16"/>
                <w:color w:val="auto"/>
              </w:rPr>
              <w:t>113,618</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294,454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9"/>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64,517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4"/>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976,139</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7"/>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(247)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gridSpan w:val="8"/>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(247)</w:t>
            </w:r>
          </w:p>
        </w:tc>
      </w:tr>
      <w:tr>
        <w:trPr>
          <w:trHeight w:val="219"/>
        </w:trPr>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6"/>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520" w:type="dxa"/>
            <w:vAlign w:val="bottom"/>
            <w:gridSpan w:val="5"/>
          </w:tcPr>
          <w:p>
            <w:pPr>
              <w:jc w:val="right"/>
              <w:ind w:right="220"/>
              <w:spacing w:after="0"/>
              <w:rPr>
                <w:sz w:val="20"/>
                <w:szCs w:val="20"/>
                <w:color w:val="auto"/>
              </w:rPr>
            </w:pPr>
            <w:r>
              <w:rPr>
                <w:rFonts w:ascii="Times New Roman" w:cs="Times New Roman" w:eastAsia="Times New Roman" w:hAnsi="Times New Roman"/>
                <w:sz w:val="16"/>
                <w:szCs w:val="16"/>
                <w:color w:val="auto"/>
              </w:rPr>
              <w:t>(101,695)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5"/>
          </w:tcPr>
          <w:p>
            <w:pPr>
              <w:jc w:val="right"/>
              <w:ind w:right="20"/>
              <w:spacing w:after="0"/>
              <w:rPr>
                <w:sz w:val="20"/>
                <w:szCs w:val="20"/>
                <w:color w:val="auto"/>
              </w:rPr>
            </w:pPr>
            <w:r>
              <w:rPr>
                <w:rFonts w:ascii="Times New Roman" w:cs="Times New Roman" w:eastAsia="Times New Roman" w:hAnsi="Times New Roman"/>
                <w:sz w:val="16"/>
                <w:szCs w:val="16"/>
                <w:color w:val="auto"/>
              </w:rPr>
              <w:t>(101,695)</w:t>
            </w:r>
          </w:p>
        </w:tc>
      </w:tr>
      <w:tr>
        <w:trPr>
          <w:trHeight w:val="197"/>
        </w:trPr>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54,388,022</w:t>
            </w:r>
          </w:p>
        </w:tc>
        <w:tc>
          <w:tcPr>
            <w:tcW w:w="2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gridSpan w:val="2"/>
          </w:tcPr>
          <w:p>
            <w:pPr>
              <w:jc w:val="right"/>
              <w:ind w:right="98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748,716</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gridSpan w:val="2"/>
          </w:tcPr>
          <w:p>
            <w:pPr>
              <w:jc w:val="right"/>
              <w:ind w:right="17"/>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(722,817)</w:t>
            </w:r>
          </w:p>
        </w:tc>
        <w:tc>
          <w:tcPr>
            <w:tcW w:w="280" w:type="dxa"/>
            <w:vAlign w:val="bottom"/>
            <w:gridSpan w:val="4"/>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
                <w:szCs w:val="1"/>
                <w:color w:val="auto"/>
                <w:w w:val="4294967286"/>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25,981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5840" w:h="12240" w:orient="landscape"/>
          <w:cols w:equalWidth="0" w:num="3">
            <w:col w:w="243" w:space="43"/>
            <w:col w:w="3740" w:space="660"/>
            <w:col w:w="9880"/>
          </w:cols>
          <w:pgMar w:left="774" w:top="929" w:right="500" w:bottom="1440" w:gutter="0" w:footer="0" w:header="0"/>
          <w:type w:val="continuous"/>
        </w:sectPr>
      </w:pPr>
    </w:p>
    <w:p>
      <w:pPr>
        <w:spacing w:after="0" w:line="17" w:lineRule="exact"/>
        <w:rPr>
          <w:sz w:val="20"/>
          <w:szCs w:val="20"/>
          <w:color w:val="auto"/>
        </w:rPr>
      </w:pPr>
    </w:p>
    <w:p>
      <w:pPr>
        <w:jc w:val="center"/>
        <w:ind w:right="-305"/>
        <w:spacing w:after="0"/>
        <w:rPr>
          <w:sz w:val="20"/>
          <w:szCs w:val="20"/>
          <w:color w:val="auto"/>
        </w:rPr>
      </w:pPr>
      <w:r>
        <w:rPr>
          <w:rFonts w:ascii="Times New Roman" w:cs="Times New Roman" w:eastAsia="Times New Roman" w:hAnsi="Times New Roman"/>
          <w:sz w:val="19"/>
          <w:szCs w:val="19"/>
          <w:color w:val="auto"/>
        </w:rPr>
        <w:t>The accompanying notes are an integral part of these consolidated financial statements.</w:t>
      </w:r>
    </w:p>
    <w:p>
      <w:pPr>
        <w:sectPr>
          <w:pgSz w:w="15840" w:h="12240" w:orient="landscape"/>
          <w:cols w:equalWidth="0" w:num="1">
            <w:col w:w="14566"/>
          </w:cols>
          <w:pgMar w:left="774" w:top="929" w:right="500" w:bottom="1440" w:gutter="0" w:footer="0" w:header="0"/>
          <w:type w:val="continuous"/>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ind w:right="-19"/>
        <w:spacing w:after="0"/>
        <w:rPr>
          <w:sz w:val="20"/>
          <w:szCs w:val="20"/>
          <w:color w:val="auto"/>
        </w:rPr>
      </w:pPr>
      <w:r>
        <w:rPr>
          <w:rFonts w:ascii="Times New Roman" w:cs="Times New Roman" w:eastAsia="Times New Roman" w:hAnsi="Times New Roman"/>
          <w:sz w:val="20"/>
          <w:szCs w:val="20"/>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Year Ended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12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(101,695)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(134,850)</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(160,805)</w:t>
            </w:r>
          </w:p>
        </w:tc>
        <w:tc>
          <w:tcPr>
            <w:tcW w:w="0" w:type="dxa"/>
            <w:vAlign w:val="bottom"/>
          </w:tcPr>
          <w:p>
            <w:pPr>
              <w:spacing w:after="0"/>
              <w:rPr>
                <w:sz w:val="1"/>
                <w:szCs w:val="1"/>
                <w:color w:val="auto"/>
              </w:rPr>
            </w:pPr>
          </w:p>
        </w:tc>
      </w:tr>
      <w:tr>
        <w:trPr>
          <w:trHeight w:val="197"/>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27,093</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lease costs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accretion of discounts on investments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(4,657)</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(6,487)</w:t>
            </w: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term loan discount and issuance costs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charge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fixed asset</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(692)</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197"/>
        </w:trPr>
        <w:tc>
          <w:tcPr>
            <w:tcW w:w="6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7,375</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(4,024)</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Payable and accrued liabilities due to related party</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(394)</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0" w:type="dxa"/>
            <w:vAlign w:val="bottom"/>
          </w:tcPr>
          <w:p>
            <w:pPr>
              <w:spacing w:after="0"/>
              <w:rPr>
                <w:sz w:val="1"/>
                <w:szCs w:val="1"/>
                <w:color w:val="auto"/>
              </w:rPr>
            </w:pPr>
          </w:p>
        </w:tc>
      </w:tr>
      <w:tr>
        <w:trPr>
          <w:trHeight w:val="197"/>
        </w:trPr>
        <w:tc>
          <w:tcPr>
            <w:tcW w:w="6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(12,624)</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(2,071)</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(2,353)</w:t>
            </w:r>
          </w:p>
        </w:tc>
        <w:tc>
          <w:tcPr>
            <w:tcW w:w="0" w:type="dxa"/>
            <w:vAlign w:val="bottom"/>
          </w:tcPr>
          <w:p>
            <w:pPr>
              <w:spacing w:after="0"/>
              <w:rPr>
                <w:sz w:val="1"/>
                <w:szCs w:val="1"/>
                <w:color w:val="auto"/>
              </w:rPr>
            </w:pPr>
          </w:p>
        </w:tc>
      </w:tr>
      <w:tr>
        <w:trPr>
          <w:trHeight w:val="192"/>
        </w:trPr>
        <w:tc>
          <w:tcPr>
            <w:tcW w:w="61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(84,142)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(121,912)</w:t>
            </w:r>
          </w:p>
        </w:tc>
        <w:tc>
          <w:tcPr>
            <w:tcW w:w="2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(130,364)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investments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(51,593)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(107,406)</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(246,629)</w:t>
            </w: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Maturities of investments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134,391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194,109</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292,560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(447)</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(1,274)</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82,586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86,256</w:t>
            </w:r>
          </w:p>
        </w:tc>
        <w:tc>
          <w:tcPr>
            <w:tcW w:w="2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44,657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20" w:type="dxa"/>
            <w:vAlign w:val="bottom"/>
          </w:tcPr>
          <w:p>
            <w:pPr>
              <w:ind w:left="200"/>
              <w:spacing w:after="0" w:line="183" w:lineRule="exact"/>
              <w:rPr>
                <w:sz w:val="20"/>
                <w:szCs w:val="20"/>
                <w:color w:val="auto"/>
              </w:rPr>
            </w:pPr>
            <w:r>
              <w:rPr>
                <w:rFonts w:ascii="Times New Roman" w:cs="Times New Roman" w:eastAsia="Times New Roman" w:hAnsi="Times New Roman"/>
                <w:sz w:val="16"/>
                <w:szCs w:val="16"/>
                <w:color w:val="auto"/>
              </w:rPr>
              <w:t>Proceeds from equity offerings, net of underwriter discounts ($3,795) and issuance costs</w:t>
            </w: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($567)</w:t>
            </w:r>
          </w:p>
        </w:tc>
        <w:tc>
          <w:tcPr>
            <w:tcW w:w="30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ATM offering, net of commissions</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29,661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exercise of stock options under equity incentive plan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issuance of common stock under employee stock purchase plan</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payments on finance leases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(827)</w:t>
            </w:r>
          </w:p>
        </w:tc>
        <w:tc>
          <w:tcPr>
            <w:tcW w:w="2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0" w:type="dxa"/>
            <w:vAlign w:val="bottom"/>
          </w:tcPr>
          <w:p>
            <w:pPr>
              <w:spacing w:after="0"/>
              <w:rPr>
                <w:sz w:val="1"/>
                <w:szCs w:val="1"/>
                <w:color w:val="auto"/>
              </w:rPr>
            </w:pPr>
          </w:p>
        </w:tc>
      </w:tr>
      <w:tr>
        <w:trPr>
          <w:trHeight w:val="198"/>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Principal payments on term loan</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30,817</w:t>
            </w:r>
          </w:p>
        </w:tc>
        <w:tc>
          <w:tcPr>
            <w:tcW w:w="2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59,291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cash equivalents and restricted cash</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(4,839)</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17,633</w:t>
            </w:r>
          </w:p>
        </w:tc>
        <w:tc>
          <w:tcPr>
            <w:tcW w:w="260" w:type="dxa"/>
            <w:vAlign w:val="bottom"/>
          </w:tcPr>
          <w:p>
            <w:pPr>
              <w:spacing w:after="0"/>
              <w:rPr>
                <w:sz w:val="16"/>
                <w:szCs w:val="16"/>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61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2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26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 in accounts payable and accrued expenses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w:t>
            </w:r>
          </w:p>
        </w:tc>
        <w:tc>
          <w:tcPr>
            <w:tcW w:w="1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w:t>
            </w:r>
          </w:p>
        </w:tc>
        <w:tc>
          <w:tcPr>
            <w:tcW w:w="26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Right-of-use asset (modified) acquired under finance leases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26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16,373</w:t>
            </w:r>
          </w:p>
        </w:tc>
        <w:tc>
          <w:tcPr>
            <w:tcW w:w="1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17,567</w:t>
            </w:r>
          </w:p>
        </w:tc>
        <w:tc>
          <w:tcPr>
            <w:tcW w:w="260" w:type="dxa"/>
            <w:vAlign w:val="bottom"/>
          </w:tcPr>
          <w:p>
            <w:pPr>
              <w:spacing w:after="0"/>
              <w:rPr>
                <w:sz w:val="17"/>
                <w:szCs w:val="17"/>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1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16,439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17,633</w:t>
            </w:r>
          </w:p>
        </w:tc>
        <w:tc>
          <w:tcPr>
            <w:tcW w:w="260" w:type="dxa"/>
            <w:vAlign w:val="bottom"/>
          </w:tcPr>
          <w:p>
            <w:pPr>
              <w:spacing w:after="0"/>
              <w:rPr>
                <w:sz w:val="16"/>
                <w:szCs w:val="16"/>
                <w:color w:val="auto"/>
              </w:rPr>
            </w:pP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-6149975</wp:posOffset>
            </wp:positionV>
            <wp:extent cx="291274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2912745" cy="38100"/>
                    </a:xfrm>
                    <a:prstGeom prst="rect">
                      <a:avLst/>
                    </a:prstGeom>
                    <a:noFill/>
                  </pic:spPr>
                </pic:pic>
              </a:graphicData>
            </a:graphic>
          </wp:anchor>
        </w:drawing>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2240" w:h="15840" w:orient="portrait"/>
          <w:cols w:equalWidth="0" w:num="1">
            <w:col w:w="10700"/>
          </w:cols>
          <w:pgMar w:left="760" w:top="974"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2240" w:h="15840" w:orient="portrait"/>
          <w:cols w:equalWidth="0" w:num="1">
            <w:col w:w="10700"/>
          </w:cols>
          <w:pgMar w:left="760" w:top="974" w:right="780" w:bottom="246" w:gutter="0" w:footer="0" w:header="0"/>
          <w:type w:val="continuous"/>
        </w:sectPr>
      </w:pPr>
    </w:p>
    <w:bookmarkStart w:id="116" w:name="page117"/>
    <w:bookmarkEnd w:id="116"/>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3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05" w:lineRule="exact"/>
        <w:rPr>
          <w:sz w:val="20"/>
          <w:szCs w:val="20"/>
          <w:color w:val="auto"/>
        </w:rPr>
      </w:pPr>
    </w:p>
    <w:p>
      <w:pPr>
        <w:ind w:left="483" w:right="8840" w:hanging="483"/>
        <w:spacing w:after="0" w:line="376" w:lineRule="auto"/>
        <w:tabs>
          <w:tab w:leader="none" w:pos="278" w:val="left"/>
        </w:tabs>
        <w:numPr>
          <w:ilvl w:val="0"/>
          <w:numId w:val="6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ORGANIZATION </w:t>
      </w:r>
      <w:r>
        <w:rPr>
          <w:rFonts w:ascii="Times New Roman" w:cs="Times New Roman" w:eastAsia="Times New Roman" w:hAnsi="Times New Roman"/>
          <w:sz w:val="19"/>
          <w:szCs w:val="19"/>
          <w:b w:val="1"/>
          <w:bCs w:val="1"/>
          <w:i w:val="1"/>
          <w:iCs w:val="1"/>
          <w:color w:val="auto"/>
        </w:rPr>
        <w:t>Organization</w:t>
      </w:r>
    </w:p>
    <w:p>
      <w:pPr>
        <w:spacing w:after="0" w:line="1" w:lineRule="exact"/>
        <w:rPr>
          <w:sz w:val="20"/>
          <w:szCs w:val="20"/>
          <w:color w:val="auto"/>
        </w:rPr>
      </w:pPr>
    </w:p>
    <w:p>
      <w:pPr>
        <w:ind w:left="3" w:right="360" w:firstLine="486"/>
        <w:spacing w:after="0" w:line="250" w:lineRule="auto"/>
        <w:rPr>
          <w:sz w:val="20"/>
          <w:szCs w:val="20"/>
          <w:color w:val="auto"/>
        </w:rPr>
      </w:pPr>
      <w:r>
        <w:rPr>
          <w:rFonts w:ascii="Times New Roman" w:cs="Times New Roman" w:eastAsia="Times New Roman" w:hAnsi="Times New Roman"/>
          <w:sz w:val="20"/>
          <w:szCs w:val="20"/>
          <w:color w:val="auto"/>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biotechnology company advancing a pipeline of novel therapies designed to treat cancer and extend patients’ lives.</w:t>
      </w:r>
    </w:p>
    <w:p>
      <w:pPr>
        <w:spacing w:after="0" w:line="75" w:lineRule="exact"/>
        <w:rPr>
          <w:sz w:val="20"/>
          <w:szCs w:val="20"/>
          <w:color w:val="auto"/>
        </w:rPr>
      </w:pPr>
    </w:p>
    <w:p>
      <w:pPr>
        <w:ind w:left="3" w:right="100" w:firstLine="486"/>
        <w:spacing w:after="0" w:line="256" w:lineRule="auto"/>
        <w:rPr>
          <w:sz w:val="20"/>
          <w:szCs w:val="20"/>
          <w:color w:val="auto"/>
        </w:rPr>
      </w:pPr>
      <w:r>
        <w:rPr>
          <w:rFonts w:ascii="Times New Roman" w:cs="Times New Roman" w:eastAsia="Times New Roman" w:hAnsi="Times New Roman"/>
          <w:sz w:val="20"/>
          <w:szCs w:val="20"/>
          <w:color w:val="auto"/>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spacing w:after="0" w:line="69" w:lineRule="exact"/>
        <w:rPr>
          <w:sz w:val="20"/>
          <w:szCs w:val="20"/>
          <w:color w:val="auto"/>
        </w:rPr>
      </w:pPr>
    </w:p>
    <w:p>
      <w:pPr>
        <w:ind w:left="3" w:right="40" w:firstLine="486"/>
        <w:spacing w:after="0" w:line="276" w:lineRule="auto"/>
        <w:rPr>
          <w:sz w:val="20"/>
          <w:szCs w:val="20"/>
          <w:color w:val="auto"/>
        </w:rPr>
      </w:pPr>
      <w:r>
        <w:rPr>
          <w:rFonts w:ascii="Times New Roman" w:cs="Times New Roman" w:eastAsia="Times New Roman" w:hAnsi="Times New Roman"/>
          <w:sz w:val="19"/>
          <w:szCs w:val="19"/>
          <w:color w:val="auto"/>
        </w:rPr>
        <w:t>As of December 31, 2025,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spacing w:after="0" w:line="51" w:lineRule="exact"/>
        <w:rPr>
          <w:sz w:val="20"/>
          <w:szCs w:val="20"/>
          <w:color w:val="auto"/>
        </w:rPr>
      </w:pPr>
    </w:p>
    <w:p>
      <w:pPr>
        <w:ind w:left="3" w:firstLine="486"/>
        <w:spacing w:after="0" w:line="242" w:lineRule="auto"/>
        <w:rPr>
          <w:sz w:val="20"/>
          <w:szCs w:val="20"/>
          <w:color w:val="auto"/>
        </w:rPr>
      </w:pPr>
      <w:r>
        <w:rPr>
          <w:rFonts w:ascii="Times New Roman" w:cs="Times New Roman" w:eastAsia="Times New Roman" w:hAnsi="Times New Roman"/>
          <w:sz w:val="20"/>
          <w:szCs w:val="20"/>
          <w:color w:val="auto"/>
        </w:rPr>
        <w:t>The Company expects to incur additional losses in the future to conduct product candidate research and development and to conduct pre-commercialization activities and recognizes that the Company will likely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which includes the capital raised during the February 2026 Offering (see Note 14), will be sufficient to fund the projected operating requirements for at least the next twelve months.</w:t>
      </w:r>
    </w:p>
    <w:p>
      <w:pPr>
        <w:spacing w:after="0" w:line="3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(2) SIGNIFICANT ACCOUNTING POLICIES</w:t>
      </w:r>
    </w:p>
    <w:p>
      <w:pPr>
        <w:spacing w:after="0" w:line="122"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Basis of Preparation</w:t>
      </w:r>
    </w:p>
    <w:p>
      <w:pPr>
        <w:spacing w:after="0" w:line="118" w:lineRule="exact"/>
        <w:rPr>
          <w:sz w:val="20"/>
          <w:szCs w:val="20"/>
          <w:color w:val="auto"/>
        </w:rPr>
      </w:pPr>
    </w:p>
    <w:p>
      <w:pPr>
        <w:jc w:val="both"/>
        <w:ind w:left="3" w:right="140" w:firstLine="486"/>
        <w:spacing w:after="0" w:line="256" w:lineRule="auto"/>
        <w:rPr>
          <w:sz w:val="20"/>
          <w:szCs w:val="20"/>
          <w:color w:val="auto"/>
        </w:rPr>
      </w:pPr>
      <w:r>
        <w:rPr>
          <w:rFonts w:ascii="Times New Roman" w:cs="Times New Roman" w:eastAsia="Times New Roman" w:hAnsi="Times New Roman"/>
          <w:sz w:val="20"/>
          <w:szCs w:val="20"/>
          <w:color w:val="auto"/>
        </w:rPr>
        <w:t>These consolidated financial statements have been prepared in accordance with accounting principles generally accepted in the United States of America, or U.S. GAAP, and the applicable rules and regulations of the U.S. Securities and Exchange Commission, or SEC.</w:t>
      </w:r>
    </w:p>
    <w:p>
      <w:pPr>
        <w:spacing w:after="0" w:line="188"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Principles of Consolidation</w:t>
      </w:r>
    </w:p>
    <w:p>
      <w:pPr>
        <w:spacing w:after="0" w:line="118"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color w:val="auto"/>
        </w:rPr>
        <w:t>All intercompany balances and transactions have been eliminated in consolidation.</w:t>
      </w:r>
    </w:p>
    <w:p>
      <w:pPr>
        <w:spacing w:after="0" w:line="237"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118" w:lineRule="exact"/>
        <w:rPr>
          <w:sz w:val="20"/>
          <w:szCs w:val="20"/>
          <w:color w:val="auto"/>
        </w:rPr>
      </w:pPr>
    </w:p>
    <w:p>
      <w:pPr>
        <w:ind w:left="3" w:right="20" w:firstLine="486"/>
        <w:spacing w:after="0" w:line="243"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conformity with U.S. GAAP requires the Company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the Company evaluates its estimates, including, but not limited to, those related to the estimated useful lives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the Company believes to be reasonable under the circumstances and adjusts those estimates and assumptions when facts and circumstances change. Actual results could differ from those estimates.</w:t>
      </w:r>
    </w:p>
    <w:p>
      <w:pPr>
        <w:spacing w:after="0" w:line="203"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8" w:lineRule="exact"/>
        <w:rPr>
          <w:sz w:val="20"/>
          <w:szCs w:val="20"/>
          <w:color w:val="auto"/>
        </w:rPr>
      </w:pPr>
    </w:p>
    <w:p>
      <w:pPr>
        <w:ind w:left="3" w:right="160" w:firstLine="486"/>
        <w:spacing w:after="0" w:line="250" w:lineRule="auto"/>
        <w:rPr>
          <w:sz w:val="20"/>
          <w:szCs w:val="20"/>
          <w:color w:val="auto"/>
        </w:rPr>
      </w:pPr>
      <w:r>
        <w:rPr>
          <w:rFonts w:ascii="Times New Roman" w:cs="Times New Roman" w:eastAsia="Times New Roman" w:hAnsi="Times New Roman"/>
          <w:sz w:val="20"/>
          <w:szCs w:val="20"/>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funds and U.S. government agency securities that are stated at cost, which approximate fair value.</w:t>
      </w:r>
    </w:p>
    <w:p>
      <w:pPr>
        <w:sectPr>
          <w:pgSz w:w="12240" w:h="15840" w:orient="portrait"/>
          <w:cols w:equalWidth="0" w:num="1">
            <w:col w:w="10723"/>
          </w:cols>
          <w:pgMar w:left="757" w:top="974"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107</w:t>
      </w:r>
    </w:p>
    <w:p>
      <w:pPr>
        <w:sectPr>
          <w:pgSz w:w="12240" w:h="15840" w:orient="portrait"/>
          <w:cols w:equalWidth="0" w:num="1">
            <w:col w:w="10723"/>
          </w:cols>
          <w:pgMar w:left="757" w:top="974" w:right="760" w:bottom="246" w:gutter="0" w:footer="0" w:header="0"/>
          <w:type w:val="continuous"/>
        </w:sectPr>
      </w:pPr>
    </w:p>
    <w:bookmarkStart w:id="117" w:name="page118"/>
    <w:bookmarkEnd w:id="117"/>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Investments</w:t>
      </w:r>
    </w:p>
    <w:p>
      <w:pPr>
        <w:spacing w:after="0" w:line="118" w:lineRule="exact"/>
        <w:rPr>
          <w:sz w:val="20"/>
          <w:szCs w:val="20"/>
          <w:color w:val="auto"/>
        </w:rPr>
      </w:pPr>
    </w:p>
    <w:p>
      <w:pPr>
        <w:ind w:right="100" w:firstLine="486"/>
        <w:spacing w:after="0" w:line="245" w:lineRule="auto"/>
        <w:rPr>
          <w:sz w:val="20"/>
          <w:szCs w:val="20"/>
          <w:color w:val="auto"/>
        </w:rPr>
      </w:pPr>
      <w:r>
        <w:rPr>
          <w:rFonts w:ascii="Times New Roman" w:cs="Times New Roman" w:eastAsia="Times New Roman" w:hAnsi="Times New Roman"/>
          <w:sz w:val="20"/>
          <w:szCs w:val="20"/>
          <w:color w:val="auto"/>
        </w:rPr>
        <w:t>Investments consist of money market funds, U.S. Treasury securities, U.S. government agency securities, corporate debt securities, and commercial paper. The Company’s investments are classified as available-for-sale and carried at estimated fair values and reported in cash equivalents, short-term investments and long-term investments. The Company determines the appropriate classification of the investments at the time they are purchased and evaluates the appropriateness of such classifications at each balance sheet date. Investments with contractual maturities greater than 12 months are considered long-term investments. The Company has elected to use transaction settlement date as the purchase date of investments.</w:t>
      </w:r>
    </w:p>
    <w:p>
      <w:pPr>
        <w:spacing w:after="0" w:line="81"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20"/>
          <w:szCs w:val="20"/>
          <w:color w:val="auto"/>
        </w:rPr>
        <w:t>The Company regularly reviews its investments for declines in estimated fair value below amortized cost. The factors considered in determining whether a credit loss exists include the creditworthiness of the security issuers, the number of investments in an unrealized loss position, the severity and duration of the unrealized losses, and whether it is more likely than not that the Company will be required to sell the investments before the recovery of their amortized cost basis. The cost of investments sold is based on the specific identification method. In circumstances when an unrealized loss is determined to be credit- related, or when the Company intends to sell or is more likely than not required to sell a security before it recovers its amortized cost basis, the difference between the fair value and the amortized cost of the security is recognized within other income (expense), net in the consolidated statements of operations, and an allowance for credit loss is recorded on the consolidated balance sheets. In circumstances when the decline in fair value is non-credit related, the difference is reported in accumulated other comprehensive loss, net of tax, as a separate component of consolidated stockholders’ equity.</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Concentration of Credit Risk, Credit Losses and Other Risks and Uncertainties</w:t>
      </w:r>
    </w:p>
    <w:p>
      <w:pPr>
        <w:spacing w:after="0" w:line="118"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9"/>
          <w:szCs w:val="19"/>
          <w:color w:val="auto"/>
        </w:rPr>
        <w:t>Financial instruments that potentially subject the Company to a concentration of credit risk consist primarily of cash, cash equivalents, and investments. The primary objectives for the Company’s investment portfolio are the preservation of capital and the maintenance of liquidity. The Company maintains deposits in federally insured financial institutions in excess of federally insured limits. The Company is exposed to credit risk in the event of default by the financial institutions holding its cash, cash equivalents and investments and issuers of investments. The Company manages its credit risk by holding its cash, cash equivalents and investments in large financial institutions within the U.S. In addition, the Company’s investment policy limits investments to certain types of instruments such as money market funds, debt securities issued by the U.S. government and its agencies, corporate debt securities, commercial paper as well as asset-backed securities, and places restrictions on the credit ratings, maturities and concentration by type and issuer. The Company has not experienced any realized losses on its deposits of cash, cash equivalents and investments.</w:t>
      </w:r>
    </w:p>
    <w:p>
      <w:pPr>
        <w:spacing w:after="0" w:line="70"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20"/>
          <w:szCs w:val="20"/>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81" w:lineRule="exact"/>
        <w:rPr>
          <w:sz w:val="20"/>
          <w:szCs w:val="20"/>
          <w:color w:val="auto"/>
        </w:rPr>
      </w:pPr>
    </w:p>
    <w:p>
      <w:pPr>
        <w:ind w:right="220" w:firstLine="486"/>
        <w:spacing w:after="0" w:line="250" w:lineRule="auto"/>
        <w:rPr>
          <w:sz w:val="20"/>
          <w:szCs w:val="20"/>
          <w:color w:val="auto"/>
        </w:rPr>
      </w:pPr>
      <w:r>
        <w:rPr>
          <w:rFonts w:ascii="Times New Roman" w:cs="Times New Roman" w:eastAsia="Times New Roman" w:hAnsi="Times New Roman"/>
          <w:sz w:val="20"/>
          <w:szCs w:val="20"/>
          <w:color w:val="auto"/>
        </w:rPr>
        <w:t>The Company’s product candidates require approvals from the U.S. Food and Drug Administration, or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18" w:lineRule="exact"/>
        <w:rPr>
          <w:sz w:val="20"/>
          <w:szCs w:val="20"/>
          <w:color w:val="auto"/>
        </w:rPr>
      </w:pPr>
    </w:p>
    <w:p>
      <w:pPr>
        <w:ind w:right="80" w:firstLine="487"/>
        <w:spacing w:after="0" w:line="245"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Depreciation of property and equipment is provided using the straight-line method over the estimated useful lives of the assets. Leasehold improvements are amortized on a straight-line basis over the shorter of the term of the lease, or the useful life of the assets. Upon sale or retirement of assets, the cost and related accumulated depreciation or amortization are removed from the consolidated balance sheets and the resulting gain or loss is reflected in the consolidated statements of operations. Maintenance and repairs are charged to the consolidated statements of operations as incurred.</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18" w:lineRule="exact"/>
        <w:rPr>
          <w:sz w:val="20"/>
          <w:szCs w:val="20"/>
          <w:color w:val="auto"/>
        </w:rPr>
      </w:pPr>
    </w:p>
    <w:p>
      <w:pPr>
        <w:jc w:val="both"/>
        <w:ind w:right="200" w:firstLine="486"/>
        <w:spacing w:after="0" w:line="256" w:lineRule="auto"/>
        <w:rPr>
          <w:sz w:val="20"/>
          <w:szCs w:val="20"/>
          <w:color w:val="auto"/>
        </w:rPr>
      </w:pPr>
      <w:r>
        <w:rPr>
          <w:rFonts w:ascii="Times New Roman" w:cs="Times New Roman" w:eastAsia="Times New Roman" w:hAnsi="Times New Roman"/>
          <w:sz w:val="20"/>
          <w:szCs w:val="20"/>
          <w:color w:val="auto"/>
        </w:rPr>
        <w:t>The Company determines if an arrangement contains a lease at inception. For arrangements where the Company is the lessee, leases are included in operating or finance lease right-of-use, or ROU, assets; current operating or finance lease liabilities; and non-current operating or finance lease liabilities.</w:t>
      </w:r>
    </w:p>
    <w:p>
      <w:pPr>
        <w:sectPr>
          <w:pgSz w:w="12240" w:h="15840" w:orient="portrait"/>
          <w:cols w:equalWidth="0" w:num="1">
            <w:col w:w="10660"/>
          </w:cols>
          <w:pgMar w:left="760" w:top="978" w:right="82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ectPr>
          <w:pgSz w:w="12240" w:h="15840" w:orient="portrait"/>
          <w:cols w:equalWidth="0" w:num="1">
            <w:col w:w="10660"/>
          </w:cols>
          <w:pgMar w:left="760" w:top="978" w:right="820" w:bottom="246" w:gutter="0" w:footer="0" w:header="0"/>
          <w:type w:val="continuous"/>
        </w:sectPr>
      </w:pPr>
    </w:p>
    <w:bookmarkStart w:id="118" w:name="page119"/>
    <w:bookmarkEnd w:id="118"/>
    <w:p>
      <w:pPr>
        <w:ind w:right="60" w:firstLine="486"/>
        <w:spacing w:after="0" w:line="242" w:lineRule="auto"/>
        <w:rPr>
          <w:sz w:val="20"/>
          <w:szCs w:val="20"/>
          <w:color w:val="auto"/>
        </w:rPr>
      </w:pPr>
      <w:r>
        <w:rPr>
          <w:rFonts w:ascii="Times New Roman" w:cs="Times New Roman" w:eastAsia="Times New Roman" w:hAnsi="Times New Roman"/>
          <w:sz w:val="20"/>
          <w:szCs w:val="20"/>
          <w:color w:val="auto"/>
        </w:rPr>
        <w:t>Lease ROU assets and lease liabilities are recognized based on the present value of the future minimum lease payments over the lease term at the commencement date. ROU assets also include any initial direct costs incurred and any lease payments made on or before the lease commencement date, less lease incentives received. The Company uses its incremental borrowing rate based on the information available at the commencement date in determining the lease liabilities as the Company’s leases generally do not provide an implicit rate. The incremental borrowing rate is reevaluated upon a lease modification. Lease terms may include options to extend or terminate the lease when the Company is reasonably certain that the option will be exercised. Lease expense for operating leases is recognized on a straight-line basis over the lease term. For finance leases, ROU assets are amortized on a straight-line basis over the shorter of the expected useful life or the lease term, and the carrying amount of the lease liability is adjusted to reflect interest, which is recorded in interest expense.</w:t>
      </w:r>
    </w:p>
    <w:p>
      <w:pPr>
        <w:spacing w:after="0" w:line="88" w:lineRule="exact"/>
        <w:rPr>
          <w:sz w:val="20"/>
          <w:szCs w:val="20"/>
          <w:color w:val="auto"/>
        </w:rPr>
      </w:pPr>
    </w:p>
    <w:p>
      <w:pPr>
        <w:ind w:right="480" w:firstLine="486"/>
        <w:spacing w:after="0" w:line="274" w:lineRule="auto"/>
        <w:rPr>
          <w:sz w:val="20"/>
          <w:szCs w:val="20"/>
          <w:color w:val="auto"/>
        </w:rPr>
      </w:pPr>
      <w:r>
        <w:rPr>
          <w:rFonts w:ascii="Times New Roman" w:cs="Times New Roman" w:eastAsia="Times New Roman" w:hAnsi="Times New Roman"/>
          <w:sz w:val="20"/>
          <w:szCs w:val="20"/>
          <w:color w:val="auto"/>
        </w:rPr>
        <w:t>A short-term lease is a lease that, at the commencement date, has a lease term of 12 months or less and does not include an option to purchase the underlying asset that the lessee is reasonably certain to exercise.</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18"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20"/>
          <w:szCs w:val="20"/>
          <w:color w:val="auto"/>
        </w:rPr>
        <w:t>The Company reviews long-lived assets for impairment whenever events or changes in circumstances indicate that the carrying amount of an asset or asset group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Fair Value of Financial Instruments</w:t>
      </w:r>
    </w:p>
    <w:p>
      <w:pPr>
        <w:spacing w:after="0" w:line="118"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20"/>
          <w:szCs w:val="20"/>
          <w:color w:val="auto"/>
        </w:rPr>
        <w:t xml:space="preserve">The fair value of the Company’s financial assets and liabilities are determined in accordance with the fair value hierarchy established in Accounting Standards Codification (ASC)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820 requires an entity to maximize the use of observable inputs when measuring fair value and classifies those inputs into three levels:</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Level 1—Observable inputs, such as quoted prices in active markets;</w:t>
      </w:r>
    </w:p>
    <w:p>
      <w:pPr>
        <w:spacing w:after="0" w:line="118" w:lineRule="exact"/>
        <w:rPr>
          <w:sz w:val="20"/>
          <w:szCs w:val="20"/>
          <w:color w:val="auto"/>
        </w:rPr>
      </w:pPr>
    </w:p>
    <w:p>
      <w:pPr>
        <w:ind w:left="480" w:right="40"/>
        <w:spacing w:after="0" w:line="256" w:lineRule="auto"/>
        <w:rPr>
          <w:sz w:val="20"/>
          <w:szCs w:val="20"/>
          <w:color w:val="auto"/>
        </w:rPr>
      </w:pPr>
      <w:r>
        <w:rPr>
          <w:rFonts w:ascii="Times New Roman" w:cs="Times New Roman" w:eastAsia="Times New Roman" w:hAnsi="Times New Roman"/>
          <w:sz w:val="20"/>
          <w:szCs w:val="20"/>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 and</w:t>
      </w:r>
    </w:p>
    <w:p>
      <w:pPr>
        <w:spacing w:after="0" w:line="69" w:lineRule="exact"/>
        <w:rPr>
          <w:sz w:val="20"/>
          <w:szCs w:val="20"/>
          <w:color w:val="auto"/>
        </w:rPr>
      </w:pPr>
    </w:p>
    <w:p>
      <w:pPr>
        <w:ind w:left="480" w:right="280"/>
        <w:spacing w:after="0" w:line="274" w:lineRule="auto"/>
        <w:rPr>
          <w:sz w:val="20"/>
          <w:szCs w:val="20"/>
          <w:color w:val="auto"/>
        </w:rPr>
      </w:pPr>
      <w:r>
        <w:rPr>
          <w:rFonts w:ascii="Times New Roman" w:cs="Times New Roman" w:eastAsia="Times New Roman" w:hAnsi="Times New Roman"/>
          <w:sz w:val="20"/>
          <w:szCs w:val="20"/>
          <w:color w:val="auto"/>
        </w:rPr>
        <w:t>Level 3—Unobservable inputs in which there is little or no market data, which require the reporting entity to develop its own assumptions.</w:t>
      </w:r>
    </w:p>
    <w:p>
      <w:pPr>
        <w:spacing w:after="0" w:line="51" w:lineRule="exact"/>
        <w:rPr>
          <w:sz w:val="20"/>
          <w:szCs w:val="20"/>
          <w:color w:val="auto"/>
        </w:rPr>
      </w:pPr>
    </w:p>
    <w:p>
      <w:pPr>
        <w:ind w:right="80" w:firstLine="487"/>
        <w:spacing w:after="0" w:line="274" w:lineRule="auto"/>
        <w:rPr>
          <w:sz w:val="20"/>
          <w:szCs w:val="20"/>
          <w:color w:val="auto"/>
        </w:rPr>
      </w:pPr>
      <w:r>
        <w:rPr>
          <w:rFonts w:ascii="Times New Roman" w:cs="Times New Roman" w:eastAsia="Times New Roman" w:hAnsi="Times New Roman"/>
          <w:sz w:val="20"/>
          <w:szCs w:val="20"/>
          <w:color w:val="auto"/>
        </w:rPr>
        <w:t>Assets and liabilities measured at fair value are classified in their entirety based on the lowest level of input that is significant to the fair value measurement.</w:t>
      </w:r>
    </w:p>
    <w:p>
      <w:pPr>
        <w:spacing w:after="0" w:line="51" w:lineRule="exact"/>
        <w:rPr>
          <w:sz w:val="20"/>
          <w:szCs w:val="20"/>
          <w:color w:val="auto"/>
        </w:rPr>
      </w:pPr>
    </w:p>
    <w:p>
      <w:pPr>
        <w:ind w:right="240" w:firstLine="487"/>
        <w:spacing w:after="0" w:line="250" w:lineRule="auto"/>
        <w:rPr>
          <w:sz w:val="20"/>
          <w:szCs w:val="20"/>
          <w:color w:val="auto"/>
        </w:rPr>
      </w:pPr>
      <w:r>
        <w:rPr>
          <w:rFonts w:ascii="Times New Roman" w:cs="Times New Roman" w:eastAsia="Times New Roman" w:hAnsi="Times New Roman"/>
          <w:sz w:val="20"/>
          <w:szCs w:val="20"/>
          <w:color w:val="auto"/>
        </w:rPr>
        <w:t>As of December 31, 2025 and 2024, the carrying amount of cash equivalents, prepaid expenses and other current assets, accounts payable and accrued liabilities approximated their estimated fair value due to their relatively short maturities. The carrying amount of our non-current debt approximates fair value based on Level 2 inputs since the debt carries a variable interest rate that is tied to the current SOFR rate plus a spread.</w:t>
      </w:r>
    </w:p>
    <w:p>
      <w:pPr>
        <w:spacing w:after="0" w:line="75" w:lineRule="exact"/>
        <w:rPr>
          <w:sz w:val="20"/>
          <w:szCs w:val="20"/>
          <w:color w:val="auto"/>
        </w:rPr>
      </w:pPr>
    </w:p>
    <w:p>
      <w:pPr>
        <w:ind w:firstLine="487"/>
        <w:spacing w:after="0" w:line="242" w:lineRule="auto"/>
        <w:rPr>
          <w:sz w:val="20"/>
          <w:szCs w:val="20"/>
          <w:color w:val="auto"/>
        </w:rPr>
      </w:pPr>
      <w:r>
        <w:rPr>
          <w:rFonts w:ascii="Times New Roman" w:cs="Times New Roman" w:eastAsia="Times New Roman" w:hAnsi="Times New Roman"/>
          <w:sz w:val="20"/>
          <w:szCs w:val="20"/>
          <w:color w:val="auto"/>
        </w:rPr>
        <w:t>The Company classifies money market funds and U.S. treasury securities as Level 1 within the fair value hierarchy as the fair value is based on quoted prices. The Company classifies its investments in U.S. government agency securities, corporate debt securities, commercial paper, and asset-backed securities as Level 2 within the fair value hierarchy as the fair value is estimated by third-party pricing sources using quoted prices for identical or similar instruments in markets that are not active and industry-standard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2240" w:h="15840" w:orient="portrait"/>
          <w:cols w:equalWidth="0" w:num="1">
            <w:col w:w="10720"/>
          </w:cols>
          <w:pgMar w:left="760" w:top="978" w:right="760" w:bottom="246" w:gutter="0" w:footer="0" w:header="0"/>
          <w:type w:val="continuous"/>
        </w:sectPr>
      </w:pPr>
    </w:p>
    <w:bookmarkStart w:id="119" w:name="page120"/>
    <w:bookmarkEnd w:id="119"/>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Issuance Costs</w:t>
      </w:r>
    </w:p>
    <w:p>
      <w:pPr>
        <w:spacing w:after="0" w:line="118" w:lineRule="exact"/>
        <w:rPr>
          <w:sz w:val="20"/>
          <w:szCs w:val="20"/>
          <w:color w:val="auto"/>
        </w:rPr>
      </w:pPr>
    </w:p>
    <w:p>
      <w:pPr>
        <w:ind w:right="280" w:firstLine="486"/>
        <w:spacing w:after="0" w:line="247" w:lineRule="auto"/>
        <w:rPr>
          <w:sz w:val="20"/>
          <w:szCs w:val="20"/>
          <w:color w:val="auto"/>
        </w:rPr>
      </w:pPr>
      <w:r>
        <w:rPr>
          <w:rFonts w:ascii="Times New Roman" w:cs="Times New Roman" w:eastAsia="Times New Roman" w:hAnsi="Times New Roman"/>
          <w:sz w:val="20"/>
          <w:szCs w:val="20"/>
          <w:color w:val="auto"/>
        </w:rPr>
        <w:t>Debt issuance costs consist of payments made to secure commitments under certain debt financing arrangements. These amounts are recognized as interest expense over the period of the financing arrangement using the effective interest method. If the financing arrangement is canceled or forfeited, or if the utility of the arrangement to the Company is otherwise compromised, these costs are recognized as interest expense immediately. The Company’s consolidated financial statements present debt issuance costs related to a recognized debt liability as a direct reduction from the carrying amount of that debt liability.</w:t>
      </w:r>
    </w:p>
    <w:p>
      <w:pPr>
        <w:spacing w:after="0" w:line="78" w:lineRule="exact"/>
        <w:rPr>
          <w:sz w:val="20"/>
          <w:szCs w:val="20"/>
          <w:color w:val="auto"/>
        </w:rPr>
      </w:pPr>
    </w:p>
    <w:p>
      <w:pPr>
        <w:ind w:right="100" w:firstLine="486"/>
        <w:spacing w:after="0" w:line="244" w:lineRule="auto"/>
        <w:rPr>
          <w:sz w:val="20"/>
          <w:szCs w:val="20"/>
          <w:color w:val="auto"/>
        </w:rPr>
      </w:pPr>
      <w:r>
        <w:rPr>
          <w:rFonts w:ascii="Times New Roman" w:cs="Times New Roman" w:eastAsia="Times New Roman" w:hAnsi="Times New Roman"/>
          <w:sz w:val="20"/>
          <w:szCs w:val="20"/>
          <w:color w:val="auto"/>
        </w:rPr>
        <w:t>Equity issuance costs consist of certain legal, professional, accounting and third-party fees directly associated with in-process equity financings. These amounts are capitalized as deferred offering costs until such financings are consummated. After consummation of the equity financing, these costs are recorded in stockholders’ equity as a reduction of additional paid-in capital generated as a result of the equity financing. In the event an anticipated offering is terminated or significantly delayed, deferred offering costs will be immediately expensed as part of general and administrative expenses. As of December 31, 2025 and 2024, no deferred offering costs were included as prepaid expenses and other current assets on the consolidated balance sheets, and all offering costs were offset against offering proceeds and reclassified to additional paid-in capital on the consolidated balance sheets.</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118" w:lineRule="exact"/>
        <w:rPr>
          <w:sz w:val="20"/>
          <w:szCs w:val="20"/>
          <w:color w:val="auto"/>
        </w:rPr>
      </w:pPr>
    </w:p>
    <w:p>
      <w:pPr>
        <w:ind w:right="40" w:firstLine="487"/>
        <w:spacing w:after="0" w:line="244" w:lineRule="auto"/>
        <w:rPr>
          <w:sz w:val="20"/>
          <w:szCs w:val="20"/>
          <w:color w:val="auto"/>
        </w:rPr>
      </w:pPr>
      <w:r>
        <w:rPr>
          <w:rFonts w:ascii="Times New Roman" w:cs="Times New Roman" w:eastAsia="Times New Roman" w:hAnsi="Times New Roman"/>
          <w:sz w:val="20"/>
          <w:szCs w:val="20"/>
          <w:color w:val="auto"/>
        </w:rPr>
        <w:t>Research and development costs are expensed as incurred and consist primarily of salaries and benefits, stock-based compensation expense, lab supplies and facility costs, as well as fees paid to nonemployees and external entities on behalf of the Company, such as consultants, central laboratories, contractors, collaborators, contract manufacturing organizations, or CMOs, and contract research organizations, or CROs, in connection with our preclinical and clinical development activities and expenses incurred in connection with license agreements.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Clinical and Contract Manufacturing Accruals</w:t>
      </w:r>
    </w:p>
    <w:p>
      <w:pPr>
        <w:spacing w:after="0" w:line="118" w:lineRule="exact"/>
        <w:rPr>
          <w:sz w:val="20"/>
          <w:szCs w:val="20"/>
          <w:color w:val="auto"/>
        </w:rPr>
      </w:pPr>
    </w:p>
    <w:p>
      <w:pPr>
        <w:ind w:right="40" w:firstLine="486"/>
        <w:spacing w:after="0" w:line="242" w:lineRule="auto"/>
        <w:rPr>
          <w:sz w:val="20"/>
          <w:szCs w:val="20"/>
          <w:color w:val="auto"/>
        </w:rPr>
      </w:pPr>
      <w:r>
        <w:rPr>
          <w:rFonts w:ascii="Times New Roman" w:cs="Times New Roman" w:eastAsia="Times New Roman" w:hAnsi="Times New Roman"/>
          <w:sz w:val="20"/>
          <w:szCs w:val="20"/>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CROs and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 To assist in its estimates, the Company relies upon the receipt of timely and accurate reporting from its clinical and non-clinical studies and other third-party vendors.</w:t>
      </w:r>
    </w:p>
    <w:p>
      <w:pPr>
        <w:spacing w:after="0" w:line="81"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20"/>
          <w:szCs w:val="20"/>
          <w:color w:val="auto"/>
        </w:rPr>
        <w:t>The Company makes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Through December 31, 2025,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the actual services performed, and related costs may vary from the Company’s estimates, resulting in adjustments to clinical trial expense in future periods.</w:t>
      </w:r>
    </w:p>
    <w:p>
      <w:pPr>
        <w:spacing w:after="0" w:line="20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w:t>
      </w:r>
    </w:p>
    <w:p>
      <w:pPr>
        <w:spacing w:after="0" w:line="118"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20"/>
          <w:szCs w:val="20"/>
          <w:color w:val="auto"/>
        </w:rPr>
        <w:t>The Company incurs stock-based compensation expense primarily from stock options, restricted stock units, or RSUs, and ESPP purchase rights.</w:t>
      </w:r>
    </w:p>
    <w:p>
      <w:pPr>
        <w:spacing w:after="0" w:line="51"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20"/>
          <w:szCs w:val="20"/>
          <w:color w:val="auto"/>
        </w:rPr>
        <w:t>The Company estimates the fair value of stock options granted to employees, directors and non-employees and ESPP purchase rights using the Black-Scholes option-pricing model. The Black-Scholes model requires the input of subjective assumptions, including expected volatility, expected dividend yield, expected term, risk-free rate of return and the estimated fair value of the underlying common stock on the date of grant. The grant-date fair value of RSUs is the fair value of the underlying stock on the award’s grant date.</w:t>
      </w: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2240" w:h="15840" w:orient="portrait"/>
          <w:cols w:equalWidth="0" w:num="1">
            <w:col w:w="10720"/>
          </w:cols>
          <w:pgMar w:left="760" w:top="978" w:right="760" w:bottom="246" w:gutter="0" w:footer="0" w:header="0"/>
          <w:type w:val="continuous"/>
        </w:sectPr>
      </w:pPr>
    </w:p>
    <w:bookmarkStart w:id="120" w:name="page121"/>
    <w:bookmarkEnd w:id="120"/>
    <w:p>
      <w:pPr>
        <w:ind w:right="20" w:firstLine="486"/>
        <w:spacing w:after="0" w:line="244" w:lineRule="auto"/>
        <w:rPr>
          <w:sz w:val="20"/>
          <w:szCs w:val="20"/>
          <w:color w:val="auto"/>
        </w:rPr>
      </w:pPr>
      <w:r>
        <w:rPr>
          <w:rFonts w:ascii="Times New Roman" w:cs="Times New Roman" w:eastAsia="Times New Roman" w:hAnsi="Times New Roman"/>
          <w:sz w:val="20"/>
          <w:szCs w:val="20"/>
          <w:color w:val="auto"/>
        </w:rPr>
        <w:t>For awards with only service-based vesting conditions, the Company uses the straight-line method to allocate compensation expense to reporting periods over the requisite service period, which is generally the vesting period. For awards that include performance-based vesting conditions, the Company uses the accelerated attribution method to allocate compensation expense on a tranche-by-tranche basis to reporting periods over the requisite service period if and when it becomes probable that the performance condition will be achieved. At each reporting period, the Company will assess the probability of the performance condition being met for each tranche and, as applicable, recognize the cumulative effect of the change in estimate in the period of the change. The Company accounts for the effect of forfeitures as they occur.</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Segment Reporting</w:t>
      </w:r>
    </w:p>
    <w:p>
      <w:pPr>
        <w:spacing w:after="0" w:line="118" w:lineRule="exact"/>
        <w:rPr>
          <w:sz w:val="20"/>
          <w:szCs w:val="20"/>
          <w:color w:val="auto"/>
        </w:rPr>
      </w:pPr>
    </w:p>
    <w:p>
      <w:pPr>
        <w:ind w:right="240" w:firstLine="486"/>
        <w:spacing w:after="0" w:line="247" w:lineRule="auto"/>
        <w:rPr>
          <w:sz w:val="20"/>
          <w:szCs w:val="20"/>
          <w:color w:val="auto"/>
        </w:rPr>
      </w:pPr>
      <w:r>
        <w:rPr>
          <w:rFonts w:ascii="Times New Roman" w:cs="Times New Roman" w:eastAsia="Times New Roman" w:hAnsi="Times New Roman"/>
          <w:sz w:val="20"/>
          <w:szCs w:val="20"/>
          <w:color w:val="auto"/>
        </w:rPr>
        <w:t>Operating segments are defined as components of an entity for which separate financial information is available and that is regularly reviewed by the chief operating decision maker (CODM) in deciding how to allocate resources and in assessing performance. The Company’s CODM is its chief executive officer. The Company manages its operations as a single operating segment. All of the Company’s long-lived assets are located in the United States. Refer to “Note 3. Segment Reporting” for further information.</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Transactions</w:t>
      </w:r>
    </w:p>
    <w:p>
      <w:pPr>
        <w:spacing w:after="0" w:line="118" w:lineRule="exact"/>
        <w:rPr>
          <w:sz w:val="20"/>
          <w:szCs w:val="20"/>
          <w:color w:val="auto"/>
        </w:rPr>
      </w:pPr>
    </w:p>
    <w:p>
      <w:pPr>
        <w:ind w:right="60" w:firstLine="487"/>
        <w:spacing w:after="0" w:line="247" w:lineRule="auto"/>
        <w:rPr>
          <w:sz w:val="20"/>
          <w:szCs w:val="20"/>
          <w:color w:val="auto"/>
        </w:rPr>
      </w:pPr>
      <w:r>
        <w:rPr>
          <w:rFonts w:ascii="Times New Roman" w:cs="Times New Roman" w:eastAsia="Times New Roman" w:hAnsi="Times New Roman"/>
          <w:sz w:val="20"/>
          <w:szCs w:val="20"/>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statements of operations and recorded in other income (expense), net, and were immaterial for the years ended December 31, 2025, 2024 and 2023.</w:t>
      </w:r>
    </w:p>
    <w:p>
      <w:pPr>
        <w:spacing w:after="0" w:line="19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8"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9"/>
          <w:szCs w:val="19"/>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64" w:lineRule="exact"/>
        <w:rPr>
          <w:sz w:val="20"/>
          <w:szCs w:val="20"/>
          <w:color w:val="auto"/>
        </w:rPr>
      </w:pPr>
    </w:p>
    <w:p>
      <w:pPr>
        <w:ind w:right="120" w:firstLine="486"/>
        <w:spacing w:after="0" w:line="242" w:lineRule="auto"/>
        <w:rPr>
          <w:sz w:val="20"/>
          <w:szCs w:val="20"/>
          <w:color w:val="auto"/>
        </w:rPr>
      </w:pPr>
      <w:r>
        <w:rPr>
          <w:rFonts w:ascii="Times New Roman" w:cs="Times New Roman" w:eastAsia="Times New Roman" w:hAnsi="Times New Roman"/>
          <w:sz w:val="20"/>
          <w:szCs w:val="20"/>
          <w:color w:val="auto"/>
        </w:rPr>
        <w:t>Deferred income taxes comprise the impact of temporary differences between assets and liabilities recognized for financial reporting purposes and the amounts recognized for income tax reporting purposes, net operating loss carryforwards, and other tax credits measured by applying currently enacted tax laws. A valuation allowance is provided when necessary to reduce deferred tax assets to an amount that is more likely than not to be realized. If the Company determines that it would be able to realize its deferred tax assets in the future in excess of their net recorded amount, it would make an adjustment to the deferred tax asset valuation allowance, which would reduce the provision for income taxes. 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Comprehensive loss consists of net loss and changes in unrealized gains and losses on investments for all periods presented.</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 Attributable to Common Stockholders</w:t>
      </w:r>
    </w:p>
    <w:p>
      <w:pPr>
        <w:spacing w:after="0" w:line="118" w:lineRule="exact"/>
        <w:rPr>
          <w:sz w:val="20"/>
          <w:szCs w:val="20"/>
          <w:color w:val="auto"/>
        </w:rPr>
      </w:pPr>
    </w:p>
    <w:p>
      <w:pPr>
        <w:ind w:right="140" w:firstLine="486"/>
        <w:spacing w:after="0" w:line="245" w:lineRule="auto"/>
        <w:rPr>
          <w:sz w:val="20"/>
          <w:szCs w:val="20"/>
          <w:color w:val="auto"/>
        </w:rPr>
      </w:pPr>
      <w:r>
        <w:rPr>
          <w:rFonts w:ascii="Times New Roman" w:cs="Times New Roman" w:eastAsia="Times New Roman" w:hAnsi="Times New Roman"/>
          <w:sz w:val="20"/>
          <w:szCs w:val="20"/>
          <w:color w:val="auto"/>
        </w:rPr>
        <w:t>Basic net loss per share is calculated by dividing the net loss attributable to common stockholders by the weighted-average number of shares of common stock and pre-funded warrants outstanding during the period, without consideration for common stock equivalents. Shares of common stock into which the pre-funded warrants may be exercised are considered outstanding for the purposes of computing net loss per share because the shares may be issued for little or no consideration, are fully vested, and are exercisable after the original issuance date. Diluted net loss per share is the same as basic net loss per share, since the effects of potentially dilutive securities are antidilutive given the net loss for each period presented.</w:t>
      </w:r>
    </w:p>
    <w:p>
      <w:pPr>
        <w:sectPr>
          <w:pgSz w:w="12240" w:h="15840" w:orient="portrait"/>
          <w:cols w:equalWidth="0" w:num="1">
            <w:col w:w="10640"/>
          </w:cols>
          <w:pgMar w:left="760" w:top="978" w:right="84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111</w:t>
      </w:r>
    </w:p>
    <w:p>
      <w:pPr>
        <w:sectPr>
          <w:pgSz w:w="12240" w:h="15840" w:orient="portrait"/>
          <w:cols w:equalWidth="0" w:num="1">
            <w:col w:w="10640"/>
          </w:cols>
          <w:pgMar w:left="760" w:top="978" w:right="840" w:bottom="246" w:gutter="0" w:footer="0" w:header="0"/>
          <w:type w:val="continuous"/>
        </w:sectPr>
      </w:pPr>
    </w:p>
    <w:bookmarkStart w:id="121" w:name="page122"/>
    <w:bookmarkEnd w:id="121"/>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Recently Adopted Accounting Pronouncements</w:t>
      </w:r>
    </w:p>
    <w:p>
      <w:pPr>
        <w:spacing w:after="0" w:line="118"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i w:val="1"/>
          <w:iCs w:val="1"/>
          <w:color w:val="auto"/>
        </w:rPr>
        <w:t>Income Taxes (Topic 740): Improvements to Income Tax Disclosures</w:t>
      </w:r>
      <w:r>
        <w:rPr>
          <w:rFonts w:ascii="Times New Roman" w:cs="Times New Roman" w:eastAsia="Times New Roman" w:hAnsi="Times New Roman"/>
          <w:sz w:val="20"/>
          <w:szCs w:val="20"/>
          <w:color w:val="auto"/>
        </w:rPr>
        <w:t xml:space="preserve"> (ASU 2023 -09).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adopted ASU 2023-09 on January 1, 2025 on a retrospective basis. The adoption did not have a material impact on the Company’s consolidated financial statements. Refer to “Note 11. Income Taxes” for disclosure related to the adoption of ASU 2023-09.</w:t>
      </w:r>
    </w:p>
    <w:p>
      <w:pPr>
        <w:spacing w:after="0" w:line="20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Accounting Pronouncements Not Yet Adopted</w:t>
      </w:r>
    </w:p>
    <w:p>
      <w:pPr>
        <w:spacing w:after="0" w:line="118"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i w:val="1"/>
          <w:iCs w:val="1"/>
          <w:color w:val="auto"/>
        </w:rPr>
        <w:t>Income Statement Reporting - Comprehensive Income - 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Disaggregation Disclosures (Subtopic 220-40): Disaggregation of Income Statement Expenses </w:t>
      </w:r>
      <w:r>
        <w:rPr>
          <w:rFonts w:ascii="Times New Roman" w:cs="Times New Roman" w:eastAsia="Times New Roman" w:hAnsi="Times New Roman"/>
          <w:sz w:val="20"/>
          <w:szCs w:val="20"/>
          <w:color w:val="auto"/>
        </w:rPr>
        <w:t>(ASU 2024-03). ASU 2024-03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requires disaggregated disclosure of certain costs and 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spacing w:after="0" w:line="82" w:lineRule="exact"/>
        <w:rPr>
          <w:sz w:val="20"/>
          <w:szCs w:val="20"/>
          <w:color w:val="auto"/>
        </w:rPr>
      </w:pPr>
    </w:p>
    <w:p>
      <w:pPr>
        <w:ind w:right="140" w:firstLine="486"/>
        <w:spacing w:after="0" w:line="263" w:lineRule="auto"/>
        <w:rPr>
          <w:sz w:val="20"/>
          <w:szCs w:val="20"/>
          <w:color w:val="auto"/>
        </w:rPr>
      </w:pPr>
      <w:r>
        <w:rPr>
          <w:rFonts w:ascii="Times New Roman" w:cs="Times New Roman" w:eastAsia="Times New Roman" w:hAnsi="Times New Roman"/>
          <w:sz w:val="19"/>
          <w:szCs w:val="19"/>
          <w:color w:val="auto"/>
        </w:rPr>
        <w:t xml:space="preserve">In December 2025, the FASB issued ASU 2025-11, </w:t>
      </w:r>
      <w:r>
        <w:rPr>
          <w:rFonts w:ascii="Times New Roman" w:cs="Times New Roman" w:eastAsia="Times New Roman" w:hAnsi="Times New Roman"/>
          <w:sz w:val="19"/>
          <w:szCs w:val="19"/>
          <w:i w:val="1"/>
          <w:iCs w:val="1"/>
          <w:color w:val="auto"/>
        </w:rPr>
        <w:t>Interim Reporting (Topic 270): Narrow-Scope Improvements</w:t>
      </w:r>
      <w:r>
        <w:rPr>
          <w:rFonts w:ascii="Times New Roman" w:cs="Times New Roman" w:eastAsia="Times New Roman" w:hAnsi="Times New Roman"/>
          <w:sz w:val="19"/>
          <w:szCs w:val="19"/>
          <w:color w:val="auto"/>
        </w:rPr>
        <w:t xml:space="preserve"> (ASU 2025-11). ASU 2025-11 clarifies interim disclosure requirements and the applicability of Topic 270. ASU 2025-11 is effective for annual periods beginning after December 15, 2027 and interim periods beginning after December 15, 2028. Early adoption is permitted. The guidance can be applied either on a prospective basis or a retrospective basis to any or all prior periods presented in the financial statements. The Company is evaluating the impact of this guidance on its consolidated financial statements and related disclosures.</w:t>
      </w:r>
    </w:p>
    <w:p>
      <w:pPr>
        <w:spacing w:after="0" w:line="64"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20"/>
          <w:szCs w:val="20"/>
          <w:color w:val="auto"/>
        </w:rPr>
        <w:t xml:space="preserve">In December 2025, the FASB issued ASU 2025-12, </w:t>
      </w:r>
      <w:r>
        <w:rPr>
          <w:rFonts w:ascii="Times New Roman" w:cs="Times New Roman" w:eastAsia="Times New Roman" w:hAnsi="Times New Roman"/>
          <w:sz w:val="20"/>
          <w:szCs w:val="20"/>
          <w:i w:val="1"/>
          <w:iCs w:val="1"/>
          <w:color w:val="auto"/>
        </w:rPr>
        <w:t>Codification Improvements</w:t>
      </w:r>
      <w:r>
        <w:rPr>
          <w:rFonts w:ascii="Times New Roman" w:cs="Times New Roman" w:eastAsia="Times New Roman" w:hAnsi="Times New Roman"/>
          <w:sz w:val="20"/>
          <w:szCs w:val="20"/>
          <w:color w:val="auto"/>
        </w:rPr>
        <w:t xml:space="preserve"> (ASU 2025-12). ASU 2025-12 aims to make the Codification easier to understand and apply by making changes to the Codification that (1) clarify, (2) correct errors, or (3) make minor improvements. ASU 2025-12 is effective for annual periods beginning after December 15, 2026, including interim periods within those annual periods. Early adoption is permitted. The guidance can be applied on a prospective or retrospective basis. The Company is evaluating the impact of this guidance on its consolidated financial statements and related disclosures.</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SEGMENT REPORTING</w:t>
      </w:r>
    </w:p>
    <w:p>
      <w:pPr>
        <w:spacing w:after="0" w:line="12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20"/>
          <w:szCs w:val="20"/>
          <w:color w:val="auto"/>
        </w:rPr>
        <w:t>The Company manages its operations as a single operating segment. The Company’s CODM uses consolidated, single-segment financial information for the purposes of assessing performance, making operating decisions, allocating resources, and planning and forecasting for future periods.</w:t>
      </w:r>
    </w:p>
    <w:p>
      <w:pPr>
        <w:spacing w:after="0" w:line="69" w:lineRule="exact"/>
        <w:rPr>
          <w:sz w:val="20"/>
          <w:szCs w:val="20"/>
          <w:color w:val="auto"/>
        </w:rPr>
      </w:pPr>
    </w:p>
    <w:p>
      <w:pPr>
        <w:jc w:val="both"/>
        <w:ind w:right="620" w:firstLine="486"/>
        <w:spacing w:after="0" w:line="256" w:lineRule="auto"/>
        <w:rPr>
          <w:sz w:val="20"/>
          <w:szCs w:val="20"/>
          <w:color w:val="auto"/>
        </w:rPr>
      </w:pPr>
      <w:r>
        <w:rPr>
          <w:rFonts w:ascii="Times New Roman" w:cs="Times New Roman" w:eastAsia="Times New Roman" w:hAnsi="Times New Roman"/>
          <w:sz w:val="20"/>
          <w:szCs w:val="20"/>
          <w:color w:val="auto"/>
        </w:rPr>
        <w:t>The CODM assesses performance and decides how to allocate resources based on the Company’s consolidated net loss, including key components of research and development costs and general and administrative costs. These measures are used to monitor budget versus actual results and to evaluate the performance of the segment.</w:t>
      </w:r>
    </w:p>
    <w:p>
      <w:pPr>
        <w:spacing w:after="0" w:line="69" w:lineRule="exact"/>
        <w:rPr>
          <w:sz w:val="20"/>
          <w:szCs w:val="20"/>
          <w:color w:val="auto"/>
        </w:rPr>
      </w:pPr>
    </w:p>
    <w:p>
      <w:pPr>
        <w:ind w:right="480" w:firstLine="486"/>
        <w:spacing w:after="0" w:line="274" w:lineRule="auto"/>
        <w:rPr>
          <w:sz w:val="20"/>
          <w:szCs w:val="20"/>
          <w:color w:val="auto"/>
        </w:rPr>
      </w:pPr>
      <w:r>
        <w:rPr>
          <w:rFonts w:ascii="Times New Roman" w:cs="Times New Roman" w:eastAsia="Times New Roman" w:hAnsi="Times New Roman"/>
          <w:sz w:val="20"/>
          <w:szCs w:val="20"/>
          <w:color w:val="auto"/>
        </w:rPr>
        <w:t>The CODM reviews cash, cash equivalents and investments as a measure of segment assets. As of December 31, 2025 and 2024, the Company’s cash, cash equivalents and investments were $48.3 million and $131.3 million, respectively.</w:t>
      </w: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2240" w:h="15840" w:orient="portrait"/>
          <w:cols w:equalWidth="0" w:num="1">
            <w:col w:w="10720"/>
          </w:cols>
          <w:pgMar w:left="760" w:top="978" w:right="760" w:bottom="246" w:gutter="0" w:footer="0" w:header="0"/>
          <w:type w:val="continuous"/>
        </w:sectPr>
      </w:pPr>
    </w:p>
    <w:bookmarkStart w:id="122" w:name="page123"/>
    <w:bookmarkEnd w:id="122"/>
    <w:p>
      <w:pPr>
        <w:ind w:right="560" w:firstLine="486"/>
        <w:spacing w:after="0" w:line="274" w:lineRule="auto"/>
        <w:rPr>
          <w:sz w:val="20"/>
          <w:szCs w:val="20"/>
          <w:color w:val="auto"/>
        </w:rPr>
      </w:pPr>
      <w:r>
        <w:rPr>
          <w:rFonts w:ascii="Times New Roman" w:cs="Times New Roman" w:eastAsia="Times New Roman" w:hAnsi="Times New Roman"/>
          <w:sz w:val="20"/>
          <w:szCs w:val="20"/>
          <w:color w:val="auto"/>
        </w:rPr>
        <w:t>The following table presents the significant segment expenses for the years ended December 31, 2025, 2024 and 2023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3"/>
          </w:tcPr>
          <w:p>
            <w:pPr>
              <w:jc w:val="center"/>
              <w:ind w:right="52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gridSpan w:val="3"/>
          </w:tcPr>
          <w:p>
            <w:pPr>
              <w:jc w:val="center"/>
              <w:ind w:right="5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Research and development expenses: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Clinical and development costs</w:t>
            </w:r>
          </w:p>
        </w:tc>
        <w:tc>
          <w:tcPr>
            <w:tcW w:w="32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44,418</w:t>
            </w:r>
          </w:p>
        </w:tc>
        <w:tc>
          <w:tcPr>
            <w:tcW w:w="18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61,868</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99,362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Preclinical costs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6,717</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Personnel and related costs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17,037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23,085</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19,407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18,490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research costs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7,231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6,213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research and development expenses</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76,996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116,373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General and administrative expenses:</w:t>
            </w:r>
          </w:p>
        </w:tc>
        <w:tc>
          <w:tcPr>
            <w:tcW w:w="3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Personnel and related costs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8,672</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7,619</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general and administrative costs</w:t>
            </w: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8,804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9,872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9,775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general and administrative expenses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26,094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28,483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Impairment charge:</w:t>
            </w: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Impairment of long-lived assets</w:t>
            </w: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3,175</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Total impairment charge</w:t>
            </w:r>
          </w:p>
        </w:tc>
        <w:tc>
          <w:tcPr>
            <w:tcW w:w="3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Loss from operations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(104,021)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(142,467)</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(170,278)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Interest income</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9,366</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Interest expense</w:t>
            </w:r>
          </w:p>
        </w:tc>
        <w:tc>
          <w:tcPr>
            <w:tcW w:w="32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(1,602)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(1,729)</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(1,565)</w:t>
            </w:r>
          </w:p>
        </w:tc>
        <w:tc>
          <w:tcPr>
            <w:tcW w:w="0" w:type="dxa"/>
            <w:vAlign w:val="bottom"/>
          </w:tcPr>
          <w:p>
            <w:pPr>
              <w:spacing w:after="0"/>
              <w:rPr>
                <w:sz w:val="1"/>
                <w:szCs w:val="1"/>
                <w:color w:val="auto"/>
              </w:rPr>
            </w:pPr>
          </w:p>
        </w:tc>
      </w:tr>
      <w:tr>
        <w:trPr>
          <w:trHeight w:val="248"/>
        </w:trPr>
        <w:tc>
          <w:tcPr>
            <w:tcW w:w="51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32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(20)</w:t>
            </w: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Net loss</w:t>
            </w:r>
          </w:p>
        </w:tc>
        <w:tc>
          <w:tcPr>
            <w:tcW w:w="32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(101,695)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(134,850)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(160,805)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3239770</wp:posOffset>
            </wp:positionH>
            <wp:positionV relativeFrom="paragraph">
              <wp:posOffset>-3358515</wp:posOffset>
            </wp:positionV>
            <wp:extent cx="353441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3534410" cy="3810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(4) FAIR VALUE OF FINANCIAL INSTRUMENTS</w:t>
      </w:r>
    </w:p>
    <w:p>
      <w:pPr>
        <w:spacing w:after="0" w:line="117" w:lineRule="exact"/>
        <w:rPr>
          <w:sz w:val="20"/>
          <w:szCs w:val="20"/>
          <w:color w:val="auto"/>
        </w:rPr>
      </w:pPr>
    </w:p>
    <w:p>
      <w:pPr>
        <w:ind w:right="140" w:firstLine="486"/>
        <w:spacing w:after="0" w:line="274" w:lineRule="auto"/>
        <w:rPr>
          <w:sz w:val="20"/>
          <w:szCs w:val="20"/>
          <w:color w:val="auto"/>
        </w:rPr>
      </w:pPr>
      <w:r>
        <w:rPr>
          <w:rFonts w:ascii="Times New Roman" w:cs="Times New Roman" w:eastAsia="Times New Roman" w:hAnsi="Times New Roman"/>
          <w:sz w:val="20"/>
          <w:szCs w:val="20"/>
          <w:color w:val="auto"/>
        </w:rPr>
        <w:t>The following table presents the Company’s financial assets that are measured at fair value on a recurring basis by level within the fair value hierarchy as of December 31, 2025 and 2024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620" w:type="dxa"/>
            <w:vAlign w:val="bottom"/>
          </w:tcPr>
          <w:p>
            <w:pPr>
              <w:spacing w:after="0"/>
              <w:rPr>
                <w:sz w:val="23"/>
                <w:szCs w:val="23"/>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Fair Value</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00" w:type="dxa"/>
            <w:vAlign w:val="bottom"/>
            <w:gridSpan w:val="4"/>
          </w:tcPr>
          <w:p>
            <w:pPr>
              <w:ind w:left="80"/>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vMerge w:val="restart"/>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w w:val="98"/>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120" w:type="dxa"/>
            <w:vAlign w:val="bottom"/>
          </w:tcPr>
          <w:p>
            <w:pPr>
              <w:spacing w:after="0"/>
              <w:rPr>
                <w:sz w:val="18"/>
                <w:szCs w:val="18"/>
                <w:color w:val="auto"/>
              </w:rPr>
            </w:pPr>
          </w:p>
        </w:tc>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20"/>
                <w:szCs w:val="20"/>
                <w:b w:val="1"/>
                <w:bCs w:val="1"/>
                <w:color w:val="auto"/>
              </w:rPr>
              <w:t>Unrealized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26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w w:val="97"/>
              </w:rPr>
              <w:t>Hierarchy</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52"/>
        </w:trPr>
        <w:tc>
          <w:tcPr>
            <w:tcW w:w="3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1"/>
              <w:spacing w:after="0"/>
              <w:rPr>
                <w:sz w:val="20"/>
                <w:szCs w:val="20"/>
                <w:color w:val="auto"/>
              </w:rPr>
            </w:pPr>
            <w:r>
              <w:rPr>
                <w:rFonts w:ascii="Times New Roman" w:cs="Times New Roman" w:eastAsia="Times New Roman" w:hAnsi="Times New Roman"/>
                <w:sz w:val="20"/>
                <w:szCs w:val="20"/>
                <w:b w:val="1"/>
                <w:bCs w:val="1"/>
                <w:color w:val="auto"/>
              </w:rPr>
              <w:t>Cost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9"/>
              </w:rPr>
              <w:t>Gains</w:t>
            </w:r>
          </w:p>
        </w:tc>
        <w:tc>
          <w:tcPr>
            <w:tcW w:w="120" w:type="dxa"/>
            <w:vAlign w:val="bottom"/>
          </w:tcPr>
          <w:p>
            <w:pPr>
              <w:spacing w:after="0"/>
              <w:rPr>
                <w:sz w:val="21"/>
                <w:szCs w:val="21"/>
                <w:color w:val="auto"/>
              </w:rPr>
            </w:pPr>
          </w:p>
        </w:tc>
        <w:tc>
          <w:tcPr>
            <w:tcW w:w="112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620" w:type="dxa"/>
            <w:vAlign w:val="bottom"/>
            <w:vMerge w:val="continue"/>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14,682</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securities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5,467</w:t>
            </w: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996</w:t>
            </w: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19,194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19,215</w:t>
            </w: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Commercial paper</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ind w:left="90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2,739</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2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2</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3,493</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3,494</w:t>
            </w:r>
          </w:p>
        </w:tc>
        <w:tc>
          <w:tcPr>
            <w:tcW w:w="0" w:type="dxa"/>
            <w:vAlign w:val="bottom"/>
          </w:tcPr>
          <w:p>
            <w:pPr>
              <w:spacing w:after="0"/>
              <w:rPr>
                <w:sz w:val="1"/>
                <w:szCs w:val="1"/>
                <w:color w:val="auto"/>
              </w:rPr>
            </w:pPr>
          </w:p>
        </w:tc>
      </w:tr>
      <w:tr>
        <w:trPr>
          <w:trHeight w:val="237"/>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46,565</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20"/>
                <w:szCs w:val="20"/>
                <w:color w:val="auto"/>
                <w:w w:val="99"/>
              </w:rPr>
              <w:t>—</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46,593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-2052955</wp:posOffset>
            </wp:positionV>
            <wp:extent cx="450659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4506595" cy="38100"/>
                    </a:xfrm>
                    <a:prstGeom prst="rect">
                      <a:avLst/>
                    </a:prstGeom>
                    <a:noFill/>
                  </pic:spPr>
                </pic:pic>
              </a:graphicData>
            </a:graphic>
          </wp:anchor>
        </w:drawing>
      </w:r>
    </w:p>
    <w:p>
      <w:pPr>
        <w:sectPr>
          <w:pgSz w:w="12240" w:h="15840" w:orient="portrait"/>
          <w:cols w:equalWidth="0" w:num="1">
            <w:col w:w="10700"/>
          </w:cols>
          <w:pgMar w:left="760" w:top="978"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2240" w:h="15840" w:orient="portrait"/>
          <w:cols w:equalWidth="0" w:num="1">
            <w:col w:w="10700"/>
          </w:cols>
          <w:pgMar w:left="760" w:top="978" w:right="780" w:bottom="246"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273"/>
        </w:trPr>
        <w:tc>
          <w:tcPr>
            <w:tcW w:w="3620" w:type="dxa"/>
            <w:vAlign w:val="bottom"/>
          </w:tcPr>
          <w:p>
            <w:pPr>
              <w:spacing w:after="0"/>
              <w:rPr>
                <w:sz w:val="23"/>
                <w:szCs w:val="2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2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December 31, 2024</w:t>
            </w: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vMerge w:val="restart"/>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Amortized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120" w:type="dxa"/>
            <w:vAlign w:val="bottom"/>
          </w:tcPr>
          <w:p>
            <w:pPr>
              <w:spacing w:after="0"/>
              <w:rPr>
                <w:sz w:val="18"/>
                <w:szCs w:val="18"/>
                <w:color w:val="auto"/>
              </w:rPr>
            </w:pPr>
          </w:p>
        </w:tc>
        <w:tc>
          <w:tcPr>
            <w:tcW w:w="13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w w:val="98"/>
              </w:rPr>
              <w:t>Unrealized</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20" w:type="dxa"/>
            <w:vAlign w:val="bottom"/>
          </w:tcPr>
          <w:p>
            <w:pPr>
              <w:spacing w:after="0"/>
              <w:rPr>
                <w:sz w:val="19"/>
                <w:szCs w:val="19"/>
                <w:color w:val="auto"/>
              </w:rPr>
            </w:pPr>
          </w:p>
        </w:tc>
        <w:tc>
          <w:tcPr>
            <w:tcW w:w="1280" w:type="dxa"/>
            <w:vAlign w:val="bottom"/>
          </w:tcPr>
          <w:p>
            <w:pPr>
              <w:jc w:val="center"/>
              <w:spacing w:after="0" w:line="229" w:lineRule="exact"/>
              <w:rPr>
                <w:sz w:val="20"/>
                <w:szCs w:val="20"/>
                <w:color w:val="auto"/>
              </w:rPr>
            </w:pPr>
            <w:r>
              <w:rPr>
                <w:rFonts w:ascii="Times New Roman" w:cs="Times New Roman" w:eastAsia="Times New Roman" w:hAnsi="Times New Roman"/>
                <w:sz w:val="20"/>
                <w:szCs w:val="20"/>
                <w:b w:val="1"/>
                <w:bCs w:val="1"/>
                <w:color w:val="auto"/>
              </w:rPr>
              <w:t>Hierarchy</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Level</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Cost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9"/>
              </w:rPr>
              <w:t>Gains</w:t>
            </w:r>
          </w:p>
        </w:tc>
        <w:tc>
          <w:tcPr>
            <w:tcW w:w="120" w:type="dxa"/>
            <w:vAlign w:val="bottom"/>
          </w:tcPr>
          <w:p>
            <w:pPr>
              <w:spacing w:after="0"/>
              <w:rPr>
                <w:sz w:val="21"/>
                <w:szCs w:val="21"/>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Losses</w:t>
            </w:r>
          </w:p>
        </w:tc>
        <w:tc>
          <w:tcPr>
            <w:tcW w:w="120" w:type="dxa"/>
            <w:vAlign w:val="bottom"/>
          </w:tcPr>
          <w:p>
            <w:pPr>
              <w:spacing w:after="0"/>
              <w:rPr>
                <w:sz w:val="21"/>
                <w:szCs w:val="21"/>
                <w:color w:val="auto"/>
              </w:rPr>
            </w:pPr>
          </w:p>
        </w:tc>
        <w:tc>
          <w:tcPr>
            <w:tcW w:w="1100" w:type="dxa"/>
            <w:vAlign w:val="bottom"/>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Fair Value</w:t>
            </w:r>
          </w:p>
        </w:tc>
        <w:tc>
          <w:tcPr>
            <w:tcW w:w="0" w:type="dxa"/>
            <w:vAlign w:val="bottom"/>
          </w:tcPr>
          <w:p>
            <w:pPr>
              <w:spacing w:after="0"/>
              <w:rPr>
                <w:sz w:val="1"/>
                <w:szCs w:val="1"/>
                <w:color w:val="auto"/>
              </w:rPr>
            </w:pPr>
          </w:p>
        </w:tc>
      </w:tr>
      <w:tr>
        <w:trPr>
          <w:trHeight w:val="232"/>
        </w:trPr>
        <w:tc>
          <w:tcPr>
            <w:tcW w:w="3620" w:type="dxa"/>
            <w:vAlign w:val="bottom"/>
            <w:vMerge w:val="continue"/>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Money market funds</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15,468</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Short-term investments</w:t>
            </w: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Treasury securities</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1</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52,167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52,315</w:t>
            </w: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government agency securities</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3,107</w:t>
            </w: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52,657</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52,779</w:t>
            </w:r>
          </w:p>
        </w:tc>
        <w:tc>
          <w:tcPr>
            <w:tcW w:w="0" w:type="dxa"/>
            <w:vAlign w:val="bottom"/>
          </w:tcPr>
          <w:p>
            <w:pPr>
              <w:spacing w:after="0"/>
              <w:rPr>
                <w:sz w:val="1"/>
                <w:szCs w:val="1"/>
                <w:color w:val="auto"/>
              </w:rPr>
            </w:pPr>
          </w:p>
        </w:tc>
      </w:tr>
      <w:tr>
        <w:trPr>
          <w:trHeight w:val="242"/>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Commercial paper</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1,989</w:t>
            </w:r>
          </w:p>
        </w:tc>
        <w:tc>
          <w:tcPr>
            <w:tcW w:w="0" w:type="dxa"/>
            <w:vAlign w:val="bottom"/>
          </w:tcPr>
          <w:p>
            <w:pPr>
              <w:spacing w:after="0"/>
              <w:rPr>
                <w:sz w:val="1"/>
                <w:szCs w:val="1"/>
                <w:color w:val="auto"/>
              </w:rPr>
            </w:pPr>
          </w:p>
        </w:tc>
      </w:tr>
      <w:tr>
        <w:trPr>
          <w:trHeight w:val="242"/>
        </w:trPr>
        <w:tc>
          <w:tcPr>
            <w:tcW w:w="3620" w:type="dxa"/>
            <w:vAlign w:val="bottom"/>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6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Corporate debt securities</w:t>
            </w:r>
          </w:p>
        </w:tc>
        <w:tc>
          <w:tcPr>
            <w:tcW w:w="12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Level 2</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3,526</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3,524</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w:t>
            </w:r>
          </w:p>
        </w:tc>
        <w:tc>
          <w:tcPr>
            <w:tcW w:w="12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128,907</w:t>
            </w:r>
          </w:p>
        </w:tc>
        <w:tc>
          <w:tcPr>
            <w:tcW w:w="24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129,182</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-2052955</wp:posOffset>
            </wp:positionV>
            <wp:extent cx="450215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4502150" cy="38100"/>
                    </a:xfrm>
                    <a:prstGeom prst="rect">
                      <a:avLst/>
                    </a:prstGeom>
                    <a:noFill/>
                  </pic:spPr>
                </pic:pic>
              </a:graphicData>
            </a:graphic>
          </wp:anchor>
        </w:drawing>
      </w:r>
    </w:p>
    <w:p>
      <w:pPr>
        <w:spacing w:after="0" w:line="189" w:lineRule="exact"/>
        <w:rPr>
          <w:sz w:val="20"/>
          <w:szCs w:val="20"/>
          <w:color w:val="auto"/>
        </w:rPr>
      </w:pPr>
    </w:p>
    <w:p>
      <w:pPr>
        <w:ind w:right="100" w:firstLine="486"/>
        <w:spacing w:after="0" w:line="274" w:lineRule="auto"/>
        <w:rPr>
          <w:sz w:val="20"/>
          <w:szCs w:val="20"/>
          <w:color w:val="auto"/>
        </w:rPr>
      </w:pPr>
      <w:r>
        <w:rPr>
          <w:rFonts w:ascii="Times New Roman" w:cs="Times New Roman" w:eastAsia="Times New Roman" w:hAnsi="Times New Roman"/>
          <w:sz w:val="20"/>
          <w:szCs w:val="20"/>
          <w:color w:val="auto"/>
        </w:rPr>
        <w:t>The Company did not have any outstanding financial liabilities to be re-measured on a recurring basis as of December 31, 2025 and 2024.</w:t>
      </w:r>
    </w:p>
    <w:p>
      <w:pPr>
        <w:spacing w:after="0" w:line="51" w:lineRule="exact"/>
        <w:rPr>
          <w:sz w:val="20"/>
          <w:szCs w:val="20"/>
          <w:color w:val="auto"/>
        </w:rPr>
      </w:pPr>
    </w:p>
    <w:p>
      <w:pPr>
        <w:ind w:right="480" w:firstLine="486"/>
        <w:spacing w:after="0" w:line="274" w:lineRule="auto"/>
        <w:rPr>
          <w:sz w:val="20"/>
          <w:szCs w:val="20"/>
          <w:color w:val="auto"/>
        </w:rPr>
      </w:pPr>
      <w:r>
        <w:rPr>
          <w:rFonts w:ascii="Times New Roman" w:cs="Times New Roman" w:eastAsia="Times New Roman" w:hAnsi="Times New Roman"/>
          <w:sz w:val="20"/>
          <w:szCs w:val="20"/>
          <w:color w:val="auto"/>
        </w:rPr>
        <w:t>The fair value of cash equivalents and available-for-sale investments by classification included in the consolidated balance sheets was as follows as of December 31, 2025 and 2024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60" w:type="dxa"/>
            <w:vAlign w:val="bottom"/>
          </w:tcPr>
          <w:p>
            <w:pPr>
              <w:spacing w:after="0"/>
              <w:rPr>
                <w:sz w:val="19"/>
                <w:szCs w:val="19"/>
                <w:color w:val="auto"/>
              </w:rPr>
            </w:pPr>
          </w:p>
        </w:tc>
        <w:tc>
          <w:tcPr>
            <w:tcW w:w="172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equivalents</w:t>
            </w: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04"/>
        </w:trPr>
        <w:tc>
          <w:tcPr>
            <w:tcW w:w="6360" w:type="dxa"/>
            <w:vAlign w:val="bottom"/>
            <w:vMerge w:val="continue"/>
          </w:tcPr>
          <w:p>
            <w:pPr>
              <w:spacing w:after="0"/>
              <w:rPr>
                <w:sz w:val="17"/>
                <w:szCs w:val="17"/>
                <w:color w:val="auto"/>
              </w:rPr>
            </w:pPr>
          </w:p>
        </w:tc>
        <w:tc>
          <w:tcPr>
            <w:tcW w:w="260" w:type="dxa"/>
            <w:vAlign w:val="bottom"/>
          </w:tcPr>
          <w:p>
            <w:pPr>
              <w:jc w:val="right"/>
              <w:ind w:right="6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14,682</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jc w:val="right"/>
              <w:ind w:right="6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15,468</w:t>
            </w:r>
          </w:p>
        </w:tc>
        <w:tc>
          <w:tcPr>
            <w:tcW w:w="0" w:type="dxa"/>
            <w:vAlign w:val="bottom"/>
          </w:tcPr>
          <w:p>
            <w:pPr>
              <w:spacing w:after="0"/>
              <w:rPr>
                <w:sz w:val="1"/>
                <w:szCs w:val="1"/>
                <w:color w:val="auto"/>
              </w:rPr>
            </w:pPr>
          </w:p>
        </w:tc>
      </w:tr>
      <w:tr>
        <w:trPr>
          <w:trHeight w:val="228"/>
        </w:trPr>
        <w:tc>
          <w:tcPr>
            <w:tcW w:w="63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Short-term investments</w:t>
            </w:r>
          </w:p>
        </w:tc>
        <w:tc>
          <w:tcPr>
            <w:tcW w:w="260" w:type="dxa"/>
            <w:vAlign w:val="bottom"/>
          </w:tcPr>
          <w:p>
            <w:pPr>
              <w:spacing w:after="0"/>
              <w:rPr>
                <w:sz w:val="19"/>
                <w:szCs w:val="19"/>
                <w:color w:val="auto"/>
              </w:rPr>
            </w:pPr>
          </w:p>
        </w:tc>
        <w:tc>
          <w:tcPr>
            <w:tcW w:w="174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28,417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110,190</w:t>
            </w:r>
          </w:p>
        </w:tc>
        <w:tc>
          <w:tcPr>
            <w:tcW w:w="0" w:type="dxa"/>
            <w:vAlign w:val="bottom"/>
          </w:tcPr>
          <w:p>
            <w:pPr>
              <w:spacing w:after="0"/>
              <w:rPr>
                <w:sz w:val="1"/>
                <w:szCs w:val="1"/>
                <w:color w:val="auto"/>
              </w:rPr>
            </w:pPr>
          </w:p>
        </w:tc>
      </w:tr>
      <w:tr>
        <w:trPr>
          <w:trHeight w:val="248"/>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Long-term investments</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3,494</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3,524</w:t>
            </w:r>
          </w:p>
        </w:tc>
        <w:tc>
          <w:tcPr>
            <w:tcW w:w="0" w:type="dxa"/>
            <w:vAlign w:val="bottom"/>
          </w:tcPr>
          <w:p>
            <w:pPr>
              <w:spacing w:after="0"/>
              <w:rPr>
                <w:sz w:val="1"/>
                <w:szCs w:val="1"/>
                <w:color w:val="auto"/>
              </w:rPr>
            </w:pPr>
          </w:p>
        </w:tc>
      </w:tr>
      <w:tr>
        <w:trPr>
          <w:trHeight w:val="223"/>
        </w:trPr>
        <w:tc>
          <w:tcPr>
            <w:tcW w:w="63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ind w:right="6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46,593</w:t>
            </w:r>
          </w:p>
        </w:tc>
        <w:tc>
          <w:tcPr>
            <w:tcW w:w="320" w:type="dxa"/>
            <w:vAlign w:val="bottom"/>
          </w:tcPr>
          <w:p>
            <w:pPr>
              <w:spacing w:after="0"/>
              <w:rPr>
                <w:sz w:val="19"/>
                <w:szCs w:val="19"/>
                <w:color w:val="auto"/>
              </w:rPr>
            </w:pPr>
          </w:p>
        </w:tc>
        <w:tc>
          <w:tcPr>
            <w:tcW w:w="260" w:type="dxa"/>
            <w:vAlign w:val="bottom"/>
          </w:tcPr>
          <w:p>
            <w:pPr>
              <w:jc w:val="right"/>
              <w:ind w:right="6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129,182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right="260" w:firstLine="486"/>
        <w:spacing w:after="0" w:line="274" w:lineRule="auto"/>
        <w:rPr>
          <w:sz w:val="20"/>
          <w:szCs w:val="20"/>
          <w:color w:val="auto"/>
        </w:rPr>
      </w:pPr>
      <w:r>
        <w:rPr>
          <w:rFonts w:ascii="Times New Roman" w:cs="Times New Roman" w:eastAsia="Times New Roman" w:hAnsi="Times New Roman"/>
          <w:sz w:val="20"/>
          <w:szCs w:val="20"/>
          <w:color w:val="auto"/>
        </w:rPr>
        <w:t>Cash and cash equivalents in the above table excludes bank account cash of $1.7 million and $2.1 million as of December 31, 2025 and 2024, respectively.</w:t>
      </w:r>
    </w:p>
    <w:p>
      <w:pPr>
        <w:spacing w:after="0" w:line="51" w:lineRule="exact"/>
        <w:rPr>
          <w:sz w:val="20"/>
          <w:szCs w:val="20"/>
          <w:color w:val="auto"/>
        </w:rPr>
      </w:pPr>
    </w:p>
    <w:p>
      <w:pPr>
        <w:ind w:right="60" w:firstLine="486"/>
        <w:spacing w:after="0" w:line="274" w:lineRule="auto"/>
        <w:rPr>
          <w:sz w:val="20"/>
          <w:szCs w:val="20"/>
          <w:color w:val="auto"/>
        </w:rPr>
      </w:pPr>
      <w:r>
        <w:rPr>
          <w:rFonts w:ascii="Times New Roman" w:cs="Times New Roman" w:eastAsia="Times New Roman" w:hAnsi="Times New Roman"/>
          <w:sz w:val="20"/>
          <w:szCs w:val="20"/>
          <w:color w:val="auto"/>
        </w:rPr>
        <w:t>The fair value of cash equivalents and available-for-sale investments by contractual maturity was as follows as of December 31, 2025 and 2024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gridSpan w:val="3"/>
          </w:tcPr>
          <w:p>
            <w:pPr>
              <w:ind w:left="1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60" w:type="dxa"/>
            <w:vAlign w:val="bottom"/>
          </w:tcPr>
          <w:p>
            <w:pPr>
              <w:spacing w:after="0"/>
              <w:rPr>
                <w:sz w:val="19"/>
                <w:szCs w:val="19"/>
                <w:color w:val="auto"/>
              </w:rPr>
            </w:pPr>
          </w:p>
        </w:tc>
        <w:tc>
          <w:tcPr>
            <w:tcW w:w="1720" w:type="dxa"/>
            <w:vAlign w:val="bottom"/>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6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Maturing in one year or less</w:t>
            </w: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04"/>
        </w:trPr>
        <w:tc>
          <w:tcPr>
            <w:tcW w:w="6360" w:type="dxa"/>
            <w:vAlign w:val="bottom"/>
            <w:vMerge w:val="continue"/>
          </w:tcPr>
          <w:p>
            <w:pPr>
              <w:spacing w:after="0"/>
              <w:rPr>
                <w:sz w:val="17"/>
                <w:szCs w:val="17"/>
                <w:color w:val="auto"/>
              </w:rPr>
            </w:pPr>
          </w:p>
        </w:tc>
        <w:tc>
          <w:tcPr>
            <w:tcW w:w="260" w:type="dxa"/>
            <w:vAlign w:val="bottom"/>
          </w:tcPr>
          <w:p>
            <w:pPr>
              <w:jc w:val="right"/>
              <w:ind w:right="6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43,099</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jc w:val="right"/>
              <w:ind w:right="6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125,658</w:t>
            </w:r>
          </w:p>
        </w:tc>
        <w:tc>
          <w:tcPr>
            <w:tcW w:w="0" w:type="dxa"/>
            <w:vAlign w:val="bottom"/>
          </w:tcPr>
          <w:p>
            <w:pPr>
              <w:spacing w:after="0"/>
              <w:rPr>
                <w:sz w:val="1"/>
                <w:szCs w:val="1"/>
                <w:color w:val="auto"/>
              </w:rPr>
            </w:pPr>
          </w:p>
        </w:tc>
      </w:tr>
      <w:tr>
        <w:trPr>
          <w:trHeight w:val="248"/>
        </w:trPr>
        <w:tc>
          <w:tcPr>
            <w:tcW w:w="6360" w:type="dxa"/>
            <w:vAlign w:val="bottom"/>
          </w:tcPr>
          <w:p>
            <w:pPr>
              <w:spacing w:after="0"/>
              <w:rPr>
                <w:sz w:val="20"/>
                <w:szCs w:val="20"/>
                <w:color w:val="auto"/>
              </w:rPr>
            </w:pPr>
            <w:r>
              <w:rPr>
                <w:rFonts w:ascii="Times New Roman" w:cs="Times New Roman" w:eastAsia="Times New Roman" w:hAnsi="Times New Roman"/>
                <w:sz w:val="20"/>
                <w:szCs w:val="20"/>
                <w:color w:val="auto"/>
              </w:rPr>
              <w:t>Maturing after one year through five years</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3,494</w:t>
            </w:r>
          </w:p>
        </w:tc>
        <w:tc>
          <w:tcPr>
            <w:tcW w:w="3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3,524</w:t>
            </w:r>
          </w:p>
        </w:tc>
        <w:tc>
          <w:tcPr>
            <w:tcW w:w="0" w:type="dxa"/>
            <w:vAlign w:val="bottom"/>
          </w:tcPr>
          <w:p>
            <w:pPr>
              <w:spacing w:after="0"/>
              <w:rPr>
                <w:sz w:val="1"/>
                <w:szCs w:val="1"/>
                <w:color w:val="auto"/>
              </w:rPr>
            </w:pPr>
          </w:p>
        </w:tc>
      </w:tr>
      <w:tr>
        <w:trPr>
          <w:trHeight w:val="223"/>
        </w:trPr>
        <w:tc>
          <w:tcPr>
            <w:tcW w:w="63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Total</w:t>
            </w:r>
          </w:p>
        </w:tc>
        <w:tc>
          <w:tcPr>
            <w:tcW w:w="260" w:type="dxa"/>
            <w:vAlign w:val="bottom"/>
          </w:tcPr>
          <w:p>
            <w:pPr>
              <w:jc w:val="right"/>
              <w:ind w:right="6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740" w:type="dxa"/>
            <w:vAlign w:val="bottom"/>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46,593</w:t>
            </w:r>
          </w:p>
        </w:tc>
        <w:tc>
          <w:tcPr>
            <w:tcW w:w="320" w:type="dxa"/>
            <w:vAlign w:val="bottom"/>
          </w:tcPr>
          <w:p>
            <w:pPr>
              <w:spacing w:after="0"/>
              <w:rPr>
                <w:sz w:val="19"/>
                <w:szCs w:val="19"/>
                <w:color w:val="auto"/>
              </w:rPr>
            </w:pPr>
          </w:p>
        </w:tc>
        <w:tc>
          <w:tcPr>
            <w:tcW w:w="260" w:type="dxa"/>
            <w:vAlign w:val="bottom"/>
          </w:tcPr>
          <w:p>
            <w:pPr>
              <w:jc w:val="right"/>
              <w:ind w:right="6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72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129,182</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220" w:firstLine="486"/>
        <w:spacing w:after="0" w:line="256" w:lineRule="auto"/>
        <w:rPr>
          <w:sz w:val="20"/>
          <w:szCs w:val="20"/>
          <w:color w:val="auto"/>
        </w:rPr>
      </w:pPr>
      <w:r>
        <w:rPr>
          <w:rFonts w:ascii="Times New Roman" w:cs="Times New Roman" w:eastAsia="Times New Roman" w:hAnsi="Times New Roman"/>
          <w:sz w:val="20"/>
          <w:szCs w:val="20"/>
          <w:color w:val="auto"/>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spacing w:after="0" w:line="69" w:lineRule="exact"/>
        <w:rPr>
          <w:sz w:val="20"/>
          <w:szCs w:val="20"/>
          <w:color w:val="auto"/>
        </w:rPr>
      </w:pPr>
    </w:p>
    <w:p>
      <w:pPr>
        <w:ind w:right="180" w:firstLine="486"/>
        <w:spacing w:after="0" w:line="274" w:lineRule="auto"/>
        <w:rPr>
          <w:sz w:val="20"/>
          <w:szCs w:val="20"/>
          <w:color w:val="auto"/>
        </w:rPr>
      </w:pPr>
      <w:r>
        <w:rPr>
          <w:rFonts w:ascii="Times New Roman" w:cs="Times New Roman" w:eastAsia="Times New Roman" w:hAnsi="Times New Roman"/>
          <w:sz w:val="20"/>
          <w:szCs w:val="20"/>
          <w:color w:val="auto"/>
        </w:rPr>
        <w:t>There were no transfers of assets or liabilities between the fair value measurement levels during the years ended December 31, 2025 and 2024 and there were no financial instruments classified as Level 3 as of December 31, 2025 and 2024.</w:t>
      </w:r>
    </w:p>
    <w:p>
      <w:pPr>
        <w:spacing w:after="0" w:line="51" w:lineRule="exact"/>
        <w:rPr>
          <w:sz w:val="20"/>
          <w:szCs w:val="20"/>
          <w:color w:val="auto"/>
        </w:rPr>
      </w:pPr>
    </w:p>
    <w:p>
      <w:pPr>
        <w:ind w:right="160" w:firstLine="486"/>
        <w:spacing w:after="0" w:line="274" w:lineRule="auto"/>
        <w:rPr>
          <w:sz w:val="20"/>
          <w:szCs w:val="20"/>
          <w:color w:val="auto"/>
        </w:rPr>
      </w:pPr>
      <w:r>
        <w:rPr>
          <w:rFonts w:ascii="Times New Roman" w:cs="Times New Roman" w:eastAsia="Times New Roman" w:hAnsi="Times New Roman"/>
          <w:sz w:val="20"/>
          <w:szCs w:val="20"/>
          <w:color w:val="auto"/>
        </w:rPr>
        <w:t>As of December 31, 2025 and 2024, accrued interest receivable related to the Company’s investments of $0.3 million and $0.9 million, respectively, was included in prepaid expenses and other current assets on the consolidated balance sheets.</w:t>
      </w:r>
    </w:p>
    <w:p>
      <w:pPr>
        <w:spacing w:after="0" w:line="51" w:lineRule="exact"/>
        <w:rPr>
          <w:sz w:val="20"/>
          <w:szCs w:val="20"/>
          <w:color w:val="auto"/>
        </w:rPr>
      </w:pPr>
    </w:p>
    <w:p>
      <w:pPr>
        <w:ind w:firstLine="486"/>
        <w:spacing w:after="0" w:line="245" w:lineRule="auto"/>
        <w:rPr>
          <w:sz w:val="20"/>
          <w:szCs w:val="20"/>
          <w:color w:val="auto"/>
        </w:rPr>
      </w:pPr>
      <w:r>
        <w:rPr>
          <w:rFonts w:ascii="Times New Roman" w:cs="Times New Roman" w:eastAsia="Times New Roman" w:hAnsi="Times New Roman"/>
          <w:sz w:val="20"/>
          <w:szCs w:val="20"/>
          <w:color w:val="auto"/>
        </w:rPr>
        <w:t>As of December 31, 2025, the unrealized losses for available-for-sale investments were non-credit related and the Company does not intend to sell the investments that were in an unrealized loss position, nor will it be required to sell those investments before recovery of their amortized costs basis, which may be maturity. As of December 31, 2025 and 2024, no allowance for credit losses for the Company’s investments was recorded. As of December 31, 2025 and 2024, there were no securities in a continuous net unrealized loss position for more than 12 months. As of December 31, 2025 and 2024, the Company has not recognized any impairment losses on available-for-sale investments.</w:t>
      </w:r>
    </w:p>
    <w:p>
      <w:pPr>
        <w:sectPr>
          <w:pgSz w:w="12240" w:h="15840" w:orient="portrait"/>
          <w:cols w:equalWidth="0" w:num="1">
            <w:col w:w="10720"/>
          </w:cols>
          <w:pgMar w:left="760" w:top="987"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2240" w:h="15840" w:orient="portrait"/>
          <w:cols w:equalWidth="0" w:num="1">
            <w:col w:w="10720"/>
          </w:cols>
          <w:pgMar w:left="760" w:top="987" w:right="760" w:bottom="246" w:gutter="0" w:footer="0" w:header="0"/>
          <w:type w:val="continuous"/>
        </w:sectPr>
      </w:pPr>
    </w:p>
    <w:bookmarkStart w:id="124" w:name="page125"/>
    <w:bookmarkEnd w:id="124"/>
    <w:p>
      <w:pPr>
        <w:ind w:left="483" w:right="6620" w:hanging="483"/>
        <w:spacing w:after="0" w:line="384" w:lineRule="auto"/>
        <w:tabs>
          <w:tab w:leader="none" w:pos="278" w:val="left"/>
        </w:tabs>
        <w:numPr>
          <w:ilvl w:val="0"/>
          <w:numId w:val="7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BALANCE SHEET COMPONENTS </w:t>
      </w:r>
      <w:r>
        <w:rPr>
          <w:rFonts w:ascii="Times New Roman" w:cs="Times New Roman" w:eastAsia="Times New Roman" w:hAnsi="Times New Roman"/>
          <w:sz w:val="19"/>
          <w:szCs w:val="19"/>
          <w:b w:val="1"/>
          <w:bCs w:val="1"/>
          <w:i w:val="1"/>
          <w:iCs w:val="1"/>
          <w:color w:val="auto"/>
        </w:rPr>
        <w:t>Prepaid Expenses and Other Current Assets</w:t>
      </w:r>
    </w:p>
    <w:p>
      <w:pPr>
        <w:ind w:left="3" w:firstLine="487"/>
        <w:spacing w:after="0" w:line="274" w:lineRule="auto"/>
        <w:rPr>
          <w:sz w:val="20"/>
          <w:szCs w:val="20"/>
          <w:color w:val="auto"/>
        </w:rPr>
      </w:pPr>
      <w:r>
        <w:rPr>
          <w:rFonts w:ascii="Times New Roman" w:cs="Times New Roman" w:eastAsia="Times New Roman" w:hAnsi="Times New Roman"/>
          <w:sz w:val="20"/>
          <w:szCs w:val="20"/>
          <w:color w:val="auto"/>
        </w:rPr>
        <w:t>The following table presents the components of prepaid expenses and other current assets as of December 31, 2025 and 2024 (in thousands):</w:t>
      </w:r>
    </w:p>
    <w:p>
      <w:pPr>
        <w:spacing w:after="0" w:line="170" w:lineRule="exact"/>
        <w:rPr>
          <w:sz w:val="20"/>
          <w:szCs w:val="20"/>
          <w:color w:val="auto"/>
        </w:rPr>
      </w:pPr>
    </w:p>
    <w:tbl>
      <w:tblPr>
        <w:tblLayout w:type="fixed"/>
        <w:tblInd w:w="3" w:type="dxa"/>
        <w:tblCellMar>
          <w:top w:w="0" w:type="dxa"/>
          <w:left w:w="0" w:type="dxa"/>
          <w:bottom w:w="0" w:type="dxa"/>
          <w:right w:w="0" w:type="dxa"/>
        </w:tblCellMar>
      </w:tblPr>
      <w:tr>
        <w:trPr>
          <w:trHeight w:val="242"/>
        </w:trPr>
        <w:tc>
          <w:tcPr>
            <w:tcW w:w="7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7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Prepaid clinical expenses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32"/>
        </w:trPr>
        <w:tc>
          <w:tcPr>
            <w:tcW w:w="730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4,020</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3,757</w:t>
            </w:r>
          </w:p>
        </w:tc>
        <w:tc>
          <w:tcPr>
            <w:tcW w:w="0" w:type="dxa"/>
            <w:vAlign w:val="bottom"/>
          </w:tcPr>
          <w:p>
            <w:pPr>
              <w:spacing w:after="0"/>
              <w:rPr>
                <w:sz w:val="1"/>
                <w:szCs w:val="1"/>
                <w:color w:val="auto"/>
              </w:rPr>
            </w:pPr>
          </w:p>
        </w:tc>
      </w:tr>
      <w:tr>
        <w:trPr>
          <w:trHeight w:val="242"/>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w:t>
            </w:r>
          </w:p>
        </w:tc>
        <w:tc>
          <w:tcPr>
            <w:tcW w:w="0" w:type="dxa"/>
            <w:vAlign w:val="bottom"/>
          </w:tcPr>
          <w:p>
            <w:pPr>
              <w:spacing w:after="0"/>
              <w:rPr>
                <w:sz w:val="1"/>
                <w:szCs w:val="1"/>
                <w:color w:val="auto"/>
              </w:rPr>
            </w:pPr>
          </w:p>
        </w:tc>
      </w:tr>
      <w:tr>
        <w:trPr>
          <w:trHeight w:val="242"/>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w:t>
            </w:r>
          </w:p>
        </w:tc>
        <w:tc>
          <w:tcPr>
            <w:tcW w:w="0" w:type="dxa"/>
            <w:vAlign w:val="bottom"/>
          </w:tcPr>
          <w:p>
            <w:pPr>
              <w:spacing w:after="0"/>
              <w:rPr>
                <w:sz w:val="1"/>
                <w:szCs w:val="1"/>
                <w:color w:val="auto"/>
              </w:rPr>
            </w:pPr>
          </w:p>
        </w:tc>
      </w:tr>
      <w:tr>
        <w:trPr>
          <w:trHeight w:val="242"/>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Interest and investment receivables</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w:t>
            </w:r>
          </w:p>
        </w:tc>
        <w:tc>
          <w:tcPr>
            <w:tcW w:w="0" w:type="dxa"/>
            <w:vAlign w:val="bottom"/>
          </w:tcPr>
          <w:p>
            <w:pPr>
              <w:spacing w:after="0"/>
              <w:rPr>
                <w:sz w:val="1"/>
                <w:szCs w:val="1"/>
                <w:color w:val="auto"/>
              </w:rPr>
            </w:pPr>
          </w:p>
        </w:tc>
      </w:tr>
      <w:tr>
        <w:trPr>
          <w:trHeight w:val="248"/>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w:t>
            </w:r>
          </w:p>
        </w:tc>
        <w:tc>
          <w:tcPr>
            <w:tcW w:w="0" w:type="dxa"/>
            <w:vAlign w:val="bottom"/>
          </w:tcPr>
          <w:p>
            <w:pPr>
              <w:spacing w:after="0"/>
              <w:rPr>
                <w:sz w:val="1"/>
                <w:szCs w:val="1"/>
                <w:color w:val="auto"/>
              </w:rPr>
            </w:pPr>
          </w:p>
        </w:tc>
      </w:tr>
      <w:tr>
        <w:trPr>
          <w:trHeight w:val="237"/>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5,937</w:t>
            </w:r>
          </w:p>
        </w:tc>
        <w:tc>
          <w:tcPr>
            <w:tcW w:w="2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6,595</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 Net</w:t>
      </w:r>
    </w:p>
    <w:p>
      <w:pPr>
        <w:spacing w:after="0" w:line="118"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color w:val="auto"/>
        </w:rPr>
        <w:t>The following table presents the components of property and equipment, net as of December 31, 2025 and 2024 (in thousands):</w:t>
      </w:r>
    </w:p>
    <w:p>
      <w:pPr>
        <w:spacing w:after="0" w:line="22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7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3"/>
          </w:tcPr>
          <w:p>
            <w:pPr>
              <w:jc w:val="right"/>
              <w:ind w:right="4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4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7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Laboratory equipment</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300" w:type="dxa"/>
            <w:vAlign w:val="bottom"/>
            <w:vMerge w:val="continue"/>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1,844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1,835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Leasehold improvements</w:t>
            </w: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709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2,509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Computer hardware and software</w:t>
            </w: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461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473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1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165</w:t>
            </w: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300" w:type="dxa"/>
            <w:vAlign w:val="bottom"/>
          </w:tcPr>
          <w:p>
            <w:pPr>
              <w:ind w:left="200"/>
              <w:spacing w:after="0" w:line="204" w:lineRule="exact"/>
              <w:rPr>
                <w:sz w:val="20"/>
                <w:szCs w:val="20"/>
                <w:color w:val="auto"/>
              </w:rPr>
            </w:pPr>
            <w:r>
              <w:rPr>
                <w:rFonts w:ascii="Times New Roman" w:cs="Times New Roman" w:eastAsia="Times New Roman" w:hAnsi="Times New Roman"/>
                <w:sz w:val="20"/>
                <w:szCs w:val="20"/>
                <w:color w:val="auto"/>
              </w:rPr>
              <w:t>Property and equipment, gross</w:t>
            </w:r>
          </w:p>
        </w:tc>
        <w:tc>
          <w:tcPr>
            <w:tcW w:w="140" w:type="dxa"/>
            <w:vAlign w:val="bottom"/>
          </w:tcPr>
          <w:p>
            <w:pPr>
              <w:spacing w:after="0"/>
              <w:rPr>
                <w:sz w:val="17"/>
                <w:szCs w:val="17"/>
                <w:color w:val="auto"/>
              </w:rPr>
            </w:pPr>
          </w:p>
        </w:tc>
        <w:tc>
          <w:tcPr>
            <w:tcW w:w="1420" w:type="dxa"/>
            <w:vAlign w:val="bottom"/>
            <w:gridSpan w:val="2"/>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rPr>
              <w:t>3,179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4,982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140" w:type="dxa"/>
            <w:vAlign w:val="bottom"/>
          </w:tcPr>
          <w:p>
            <w:pPr>
              <w:spacing w:after="0"/>
              <w:rPr>
                <w:sz w:val="21"/>
                <w:szCs w:val="21"/>
                <w:color w:val="auto"/>
              </w:rPr>
            </w:pP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(1,979)</w:t>
            </w:r>
          </w:p>
        </w:tc>
        <w:tc>
          <w:tcPr>
            <w:tcW w:w="14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(2,077)</w:t>
            </w:r>
          </w:p>
        </w:tc>
        <w:tc>
          <w:tcPr>
            <w:tcW w:w="0" w:type="dxa"/>
            <w:vAlign w:val="bottom"/>
          </w:tcPr>
          <w:p>
            <w:pPr>
              <w:spacing w:after="0"/>
              <w:rPr>
                <w:sz w:val="1"/>
                <w:szCs w:val="1"/>
                <w:color w:val="auto"/>
              </w:rPr>
            </w:pPr>
          </w:p>
        </w:tc>
      </w:tr>
      <w:tr>
        <w:trPr>
          <w:trHeight w:val="223"/>
        </w:trPr>
        <w:tc>
          <w:tcPr>
            <w:tcW w:w="73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Property and equipment, net</w:t>
            </w:r>
          </w:p>
        </w:tc>
        <w:tc>
          <w:tcPr>
            <w:tcW w:w="14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1,200</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38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2,905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19"/>
          <w:szCs w:val="19"/>
          <w:color w:val="auto"/>
        </w:rPr>
        <w:t>Depreciation was $0.7 million, $0.9 million, and $0.8 million for years ended December 31, 2025, 2024 and 2023, respectively.</w:t>
      </w:r>
    </w:p>
    <w:p>
      <w:pPr>
        <w:spacing w:after="0" w:line="248"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Other Assets</w:t>
      </w:r>
    </w:p>
    <w:p>
      <w:pPr>
        <w:spacing w:after="0" w:line="118"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color w:val="auto"/>
        </w:rPr>
        <w:t>The following table presents the components of other assets, net as of December 31, 2025 and 2024 (in thousands):</w:t>
      </w:r>
    </w:p>
    <w:p>
      <w:pPr>
        <w:spacing w:after="0" w:line="221"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732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Finance lease right-of-use assets</w:t>
            </w:r>
          </w:p>
        </w:tc>
        <w:tc>
          <w:tcPr>
            <w:tcW w:w="1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320" w:type="dxa"/>
            <w:vAlign w:val="bottom"/>
            <w:gridSpan w:val="2"/>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1,513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2,704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2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Operating lease right-of-use assets</w:t>
            </w:r>
          </w:p>
        </w:tc>
        <w:tc>
          <w:tcPr>
            <w:tcW w:w="12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1,159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4,023</w:t>
            </w:r>
          </w:p>
        </w:tc>
        <w:tc>
          <w:tcPr>
            <w:tcW w:w="0" w:type="dxa"/>
            <w:vAlign w:val="bottom"/>
          </w:tcPr>
          <w:p>
            <w:pPr>
              <w:spacing w:after="0"/>
              <w:rPr>
                <w:sz w:val="1"/>
                <w:szCs w:val="1"/>
                <w:color w:val="auto"/>
              </w:rPr>
            </w:pPr>
          </w:p>
        </w:tc>
      </w:tr>
      <w:tr>
        <w:trPr>
          <w:trHeight w:val="228"/>
        </w:trPr>
        <w:tc>
          <w:tcPr>
            <w:tcW w:w="732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Long-term prepaid clinical expenses</w:t>
            </w:r>
          </w:p>
        </w:tc>
        <w:tc>
          <w:tcPr>
            <w:tcW w:w="12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693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732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Other assets</w:t>
            </w:r>
          </w:p>
        </w:tc>
        <w:tc>
          <w:tcPr>
            <w:tcW w:w="12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149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200</w:t>
            </w:r>
          </w:p>
        </w:tc>
        <w:tc>
          <w:tcPr>
            <w:tcW w:w="0" w:type="dxa"/>
            <w:vAlign w:val="bottom"/>
          </w:tcPr>
          <w:p>
            <w:pPr>
              <w:spacing w:after="0"/>
              <w:rPr>
                <w:sz w:val="1"/>
                <w:szCs w:val="1"/>
                <w:color w:val="auto"/>
              </w:rPr>
            </w:pPr>
          </w:p>
        </w:tc>
      </w:tr>
      <w:tr>
        <w:trPr>
          <w:trHeight w:val="248"/>
        </w:trPr>
        <w:tc>
          <w:tcPr>
            <w:tcW w:w="7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Long-term prepaid contract manufacturing costs</w:t>
            </w:r>
          </w:p>
        </w:tc>
        <w:tc>
          <w:tcPr>
            <w:tcW w:w="12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111</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23"/>
        </w:trPr>
        <w:tc>
          <w:tcPr>
            <w:tcW w:w="73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Total other assets</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3,625</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6,994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18" w:lineRule="exact"/>
        <w:rPr>
          <w:sz w:val="20"/>
          <w:szCs w:val="20"/>
          <w:color w:val="auto"/>
        </w:rPr>
      </w:pPr>
    </w:p>
    <w:p>
      <w:pPr>
        <w:ind w:left="3" w:right="120" w:firstLine="486"/>
        <w:spacing w:after="0" w:line="274" w:lineRule="auto"/>
        <w:rPr>
          <w:sz w:val="20"/>
          <w:szCs w:val="20"/>
          <w:color w:val="auto"/>
        </w:rPr>
      </w:pPr>
      <w:r>
        <w:rPr>
          <w:rFonts w:ascii="Times New Roman" w:cs="Times New Roman" w:eastAsia="Times New Roman" w:hAnsi="Times New Roman"/>
          <w:sz w:val="20"/>
          <w:szCs w:val="20"/>
          <w:color w:val="auto"/>
        </w:rPr>
        <w:t>The Company has determined it operates in a single operating segment and has one reportable segment. The Company reviews for indicators of impairment on a quarterly basis, including changes in how its property is being used.</w:t>
      </w:r>
    </w:p>
    <w:p>
      <w:pPr>
        <w:spacing w:after="0" w:line="51" w:lineRule="exact"/>
        <w:rPr>
          <w:sz w:val="20"/>
          <w:szCs w:val="20"/>
          <w:color w:val="auto"/>
        </w:rPr>
      </w:pPr>
    </w:p>
    <w:p>
      <w:pPr>
        <w:ind w:left="3" w:right="60" w:firstLine="486"/>
        <w:spacing w:after="0" w:line="242" w:lineRule="auto"/>
        <w:rPr>
          <w:sz w:val="20"/>
          <w:szCs w:val="20"/>
          <w:color w:val="auto"/>
        </w:rPr>
      </w:pPr>
      <w:r>
        <w:rPr>
          <w:rFonts w:ascii="Times New Roman" w:cs="Times New Roman" w:eastAsia="Times New Roman" w:hAnsi="Times New Roman"/>
          <w:sz w:val="20"/>
          <w:szCs w:val="20"/>
          <w:color w:val="auto"/>
        </w:rPr>
        <w:t>In May 2025, the Company made a decision to sublease its leased property in Palo Alto. The Company determined that the change in how this building was being used indicated impairment. The Company identified this property as a separate asset group for purposes of long-lived asset impairment assessment. The Company concluded that the carrying value of this property asset group was not recoverable and the estimated fair value of this asset group was below its carrying value. The lower fair value of this asset group was mainly due to the lower estimated sublease income compared to the lease payments in accordance with the initial operating lease agreement and higher discount rate. The Company applied a discounted cash flow method to estimate fair value of its right-of-use asset and leasehold improvements. Based on this analysis, the Company concluded the fair value of the right-of-use asset and leasehold improvements of $1.5 million was lower than its net book value of $4.7 million. The Company recognized a pre-tax long-lived asset impairment charge of $3.2 million on the right-of-use asset and leasehold improvements. For the year ended December 31, 2025, the Company has recognized impairment of $3.2 million on the right-of-use asset and leasehold improvements.</w:t>
      </w:r>
    </w:p>
    <w:p>
      <w:pPr>
        <w:sectPr>
          <w:pgSz w:w="12240" w:h="15840" w:orient="portrait"/>
          <w:cols w:equalWidth="0" w:num="1">
            <w:col w:w="10703"/>
          </w:cols>
          <w:pgMar w:left="757" w:top="974" w:right="780" w:bottom="246" w:gutter="0" w:footer="0" w:header="0"/>
        </w:sectPr>
      </w:pPr>
    </w:p>
    <w:p>
      <w:pPr>
        <w:spacing w:after="0" w:line="380" w:lineRule="exact"/>
        <w:rPr>
          <w:sz w:val="20"/>
          <w:szCs w:val="20"/>
          <w:color w:val="auto"/>
        </w:rPr>
      </w:pPr>
    </w:p>
    <w:p>
      <w:pPr>
        <w:jc w:val="center"/>
        <w:ind w:right="-22"/>
        <w:spacing w:after="0"/>
        <w:rPr>
          <w:sz w:val="20"/>
          <w:szCs w:val="20"/>
          <w:color w:val="auto"/>
        </w:rPr>
      </w:pPr>
      <w:r>
        <w:rPr>
          <w:rFonts w:ascii="Times New Roman" w:cs="Times New Roman" w:eastAsia="Times New Roman" w:hAnsi="Times New Roman"/>
          <w:sz w:val="18"/>
          <w:szCs w:val="18"/>
          <w:color w:val="auto"/>
        </w:rPr>
        <w:t>115</w:t>
      </w:r>
    </w:p>
    <w:p>
      <w:pPr>
        <w:sectPr>
          <w:pgSz w:w="12240" w:h="15840" w:orient="portrait"/>
          <w:cols w:equalWidth="0" w:num="1">
            <w:col w:w="10703"/>
          </w:cols>
          <w:pgMar w:left="757" w:top="974" w:right="780" w:bottom="246" w:gutter="0" w:footer="0" w:header="0"/>
          <w:type w:val="continuous"/>
        </w:sectPr>
      </w:pPr>
    </w:p>
    <w:bookmarkStart w:id="125" w:name="page126"/>
    <w:bookmarkEnd w:id="125"/>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Accrued Expenses and Other Current Liabilities</w:t>
      </w:r>
    </w:p>
    <w:p>
      <w:pPr>
        <w:spacing w:after="0" w:line="118" w:lineRule="exact"/>
        <w:rPr>
          <w:sz w:val="20"/>
          <w:szCs w:val="20"/>
          <w:color w:val="auto"/>
        </w:rPr>
      </w:pPr>
    </w:p>
    <w:p>
      <w:pPr>
        <w:ind w:firstLine="487"/>
        <w:spacing w:after="0" w:line="274" w:lineRule="auto"/>
        <w:rPr>
          <w:sz w:val="20"/>
          <w:szCs w:val="20"/>
          <w:color w:val="auto"/>
        </w:rPr>
      </w:pPr>
      <w:r>
        <w:rPr>
          <w:rFonts w:ascii="Times New Roman" w:cs="Times New Roman" w:eastAsia="Times New Roman" w:hAnsi="Times New Roman"/>
          <w:sz w:val="20"/>
          <w:szCs w:val="20"/>
          <w:color w:val="auto"/>
        </w:rPr>
        <w:t>The following table presents the components of accrued expenses and other current liabilities as of December 31,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40" w:type="dxa"/>
            <w:vAlign w:val="bottom"/>
          </w:tcPr>
          <w:p>
            <w:pPr>
              <w:spacing w:after="0"/>
              <w:rPr>
                <w:sz w:val="19"/>
                <w:szCs w:val="19"/>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52"/>
        </w:trPr>
        <w:tc>
          <w:tcPr>
            <w:tcW w:w="7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Accrued clinical and nonclinical study costs</w:t>
            </w: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7300" w:type="dxa"/>
            <w:vAlign w:val="bottom"/>
            <w:vMerge w:val="continue"/>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6,196</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Pr>
          <w:p>
            <w:pPr>
              <w:jc w:val="right"/>
              <w:spacing w:after="0" w:line="204" w:lineRule="exact"/>
              <w:rPr>
                <w:sz w:val="20"/>
                <w:szCs w:val="20"/>
                <w:color w:val="auto"/>
              </w:rPr>
            </w:pPr>
            <w:r>
              <w:rPr>
                <w:rFonts w:ascii="Times New Roman" w:cs="Times New Roman" w:eastAsia="Times New Roman" w:hAnsi="Times New Roman"/>
                <w:sz w:val="20"/>
                <w:szCs w:val="20"/>
                <w:color w:val="auto"/>
              </w:rPr>
              <w:t>3,858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3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Accrued compensation and related expenses</w:t>
            </w: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4,356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5,306</w:t>
            </w:r>
          </w:p>
        </w:tc>
        <w:tc>
          <w:tcPr>
            <w:tcW w:w="0" w:type="dxa"/>
            <w:vAlign w:val="bottom"/>
          </w:tcPr>
          <w:p>
            <w:pPr>
              <w:spacing w:after="0"/>
              <w:rPr>
                <w:sz w:val="1"/>
                <w:szCs w:val="1"/>
                <w:color w:val="auto"/>
              </w:rPr>
            </w:pPr>
          </w:p>
        </w:tc>
      </w:tr>
      <w:tr>
        <w:trPr>
          <w:trHeight w:val="228"/>
        </w:trPr>
        <w:tc>
          <w:tcPr>
            <w:tcW w:w="73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Other current liabilities</w:t>
            </w: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2,323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2,573</w:t>
            </w:r>
          </w:p>
        </w:tc>
        <w:tc>
          <w:tcPr>
            <w:tcW w:w="0" w:type="dxa"/>
            <w:vAlign w:val="bottom"/>
          </w:tcPr>
          <w:p>
            <w:pPr>
              <w:spacing w:after="0"/>
              <w:rPr>
                <w:sz w:val="1"/>
                <w:szCs w:val="1"/>
                <w:color w:val="auto"/>
              </w:rPr>
            </w:pPr>
          </w:p>
        </w:tc>
      </w:tr>
      <w:tr>
        <w:trPr>
          <w:trHeight w:val="228"/>
        </w:trPr>
        <w:tc>
          <w:tcPr>
            <w:tcW w:w="730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Accrued contract manufacturing</w:t>
            </w: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1,341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1,479</w:t>
            </w:r>
          </w:p>
        </w:tc>
        <w:tc>
          <w:tcPr>
            <w:tcW w:w="0" w:type="dxa"/>
            <w:vAlign w:val="bottom"/>
          </w:tcPr>
          <w:p>
            <w:pPr>
              <w:spacing w:after="0"/>
              <w:rPr>
                <w:sz w:val="1"/>
                <w:szCs w:val="1"/>
                <w:color w:val="auto"/>
              </w:rPr>
            </w:pPr>
          </w:p>
        </w:tc>
      </w:tr>
      <w:tr>
        <w:trPr>
          <w:trHeight w:val="248"/>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Accrued property and equipment</w:t>
            </w:r>
          </w:p>
        </w:tc>
        <w:tc>
          <w:tcPr>
            <w:tcW w:w="1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206</w:t>
            </w: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203</w:t>
            </w:r>
          </w:p>
        </w:tc>
        <w:tc>
          <w:tcPr>
            <w:tcW w:w="0" w:type="dxa"/>
            <w:vAlign w:val="bottom"/>
          </w:tcPr>
          <w:p>
            <w:pPr>
              <w:spacing w:after="0"/>
              <w:rPr>
                <w:sz w:val="1"/>
                <w:szCs w:val="1"/>
                <w:color w:val="auto"/>
              </w:rPr>
            </w:pPr>
          </w:p>
        </w:tc>
      </w:tr>
      <w:tr>
        <w:trPr>
          <w:trHeight w:val="223"/>
        </w:trPr>
        <w:tc>
          <w:tcPr>
            <w:tcW w:w="7300" w:type="dxa"/>
            <w:vAlign w:val="bottom"/>
          </w:tcPr>
          <w:p>
            <w:pPr>
              <w:ind w:left="200"/>
              <w:spacing w:after="0" w:line="224"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14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top w:val="single" w:sz="8" w:color="auto"/>
            </w:tcBorders>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14,422</w:t>
            </w:r>
          </w:p>
        </w:tc>
        <w:tc>
          <w:tcPr>
            <w:tcW w:w="260" w:type="dxa"/>
            <w:vAlign w:val="bottom"/>
          </w:tcPr>
          <w:p>
            <w:pPr>
              <w:spacing w:after="0"/>
              <w:rPr>
                <w:sz w:val="19"/>
                <w:szCs w:val="19"/>
                <w:color w:val="auto"/>
              </w:rPr>
            </w:pPr>
          </w:p>
        </w:tc>
        <w:tc>
          <w:tcPr>
            <w:tcW w:w="14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13,419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LEASES</w:t>
      </w:r>
    </w:p>
    <w:p>
      <w:pPr>
        <w:spacing w:after="0" w:line="122" w:lineRule="exact"/>
        <w:rPr>
          <w:sz w:val="20"/>
          <w:szCs w:val="20"/>
          <w:color w:val="auto"/>
        </w:rPr>
      </w:pPr>
    </w:p>
    <w:p>
      <w:pPr>
        <w:ind w:right="60" w:firstLine="486"/>
        <w:spacing w:after="0" w:line="243" w:lineRule="auto"/>
        <w:rPr>
          <w:sz w:val="20"/>
          <w:szCs w:val="20"/>
          <w:color w:val="auto"/>
        </w:rPr>
      </w:pPr>
      <w:r>
        <w:rPr>
          <w:rFonts w:ascii="Times New Roman" w:cs="Times New Roman" w:eastAsia="Times New Roman" w:hAnsi="Times New Roman"/>
          <w:sz w:val="20"/>
          <w:szCs w:val="20"/>
          <w:color w:val="auto"/>
        </w:rPr>
        <w:t>In May 2016, the Company entered into a pharmaceutical support services agreement, which included embedded leases that allowed the Company the right to direct the use of certain equipment. The embedded leases commenced in September 2020 and were set to expire in August 2023 with no stated option to extend the term. In May 2023, the Company entered into an addendum to extend the existing lease through May 2026 and lease additional number of certain equipment. In October 2023, the Company entered into an additional addendum to lease an additional number of certain equipment through May 2026. In June 2024, the Company entered into another addendum to extend the existing lease through July 2027 and lease additional number of certain equipment. In August 2025, the Company entered into an additional addendum to terminate a number of certain equipment. The Company classified the leases as finance leases.</w:t>
      </w:r>
    </w:p>
    <w:p>
      <w:pPr>
        <w:spacing w:after="0" w:line="84" w:lineRule="exact"/>
        <w:rPr>
          <w:sz w:val="20"/>
          <w:szCs w:val="20"/>
          <w:color w:val="auto"/>
        </w:rPr>
      </w:pPr>
    </w:p>
    <w:p>
      <w:pPr>
        <w:ind w:right="40" w:firstLine="486"/>
        <w:spacing w:after="0" w:line="250" w:lineRule="auto"/>
        <w:rPr>
          <w:sz w:val="20"/>
          <w:szCs w:val="20"/>
          <w:color w:val="auto"/>
        </w:rPr>
      </w:pPr>
      <w:r>
        <w:rPr>
          <w:rFonts w:ascii="Times New Roman" w:cs="Times New Roman" w:eastAsia="Times New Roman" w:hAnsi="Times New Roman"/>
          <w:sz w:val="20"/>
          <w:szCs w:val="20"/>
          <w:color w:val="auto"/>
        </w:rPr>
        <w:t>In May 2021, the Company entered into a lease agreement for approximately 10,000 square feet of office space located in South San Francisco, California. The lease commenced on June 6, 2021 and expires on August 31, 2026. The lease does not provide an option to extend after it expires. The total lease payments for the life of the lease are approximately $2.0 million. The Company classified the lease as an operating lease.</w:t>
      </w:r>
    </w:p>
    <w:p>
      <w:pPr>
        <w:spacing w:after="0" w:line="75"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20"/>
          <w:szCs w:val="20"/>
          <w:color w:val="auto"/>
        </w:rPr>
        <w:t>In February 2022, the Company entered into a lease agreement totaling approximately 11,074 square feet of office and laboratory space located in Palo Alto, California. The lease consists of two premises and expires in February 2030. The lease provides for an option to extend for two years after expiration. The lease for one of the premises commenced in February 2022 and the lease for the second premises commenced in April 2022. The lease provides for an annual base rent of approximately $0.8 million, which increases on an annual basis by 3%. The total lease payments for the life of the lease are approximately $6.9 million. The Company is also responsible for leasehold improvement costs related to the second premises, which totaled to $2.3 million, of which $1.5 million is to be paid with interest at a rate of 7% per annum as additional payments over the life of the lease. The Company classified the lease as an operating lease. Under the terms of the lease agreement, the Company issued a letter of credit to the landlord in the amount of $0.1 million, which is collateralized by a restricted cash deposit of $0.1 million. The restricted cash deposit was included in the other assets on the consolidated balance sheets.</w:t>
      </w:r>
    </w:p>
    <w:p>
      <w:pPr>
        <w:spacing w:after="0" w:line="85" w:lineRule="exact"/>
        <w:rPr>
          <w:sz w:val="20"/>
          <w:szCs w:val="20"/>
          <w:color w:val="auto"/>
        </w:rPr>
      </w:pPr>
    </w:p>
    <w:p>
      <w:pPr>
        <w:ind w:right="160" w:firstLine="486"/>
        <w:spacing w:after="0" w:line="250" w:lineRule="auto"/>
        <w:rPr>
          <w:sz w:val="20"/>
          <w:szCs w:val="20"/>
          <w:color w:val="auto"/>
        </w:rPr>
      </w:pPr>
      <w:r>
        <w:rPr>
          <w:rFonts w:ascii="Times New Roman" w:cs="Times New Roman" w:eastAsia="Times New Roman" w:hAnsi="Times New Roman"/>
          <w:sz w:val="20"/>
          <w:szCs w:val="20"/>
          <w:color w:val="auto"/>
        </w:rPr>
        <w:t>As of December 31, 2025, the ROU assets recorded for operating leases and finance leases were $1.2 million and $1.5 million, respectively. As of December 31, 2024, the ROU assets recorded for operating leases and finance leases were $4.0 million and $2.7 million, respectively. The amounts were included in the other assets on the consolidated balance sheets (see “Note 5. Balance Sheet Components—Other Assets”).</w:t>
      </w: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2240" w:h="15840" w:orient="portrait"/>
          <w:cols w:equalWidth="0" w:num="1">
            <w:col w:w="10720"/>
          </w:cols>
          <w:pgMar w:left="760" w:top="978" w:right="760" w:bottom="246" w:gutter="0" w:footer="0" w:header="0"/>
          <w:type w:val="continuous"/>
        </w:sectPr>
      </w:pPr>
    </w:p>
    <w:bookmarkStart w:id="126" w:name="page127"/>
    <w:bookmarkEnd w:id="126"/>
    <w:p>
      <w:pPr>
        <w:ind w:right="680" w:firstLine="486"/>
        <w:spacing w:after="0" w:line="274" w:lineRule="auto"/>
        <w:rPr>
          <w:sz w:val="20"/>
          <w:szCs w:val="20"/>
          <w:color w:val="auto"/>
        </w:rPr>
      </w:pPr>
      <w:r>
        <w:rPr>
          <w:rFonts w:ascii="Times New Roman" w:cs="Times New Roman" w:eastAsia="Times New Roman" w:hAnsi="Times New Roman"/>
          <w:sz w:val="20"/>
          <w:szCs w:val="20"/>
          <w:color w:val="auto"/>
        </w:rPr>
        <w:t>The following table presents the maturities and balance sheet information of the Company’s operating and finance lease liabilities as of December 31, 2025 (in thousands, except lease term and discount rate):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20" w:type="dxa"/>
            <w:vAlign w:val="bottom"/>
          </w:tcPr>
          <w:p>
            <w:pPr>
              <w:spacing w:after="0"/>
              <w:rPr>
                <w:sz w:val="19"/>
                <w:szCs w:val="19"/>
                <w:color w:val="auto"/>
              </w:rPr>
            </w:pPr>
          </w:p>
        </w:tc>
        <w:tc>
          <w:tcPr>
            <w:tcW w:w="1620" w:type="dxa"/>
            <w:vAlign w:val="bottom"/>
            <w:gridSpan w:val="3"/>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0" w:type="dxa"/>
            <w:vAlign w:val="bottom"/>
          </w:tcPr>
          <w:p>
            <w:pPr>
              <w:spacing w:after="0"/>
              <w:rPr>
                <w:sz w:val="1"/>
                <w:szCs w:val="1"/>
                <w:color w:val="auto"/>
              </w:rPr>
            </w:pPr>
          </w:p>
        </w:tc>
      </w:tr>
      <w:tr>
        <w:trPr>
          <w:trHeight w:val="204"/>
        </w:trPr>
        <w:tc>
          <w:tcPr>
            <w:tcW w:w="67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1,187</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Borders>
              <w:top w:val="single" w:sz="8" w:color="auto"/>
            </w:tcBorders>
          </w:tcPr>
          <w:p>
            <w:pPr>
              <w:jc w:val="right"/>
              <w:ind w:right="2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1,056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912</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616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939</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67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967</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67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163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3"/>
          </w:tcPr>
          <w:p>
            <w:pPr>
              <w:jc w:val="right"/>
              <w:ind w:right="1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3"/>
          </w:tcPr>
          <w:p>
            <w:pPr>
              <w:jc w:val="right"/>
              <w:ind w:right="4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1"/>
                <w:szCs w:val="21"/>
                <w:color w:val="auto"/>
              </w:rPr>
            </w:pPr>
          </w:p>
        </w:tc>
        <w:tc>
          <w:tcPr>
            <w:tcW w:w="162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4"/>
        </w:trPr>
        <w:tc>
          <w:tcPr>
            <w:tcW w:w="676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Total lease payments</w:t>
            </w: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rPr>
              <w:t>4,168</w:t>
            </w:r>
          </w:p>
        </w:tc>
        <w:tc>
          <w:tcPr>
            <w:tcW w:w="4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1,672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(706)</w:t>
            </w:r>
          </w:p>
        </w:tc>
        <w:tc>
          <w:tcPr>
            <w:tcW w:w="220" w:type="dxa"/>
            <w:vAlign w:val="bottom"/>
          </w:tcPr>
          <w:p>
            <w:pPr>
              <w:spacing w:after="0"/>
              <w:rPr>
                <w:sz w:val="21"/>
                <w:szCs w:val="21"/>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(113)</w:t>
            </w:r>
          </w:p>
        </w:tc>
        <w:tc>
          <w:tcPr>
            <w:tcW w:w="0" w:type="dxa"/>
            <w:vAlign w:val="bottom"/>
          </w:tcPr>
          <w:p>
            <w:pPr>
              <w:spacing w:after="0"/>
              <w:rPr>
                <w:sz w:val="1"/>
                <w:szCs w:val="1"/>
                <w:color w:val="auto"/>
              </w:rPr>
            </w:pPr>
          </w:p>
        </w:tc>
      </w:tr>
      <w:tr>
        <w:trPr>
          <w:trHeight w:val="223"/>
        </w:trPr>
        <w:tc>
          <w:tcPr>
            <w:tcW w:w="67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Total lease liabilities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3,462</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2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1,559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Lease liabilities: current </w:t>
            </w:r>
            <w:r>
              <w:rPr>
                <w:rFonts w:ascii="Times New Roman" w:cs="Times New Roman" w:eastAsia="Times New Roman" w:hAnsi="Times New Roman"/>
                <w:sz w:val="25"/>
                <w:szCs w:val="25"/>
                <w:color w:val="auto"/>
                <w:vertAlign w:val="superscript"/>
              </w:rPr>
              <w:t>(i)</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901</w:t>
            </w:r>
          </w:p>
        </w:tc>
        <w:tc>
          <w:tcPr>
            <w:tcW w:w="400" w:type="dxa"/>
            <w:vAlign w:val="bottom"/>
          </w:tcPr>
          <w:p>
            <w:pPr>
              <w:spacing w:after="0"/>
              <w:rPr>
                <w:sz w:val="24"/>
                <w:szCs w:val="24"/>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760" w:type="dxa"/>
            <w:vAlign w:val="bottom"/>
          </w:tcPr>
          <w:p>
            <w:pPr>
              <w:spacing w:after="0" w:line="248" w:lineRule="exact"/>
              <w:rPr>
                <w:sz w:val="20"/>
                <w:szCs w:val="20"/>
                <w:color w:val="auto"/>
              </w:rPr>
            </w:pPr>
            <w:r>
              <w:rPr>
                <w:rFonts w:ascii="Times New Roman" w:cs="Times New Roman" w:eastAsia="Times New Roman" w:hAnsi="Times New Roman"/>
                <w:sz w:val="20"/>
                <w:szCs w:val="20"/>
                <w:color w:val="auto"/>
              </w:rPr>
              <w:t xml:space="preserve">Lease liabilities: non-current </w:t>
            </w:r>
            <w:r>
              <w:rPr>
                <w:rFonts w:ascii="Times New Roman" w:cs="Times New Roman" w:eastAsia="Times New Roman" w:hAnsi="Times New Roman"/>
                <w:sz w:val="25"/>
                <w:szCs w:val="25"/>
                <w:color w:val="auto"/>
                <w:vertAlign w:val="superscript"/>
              </w:rPr>
              <w:t>(ii)</w:t>
            </w: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2,561</w:t>
            </w:r>
          </w:p>
        </w:tc>
        <w:tc>
          <w:tcPr>
            <w:tcW w:w="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7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Total lease liabilities</w:t>
            </w: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3,462</w:t>
            </w:r>
          </w:p>
        </w:tc>
        <w:tc>
          <w:tcPr>
            <w:tcW w:w="400" w:type="dxa"/>
            <w:vAlign w:val="bottom"/>
          </w:tcPr>
          <w:p>
            <w:pPr>
              <w:spacing w:after="0"/>
              <w:rPr>
                <w:sz w:val="19"/>
                <w:szCs w:val="19"/>
                <w:color w:val="auto"/>
              </w:rPr>
            </w:pPr>
          </w:p>
        </w:tc>
        <w:tc>
          <w:tcPr>
            <w:tcW w:w="220" w:type="dxa"/>
            <w:vAlign w:val="bottom"/>
            <w:tcBorders>
              <w:bottom w:val="single" w:sz="8" w:color="auto"/>
            </w:tcBorders>
          </w:tcPr>
          <w:p>
            <w:pPr>
              <w:jc w:val="right"/>
              <w:ind w:right="2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46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1,559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remaining lease term (in years)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discount rate</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9.5%</w:t>
            </w:r>
          </w:p>
        </w:tc>
        <w:tc>
          <w:tcPr>
            <w:tcW w:w="220" w:type="dxa"/>
            <w:vAlign w:val="bottom"/>
          </w:tcPr>
          <w:p>
            <w:pPr>
              <w:spacing w:after="0"/>
              <w:rPr>
                <w:sz w:val="23"/>
                <w:szCs w:val="2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8.5%</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960" w:hanging="646"/>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lease liabilities are presented within accrued expenses and other current liabilities on the consolidated balance sheets.</w:t>
      </w:r>
    </w:p>
    <w:p>
      <w:pPr>
        <w:spacing w:after="0" w:line="24" w:lineRule="exact"/>
        <w:rPr>
          <w:rFonts w:ascii="Times New Roman" w:cs="Times New Roman" w:eastAsia="Times New Roman" w:hAnsi="Times New Roman"/>
          <w:sz w:val="18"/>
          <w:szCs w:val="18"/>
          <w:color w:val="auto"/>
        </w:rPr>
      </w:pPr>
    </w:p>
    <w:p>
      <w:pPr>
        <w:ind w:left="960" w:hanging="695"/>
        <w:spacing w:after="0"/>
        <w:tabs>
          <w:tab w:leader="none" w:pos="9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Non-current lease liabilities are presented within other non-current liabilities on the consolidated balance sheets.</w:t>
      </w:r>
    </w:p>
    <w:p>
      <w:pPr>
        <w:spacing w:after="0" w:line="210" w:lineRule="exact"/>
        <w:rPr>
          <w:sz w:val="20"/>
          <w:szCs w:val="20"/>
          <w:color w:val="auto"/>
        </w:rPr>
      </w:pPr>
    </w:p>
    <w:p>
      <w:pPr>
        <w:ind w:right="760" w:firstLine="486"/>
        <w:spacing w:after="0" w:line="274" w:lineRule="auto"/>
        <w:rPr>
          <w:sz w:val="20"/>
          <w:szCs w:val="20"/>
          <w:color w:val="auto"/>
        </w:rPr>
      </w:pPr>
      <w:r>
        <w:rPr>
          <w:rFonts w:ascii="Times New Roman" w:cs="Times New Roman" w:eastAsia="Times New Roman" w:hAnsi="Times New Roman"/>
          <w:sz w:val="20"/>
          <w:szCs w:val="20"/>
          <w:color w:val="auto"/>
        </w:rPr>
        <w:t>The following table presents the components of lease costs for the years ended December 31, 2025, 2024, and 2023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lease cost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2"/>
        </w:trPr>
        <w:tc>
          <w:tcPr>
            <w:tcW w:w="56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Borders>
              <w:top w:val="single" w:sz="8" w:color="auto"/>
            </w:tcBorders>
          </w:tcPr>
          <w:p>
            <w:pPr>
              <w:jc w:val="right"/>
              <w:ind w:right="79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1,042</w:t>
            </w:r>
          </w:p>
        </w:tc>
        <w:tc>
          <w:tcPr>
            <w:tcW w:w="2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1,244</w:t>
            </w:r>
          </w:p>
        </w:tc>
        <w:tc>
          <w:tcPr>
            <w:tcW w:w="280" w:type="dxa"/>
            <w:vAlign w:val="bottom"/>
          </w:tcPr>
          <w:p>
            <w:pPr>
              <w:spacing w:after="0"/>
              <w:rPr>
                <w:sz w:val="20"/>
                <w:szCs w:val="20"/>
                <w:color w:val="auto"/>
              </w:rPr>
            </w:pPr>
          </w:p>
        </w:tc>
        <w:tc>
          <w:tcPr>
            <w:tcW w:w="32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1,263</w:t>
            </w:r>
          </w:p>
        </w:tc>
        <w:tc>
          <w:tcPr>
            <w:tcW w:w="0" w:type="dxa"/>
            <w:vAlign w:val="bottom"/>
          </w:tcPr>
          <w:p>
            <w:pPr>
              <w:spacing w:after="0"/>
              <w:rPr>
                <w:sz w:val="1"/>
                <w:szCs w:val="1"/>
                <w:color w:val="auto"/>
              </w:rPr>
            </w:pPr>
          </w:p>
        </w:tc>
      </w:tr>
      <w:tr>
        <w:trPr>
          <w:trHeight w:val="242"/>
        </w:trPr>
        <w:tc>
          <w:tcPr>
            <w:tcW w:w="5660" w:type="dxa"/>
            <w:vAlign w:val="bottom"/>
          </w:tcPr>
          <w:p>
            <w:pPr>
              <w:spacing w:after="0" w:line="242" w:lineRule="exact"/>
              <w:rPr>
                <w:sz w:val="20"/>
                <w:szCs w:val="20"/>
                <w:color w:val="auto"/>
              </w:rPr>
            </w:pPr>
            <w:r>
              <w:rPr>
                <w:rFonts w:ascii="Times New Roman" w:cs="Times New Roman" w:eastAsia="Times New Roman" w:hAnsi="Times New Roman"/>
                <w:sz w:val="20"/>
                <w:szCs w:val="20"/>
                <w:color w:val="auto"/>
              </w:rPr>
              <w:t xml:space="preserve">Variable lease cost and other, net </w:t>
            </w:r>
            <w:r>
              <w:rPr>
                <w:rFonts w:ascii="Times New Roman" w:cs="Times New Roman" w:eastAsia="Times New Roman" w:hAnsi="Times New Roman"/>
                <w:sz w:val="25"/>
                <w:szCs w:val="25"/>
                <w:color w:val="auto"/>
                <w:vertAlign w:val="superscript"/>
              </w:rPr>
              <w:t>(i)</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42"/>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cost:</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right-of-use assets</w:t>
            </w: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1,009</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w:t>
            </w:r>
          </w:p>
        </w:tc>
        <w:tc>
          <w:tcPr>
            <w:tcW w:w="0" w:type="dxa"/>
            <w:vAlign w:val="bottom"/>
          </w:tcPr>
          <w:p>
            <w:pPr>
              <w:spacing w:after="0"/>
              <w:rPr>
                <w:sz w:val="1"/>
                <w:szCs w:val="1"/>
                <w:color w:val="auto"/>
              </w:rPr>
            </w:pPr>
          </w:p>
        </w:tc>
      </w:tr>
      <w:tr>
        <w:trPr>
          <w:trHeight w:val="248"/>
        </w:trPr>
        <w:tc>
          <w:tcPr>
            <w:tcW w:w="56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Interest</w:t>
            </w:r>
          </w:p>
        </w:tc>
        <w:tc>
          <w:tcPr>
            <w:tcW w:w="2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37"/>
        </w:trPr>
        <w:tc>
          <w:tcPr>
            <w:tcW w:w="5660" w:type="dxa"/>
            <w:vAlign w:val="bottom"/>
          </w:tcPr>
          <w:p>
            <w:pPr>
              <w:spacing w:after="0"/>
              <w:rPr>
                <w:sz w:val="20"/>
                <w:szCs w:val="20"/>
                <w:color w:val="auto"/>
              </w:rPr>
            </w:pPr>
            <w:r>
              <w:rPr>
                <w:rFonts w:ascii="Times New Roman" w:cs="Times New Roman" w:eastAsia="Times New Roman" w:hAnsi="Times New Roman"/>
                <w:sz w:val="20"/>
                <w:szCs w:val="20"/>
                <w:color w:val="auto"/>
              </w:rPr>
              <w:t>Total lease costs</w:t>
            </w:r>
          </w:p>
        </w:tc>
        <w:tc>
          <w:tcPr>
            <w:tcW w:w="20" w:type="dxa"/>
            <w:vAlign w:val="bottom"/>
          </w:tcPr>
          <w:p>
            <w:pPr>
              <w:spacing w:after="0"/>
              <w:rPr>
                <w:sz w:val="20"/>
                <w:szCs w:val="20"/>
                <w:color w:val="auto"/>
              </w:rPr>
            </w:pPr>
          </w:p>
        </w:tc>
        <w:tc>
          <w:tcPr>
            <w:tcW w:w="960" w:type="dxa"/>
            <w:vAlign w:val="bottom"/>
            <w:tcBorders>
              <w:bottom w:val="single" w:sz="8" w:color="auto"/>
            </w:tcBorders>
          </w:tcPr>
          <w:p>
            <w:pPr>
              <w:jc w:val="right"/>
              <w:ind w:right="797"/>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2,757</w:t>
            </w:r>
          </w:p>
        </w:tc>
        <w:tc>
          <w:tcPr>
            <w:tcW w:w="2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3,000</w:t>
            </w:r>
          </w:p>
        </w:tc>
        <w:tc>
          <w:tcPr>
            <w:tcW w:w="280" w:type="dxa"/>
            <w:vAlign w:val="bottom"/>
          </w:tcPr>
          <w:p>
            <w:pPr>
              <w:spacing w:after="0"/>
              <w:rPr>
                <w:sz w:val="20"/>
                <w:szCs w:val="20"/>
                <w:color w:val="auto"/>
              </w:rPr>
            </w:pP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2,278</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-1301115</wp:posOffset>
            </wp:positionV>
            <wp:extent cx="32137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3213735" cy="38100"/>
                    </a:xfrm>
                    <a:prstGeom prst="rect">
                      <a:avLst/>
                    </a:prstGeom>
                    <a:noFill/>
                  </pic:spPr>
                </pic:pic>
              </a:graphicData>
            </a:graphic>
          </wp:anchor>
        </w:drawing>
      </w:r>
    </w:p>
    <w:p>
      <w:pPr>
        <w:spacing w:after="0" w:line="99" w:lineRule="exact"/>
        <w:rPr>
          <w:sz w:val="20"/>
          <w:szCs w:val="20"/>
          <w:color w:val="auto"/>
        </w:rPr>
      </w:pPr>
    </w:p>
    <w:p>
      <w:pPr>
        <w:ind w:left="960" w:right="100" w:hanging="646"/>
        <w:spacing w:after="0" w:line="250" w:lineRule="auto"/>
        <w:tabs>
          <w:tab w:leader="none" w:pos="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spacing w:after="0" w:line="197" w:lineRule="exact"/>
        <w:rPr>
          <w:sz w:val="20"/>
          <w:szCs w:val="20"/>
          <w:color w:val="auto"/>
        </w:rPr>
      </w:pPr>
    </w:p>
    <w:p>
      <w:pPr>
        <w:ind w:firstLine="486"/>
        <w:spacing w:after="0" w:line="274" w:lineRule="auto"/>
        <w:rPr>
          <w:sz w:val="20"/>
          <w:szCs w:val="20"/>
          <w:color w:val="auto"/>
        </w:rPr>
      </w:pPr>
      <w:r>
        <w:rPr>
          <w:rFonts w:ascii="Times New Roman" w:cs="Times New Roman" w:eastAsia="Times New Roman" w:hAnsi="Times New Roman"/>
          <w:sz w:val="20"/>
          <w:szCs w:val="20"/>
          <w:color w:val="auto"/>
        </w:rPr>
        <w:t>The following table presents the supplemental cash flow disclosures for cash paid for the years ended December 31, 2025, 2024, and 2023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center"/>
              <w:ind w:right="21"/>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Cash paid for amounts included in the measurement of lease</w:t>
            </w:r>
          </w:p>
        </w:tc>
        <w:tc>
          <w:tcPr>
            <w:tcW w:w="4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18"/>
        </w:trPr>
        <w:tc>
          <w:tcPr>
            <w:tcW w:w="522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operating leases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1,305</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w:t>
            </w:r>
          </w:p>
        </w:tc>
        <w:tc>
          <w:tcPr>
            <w:tcW w:w="0" w:type="dxa"/>
            <w:vAlign w:val="bottom"/>
          </w:tcPr>
          <w:p>
            <w:pPr>
              <w:spacing w:after="0"/>
              <w:rPr>
                <w:sz w:val="1"/>
                <w:szCs w:val="1"/>
                <w:color w:val="auto"/>
              </w:rPr>
            </w:pPr>
          </w:p>
        </w:tc>
      </w:tr>
      <w:tr>
        <w:trPr>
          <w:trHeight w:val="242"/>
        </w:trPr>
        <w:tc>
          <w:tcPr>
            <w:tcW w:w="5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Operating cash flows from finance leases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42"/>
        </w:trPr>
        <w:tc>
          <w:tcPr>
            <w:tcW w:w="5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Financing cash flows from finance leases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929</w:t>
            </w:r>
          </w:p>
        </w:tc>
        <w:tc>
          <w:tcPr>
            <w:tcW w:w="2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w:t>
            </w:r>
          </w:p>
        </w:tc>
        <w:tc>
          <w:tcPr>
            <w:tcW w:w="0" w:type="dxa"/>
            <w:vAlign w:val="bottom"/>
          </w:tcPr>
          <w:p>
            <w:pPr>
              <w:spacing w:after="0"/>
              <w:rPr>
                <w:sz w:val="1"/>
                <w:szCs w:val="1"/>
                <w:color w:val="auto"/>
              </w:rPr>
            </w:pPr>
          </w:p>
        </w:tc>
      </w:tr>
      <w:tr>
        <w:trPr>
          <w:trHeight w:val="242"/>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 (modified) acquired under leases</w:t>
            </w: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2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Finance leases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(182)</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1,309</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3569970</wp:posOffset>
            </wp:positionH>
            <wp:positionV relativeFrom="paragraph">
              <wp:posOffset>-1265555</wp:posOffset>
            </wp:positionV>
            <wp:extent cx="321754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3217545" cy="38100"/>
                    </a:xfrm>
                    <a:prstGeom prst="rect">
                      <a:avLst/>
                    </a:prstGeom>
                    <a:noFill/>
                  </pic:spPr>
                </pic:pic>
              </a:graphicData>
            </a:graphic>
          </wp:anchor>
        </w:drawing>
      </w:r>
    </w:p>
    <w:p>
      <w:pPr>
        <w:sectPr>
          <w:pgSz w:w="12240" w:h="15840" w:orient="portrait"/>
          <w:cols w:equalWidth="0" w:num="1">
            <w:col w:w="10700"/>
          </w:cols>
          <w:pgMar w:left="760" w:top="978" w:right="780" w:bottom="246"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ectPr>
          <w:pgSz w:w="12240" w:h="15840" w:orient="portrait"/>
          <w:cols w:equalWidth="0" w:num="1">
            <w:col w:w="10700"/>
          </w:cols>
          <w:pgMar w:left="760" w:top="978" w:right="780" w:bottom="246"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(7) TERM LOAN</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Oxford Finance and Silicon Valley Bank Loan</w:t>
      </w:r>
    </w:p>
    <w:p>
      <w:pPr>
        <w:spacing w:after="0" w:line="118" w:lineRule="exact"/>
        <w:rPr>
          <w:sz w:val="20"/>
          <w:szCs w:val="20"/>
          <w:color w:val="auto"/>
        </w:rPr>
      </w:pPr>
    </w:p>
    <w:p>
      <w:pPr>
        <w:ind w:right="60" w:firstLine="486"/>
        <w:spacing w:after="0" w:line="259" w:lineRule="auto"/>
        <w:rPr>
          <w:sz w:val="20"/>
          <w:szCs w:val="20"/>
          <w:color w:val="auto"/>
        </w:rPr>
      </w:pPr>
      <w:r>
        <w:rPr>
          <w:rFonts w:ascii="Times New Roman" w:cs="Times New Roman" w:eastAsia="Times New Roman" w:hAnsi="Times New Roman"/>
          <w:sz w:val="19"/>
          <w:szCs w:val="19"/>
          <w:color w:val="auto"/>
        </w:rPr>
        <w:t>In October 2022, the Company entered into a loan and security agreement, or the Loan Agreement, with Oxford Finance LLC, Oxford Finance Credit Fund II LP, and Silicon Valley Bank, or Lenders, for a secured term loan facility of up to $100.0 million. Pursuant to the Loan Agreement, the Company drew an initial loan of $10.0 million. Under the original terms of the Loan Agreement, the Company had the right to draw an additional $40.0 million through the end of December 2023. The Loan Agreement provides for an additional $50.0 million over three tranches, with $12.5 million available in each of two tranches based upon the achievement of milestones related to the development of evorpacept and one preclinical product candidate, and $25.0 million at the Lenders’ sole discretion. The proceeds of the loans may be used by the Company for working capital and to fund its general business requirements.</w:t>
      </w:r>
    </w:p>
    <w:p>
      <w:pPr>
        <w:spacing w:after="0" w:line="68" w:lineRule="exact"/>
        <w:rPr>
          <w:sz w:val="20"/>
          <w:szCs w:val="20"/>
          <w:color w:val="auto"/>
        </w:rPr>
      </w:pPr>
    </w:p>
    <w:p>
      <w:pPr>
        <w:ind w:right="140" w:firstLine="486"/>
        <w:spacing w:after="0" w:line="250" w:lineRule="auto"/>
        <w:rPr>
          <w:sz w:val="20"/>
          <w:szCs w:val="20"/>
          <w:color w:val="auto"/>
        </w:rPr>
      </w:pPr>
      <w:r>
        <w:rPr>
          <w:rFonts w:ascii="Times New Roman" w:cs="Times New Roman" w:eastAsia="Times New Roman" w:hAnsi="Times New Roman"/>
          <w:sz w:val="20"/>
          <w:szCs w:val="20"/>
          <w:color w:val="auto"/>
        </w:rPr>
        <w:t>Borrowings under the Loan Agreement bear interest at a floating rate per annum equal to the greater of (i) 1-month term Secured Overnight Financing Rate, or SOFR, and (ii) 2.33%, plus 6.25%. The minimum per annum interest rate is 8.58%. Interest on the term loans is payable monthly in arrears. The Company began making interest payments beginning on December 1, 2022 and principal payments in equal monthly installments beginning on December 1, 2025. The term loans mature on October 1, 2027.</w:t>
      </w:r>
    </w:p>
    <w:p>
      <w:pPr>
        <w:spacing w:after="0" w:line="75" w:lineRule="exact"/>
        <w:rPr>
          <w:sz w:val="20"/>
          <w:szCs w:val="20"/>
          <w:color w:val="auto"/>
        </w:rPr>
      </w:pPr>
    </w:p>
    <w:p>
      <w:pPr>
        <w:ind w:right="140" w:firstLine="486"/>
        <w:spacing w:after="0" w:line="247" w:lineRule="auto"/>
        <w:rPr>
          <w:sz w:val="20"/>
          <w:szCs w:val="20"/>
          <w:color w:val="auto"/>
        </w:rPr>
      </w:pPr>
      <w:r>
        <w:rPr>
          <w:rFonts w:ascii="Times New Roman" w:cs="Times New Roman" w:eastAsia="Times New Roman" w:hAnsi="Times New Roman"/>
          <w:sz w:val="20"/>
          <w:szCs w:val="20"/>
          <w:color w:val="auto"/>
        </w:rPr>
        <w:t>The term loans may be prepaid in full or in part, in increments of $10.0 million, with various prepayment premiums. Upon the earlier prepayment or maturity of any term loan, the Company is required to pay a final payment fee of 6.0% of the original principal amount of such funded term loan. The final payment will be accreted to the final payment amount as interest expense using the effective interest method over the term of the loan through maturity date. The term loans once repaid or prepaid may not be reborrowed. The Company is also obligated to pay other customary fees for a loan facility of this size and type.</w:t>
      </w:r>
    </w:p>
    <w:p>
      <w:pPr>
        <w:spacing w:after="0" w:line="78"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20"/>
          <w:szCs w:val="20"/>
          <w:color w:val="auto"/>
        </w:rPr>
        <w:t>The term loans under the Loan Agreement are secured by substantially all of the Company’s assets, except the Company’s intellectual property, which is the subject of a negative pledge, and will be guaranteed by the Company’s future subsidiaries, subject to certain limitations. The Company and its subsidiary, ALX Oncology Limited, have guaranteed the obligations under the Loan Agreement. The Loan Agreement contains customary affirmative and negative covenants, including covenants limiting the ability of the Company to, among other things, dispose of assets, effect certain mergers, incur debt, grant liens, pay dividends and distributions on its capital stock, make investments and acquisitions, and enter into transactions with affiliates, in each case subject to customary exceptions for a loan facility of this size and type.</w:t>
      </w:r>
    </w:p>
    <w:p>
      <w:pPr>
        <w:spacing w:after="0" w:line="82" w:lineRule="exact"/>
        <w:rPr>
          <w:sz w:val="20"/>
          <w:szCs w:val="20"/>
          <w:color w:val="auto"/>
        </w:rPr>
      </w:pPr>
    </w:p>
    <w:p>
      <w:pPr>
        <w:ind w:right="120" w:firstLine="486"/>
        <w:spacing w:after="0" w:line="247" w:lineRule="auto"/>
        <w:rPr>
          <w:sz w:val="20"/>
          <w:szCs w:val="20"/>
          <w:color w:val="auto"/>
        </w:rPr>
      </w:pPr>
      <w:r>
        <w:rPr>
          <w:rFonts w:ascii="Times New Roman" w:cs="Times New Roman" w:eastAsia="Times New Roman" w:hAnsi="Times New Roman"/>
          <w:sz w:val="20"/>
          <w:szCs w:val="20"/>
          <w:color w:val="auto"/>
        </w:rPr>
        <w:t>The Loan Agreement contains customary events of default, which include, but are not limited to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w:t>
      </w:r>
    </w:p>
    <w:p>
      <w:pPr>
        <w:spacing w:after="0" w:line="78" w:lineRule="exact"/>
        <w:rPr>
          <w:sz w:val="20"/>
          <w:szCs w:val="20"/>
          <w:color w:val="auto"/>
        </w:rPr>
      </w:pPr>
    </w:p>
    <w:p>
      <w:pPr>
        <w:ind w:right="100" w:firstLine="486"/>
        <w:spacing w:after="0" w:line="247" w:lineRule="auto"/>
        <w:rPr>
          <w:sz w:val="20"/>
          <w:szCs w:val="20"/>
          <w:color w:val="auto"/>
        </w:rPr>
      </w:pPr>
      <w:r>
        <w:rPr>
          <w:rFonts w:ascii="Times New Roman" w:cs="Times New Roman" w:eastAsia="Times New Roman" w:hAnsi="Times New Roman"/>
          <w:sz w:val="20"/>
          <w:szCs w:val="20"/>
          <w:color w:val="auto"/>
        </w:rPr>
        <w:t>The Company received net proceeds from issuance of the term loan of $9.3 million after deducting debt issuance costs of approximately $0.7 million. Debt issuance costs were recorded as debt discount on the term loan, offsetting term loan, non-current on the consolidated balance sheets. The debt discount will be amortized over the term of the loan as interest expense using the effective interest method. During the years ended December 31, 2025, 2024 and 2023, interest expense incurred in connection with the Loan Agreement was $1.3 million, $1.2 million, and $1.1 million, respectively.</w:t>
      </w:r>
    </w:p>
    <w:p>
      <w:pPr>
        <w:spacing w:after="0" w:line="78" w:lineRule="exact"/>
        <w:rPr>
          <w:sz w:val="20"/>
          <w:szCs w:val="20"/>
          <w:color w:val="auto"/>
        </w:rPr>
      </w:pPr>
    </w:p>
    <w:p>
      <w:pPr>
        <w:ind w:right="40" w:firstLine="486"/>
        <w:spacing w:after="0" w:line="247" w:lineRule="auto"/>
        <w:rPr>
          <w:sz w:val="20"/>
          <w:szCs w:val="20"/>
          <w:color w:val="auto"/>
        </w:rPr>
      </w:pPr>
      <w:r>
        <w:rPr>
          <w:rFonts w:ascii="Times New Roman" w:cs="Times New Roman" w:eastAsia="Times New Roman" w:hAnsi="Times New Roman"/>
          <w:sz w:val="20"/>
          <w:szCs w:val="20"/>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As of December 31, 2025, the value of the embedded derivative is not material, but could become material in future periods if an event of default became more probable than is currently estimated. As of December 31, 2025, we were in compliance with all financial reporting covenants under the Loan Agreement.</w:t>
      </w:r>
    </w:p>
    <w:p>
      <w:pPr>
        <w:spacing w:after="0" w:line="78"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20"/>
          <w:szCs w:val="20"/>
          <w:color w:val="auto"/>
        </w:rPr>
        <w:t>In March 2023, Silicon Valley Bank (SVB) was closed by the California Department of Financial Protection and Innovation, which appointed the Federal Deposit Insurance Corporation, or FDIC, to act as receiver. The FDIC created Silicon Valley Bridge Bank, N.A., or SVBB, as successor to SVB. First Citizens BancShares, Inc., or First Citizens Bank, acquired SVBB from the FDIC and operates SVBB as Silicon Valley Bank, a division of First Citizens Bank, or SVB-First Citizens. Under the Loan Agreement, 50% of the funding comes from SVB, one of the three Lenders. Given the SVBB acquisition by First Citizens Bank, SVB-First Citizens will continue to fulfill SVB’s obligations under the Loan Agreement.</w:t>
      </w:r>
    </w:p>
    <w:p>
      <w:pPr>
        <w:spacing w:after="0" w:line="8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20"/>
          <w:szCs w:val="20"/>
          <w:color w:val="auto"/>
        </w:rPr>
        <w:t>In May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w:t>
      </w:r>
    </w:p>
    <w:p>
      <w:pPr>
        <w:spacing w:after="0" w:line="69" w:lineRule="exact"/>
        <w:rPr>
          <w:sz w:val="20"/>
          <w:szCs w:val="20"/>
          <w:color w:val="auto"/>
        </w:rPr>
      </w:pPr>
    </w:p>
    <w:p>
      <w:pPr>
        <w:ind w:right="240" w:firstLine="487"/>
        <w:spacing w:after="0" w:line="302" w:lineRule="auto"/>
        <w:rPr>
          <w:sz w:val="20"/>
          <w:szCs w:val="20"/>
          <w:color w:val="auto"/>
        </w:rPr>
      </w:pPr>
      <w:r>
        <w:rPr>
          <w:rFonts w:ascii="Times New Roman" w:cs="Times New Roman" w:eastAsia="Times New Roman" w:hAnsi="Times New Roman"/>
          <w:sz w:val="19"/>
          <w:szCs w:val="19"/>
          <w:color w:val="auto"/>
        </w:rPr>
        <w:t>In December 2023, we entered into a third amendment to the Loan Agreement. The primary purpose of the third amendment was to (i) extend the draw period for the first tranche loans from December 31, 2023 to June 30, 2024, (ii) add as a condition for the</w:t>
      </w:r>
    </w:p>
    <w:p>
      <w:pPr>
        <w:sectPr>
          <w:pgSz w:w="12240" w:h="15840" w:orient="portrait"/>
          <w:cols w:equalWidth="0" w:num="1">
            <w:col w:w="10720"/>
          </w:cols>
          <w:pgMar w:left="760" w:top="1361" w:right="760" w:bottom="246" w:gutter="0" w:footer="0" w:header="0"/>
        </w:sect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2240" w:h="15840" w:orient="portrait"/>
          <w:cols w:equalWidth="0" w:num="1">
            <w:col w:w="10720"/>
          </w:cols>
          <w:pgMar w:left="760" w:top="1361" w:right="760" w:bottom="246" w:gutter="0" w:footer="0" w:header="0"/>
          <w:type w:val="continuous"/>
        </w:sectPr>
      </w:pPr>
    </w:p>
    <w:bookmarkStart w:id="128" w:name="page129"/>
    <w:bookmarkEnd w:id="128"/>
    <w:p>
      <w:pPr>
        <w:ind w:right="40"/>
        <w:spacing w:after="0" w:line="250" w:lineRule="auto"/>
        <w:rPr>
          <w:sz w:val="20"/>
          <w:szCs w:val="20"/>
          <w:color w:val="auto"/>
        </w:rPr>
      </w:pPr>
      <w:r>
        <w:rPr>
          <w:rFonts w:ascii="Times New Roman" w:cs="Times New Roman" w:eastAsia="Times New Roman" w:hAnsi="Times New Roman"/>
          <w:sz w:val="20"/>
          <w:szCs w:val="20"/>
          <w:color w:val="auto"/>
        </w:rPr>
        <w:t>funding of any first tranche loans after the effective date of the amendment, the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spacing w:after="0" w:line="75" w:lineRule="exact"/>
        <w:rPr>
          <w:sz w:val="20"/>
          <w:szCs w:val="20"/>
          <w:color w:val="auto"/>
        </w:rPr>
      </w:pPr>
    </w:p>
    <w:p>
      <w:pPr>
        <w:ind w:right="80" w:firstLine="487"/>
        <w:spacing w:after="0" w:line="250" w:lineRule="auto"/>
        <w:rPr>
          <w:sz w:val="20"/>
          <w:szCs w:val="20"/>
          <w:color w:val="auto"/>
        </w:rPr>
      </w:pPr>
      <w:r>
        <w:rPr>
          <w:rFonts w:ascii="Times New Roman" w:cs="Times New Roman" w:eastAsia="Times New Roman" w:hAnsi="Times New Roman"/>
          <w:sz w:val="20"/>
          <w:szCs w:val="20"/>
          <w:color w:val="auto"/>
        </w:rPr>
        <w:t>The Company decided not to draw down on any portion of the $40.0 million available under the Loan Agreement by the deadline of June 30, 2024 and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as of December 31, 2025.</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the future maturities under the Loan Agreement are as follows (in thousands):</w:t>
      </w:r>
    </w:p>
    <w:p>
      <w:pPr>
        <w:spacing w:after="0" w:line="223" w:lineRule="exact"/>
        <w:rPr>
          <w:sz w:val="20"/>
          <w:szCs w:val="20"/>
          <w:color w:val="auto"/>
        </w:rPr>
      </w:pPr>
    </w:p>
    <w:tbl>
      <w:tblPr>
        <w:tblLayout w:type="fixed"/>
        <w:tblInd w:w="2040" w:type="dxa"/>
        <w:tblCellMar>
          <w:top w:w="0" w:type="dxa"/>
          <w:left w:w="0" w:type="dxa"/>
          <w:bottom w:w="0" w:type="dxa"/>
          <w:right w:w="0" w:type="dxa"/>
        </w:tblCellMar>
      </w:tblPr>
      <w:tr>
        <w:trPr>
          <w:trHeight w:val="252"/>
        </w:trPr>
        <w:tc>
          <w:tcPr>
            <w:tcW w:w="4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2026</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0" w:type="dxa"/>
            <w:vAlign w:val="bottom"/>
          </w:tcPr>
          <w:p>
            <w:pPr>
              <w:spacing w:after="0"/>
              <w:rPr>
                <w:sz w:val="1"/>
                <w:szCs w:val="1"/>
                <w:color w:val="auto"/>
              </w:rPr>
            </w:pPr>
          </w:p>
        </w:tc>
      </w:tr>
      <w:tr>
        <w:trPr>
          <w:trHeight w:val="204"/>
        </w:trPr>
        <w:tc>
          <w:tcPr>
            <w:tcW w:w="43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5,217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4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4,948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3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3"/>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43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3"/>
          </w:tcPr>
          <w:p>
            <w:pPr>
              <w:jc w:val="right"/>
              <w:ind w:right="60"/>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4"/>
        </w:trPr>
        <w:tc>
          <w:tcPr>
            <w:tcW w:w="434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Total future maturities</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rPr>
              <w:t>10,165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Less: current portion of term loan</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(5,217)</w:t>
            </w:r>
          </w:p>
        </w:tc>
        <w:tc>
          <w:tcPr>
            <w:tcW w:w="0" w:type="dxa"/>
            <w:vAlign w:val="bottom"/>
          </w:tcPr>
          <w:p>
            <w:pPr>
              <w:spacing w:after="0"/>
              <w:rPr>
                <w:sz w:val="1"/>
                <w:szCs w:val="1"/>
                <w:color w:val="auto"/>
              </w:rPr>
            </w:pPr>
          </w:p>
        </w:tc>
      </w:tr>
      <w:tr>
        <w:trPr>
          <w:trHeight w:val="204"/>
        </w:trPr>
        <w:tc>
          <w:tcPr>
            <w:tcW w:w="4340" w:type="dxa"/>
            <w:vAlign w:val="bottom"/>
          </w:tcPr>
          <w:p>
            <w:pPr>
              <w:spacing w:after="0" w:line="204" w:lineRule="exact"/>
              <w:rPr>
                <w:sz w:val="20"/>
                <w:szCs w:val="20"/>
                <w:color w:val="auto"/>
              </w:rPr>
            </w:pPr>
            <w:r>
              <w:rPr>
                <w:rFonts w:ascii="Times New Roman" w:cs="Times New Roman" w:eastAsia="Times New Roman" w:hAnsi="Times New Roman"/>
                <w:sz w:val="20"/>
                <w:szCs w:val="20"/>
                <w:color w:val="auto"/>
              </w:rPr>
              <w:t>Total term loan, net of current portion</w:t>
            </w: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jc w:val="right"/>
              <w:ind w:right="20"/>
              <w:spacing w:after="0" w:line="204" w:lineRule="exact"/>
              <w:rPr>
                <w:sz w:val="20"/>
                <w:szCs w:val="20"/>
                <w:color w:val="auto"/>
              </w:rPr>
            </w:pPr>
            <w:r>
              <w:rPr>
                <w:rFonts w:ascii="Times New Roman" w:cs="Times New Roman" w:eastAsia="Times New Roman" w:hAnsi="Times New Roman"/>
                <w:sz w:val="20"/>
                <w:szCs w:val="20"/>
                <w:color w:val="auto"/>
              </w:rPr>
              <w:t>4,948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3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Less: unamortized debt issuance costs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80" w:type="dxa"/>
            <w:vAlign w:val="bottom"/>
            <w:gridSpan w:val="3"/>
          </w:tcPr>
          <w:p>
            <w:pPr>
              <w:jc w:val="right"/>
              <w:spacing w:after="0" w:line="229" w:lineRule="exact"/>
              <w:rPr>
                <w:sz w:val="20"/>
                <w:szCs w:val="20"/>
                <w:color w:val="auto"/>
              </w:rPr>
            </w:pPr>
            <w:r>
              <w:rPr>
                <w:rFonts w:ascii="Times New Roman" w:cs="Times New Roman" w:eastAsia="Times New Roman" w:hAnsi="Times New Roman"/>
                <w:sz w:val="20"/>
                <w:szCs w:val="20"/>
                <w:color w:val="auto"/>
              </w:rPr>
              <w:t>(324)</w:t>
            </w:r>
          </w:p>
        </w:tc>
        <w:tc>
          <w:tcPr>
            <w:tcW w:w="0" w:type="dxa"/>
            <w:vAlign w:val="bottom"/>
          </w:tcPr>
          <w:p>
            <w:pPr>
              <w:spacing w:after="0"/>
              <w:rPr>
                <w:sz w:val="1"/>
                <w:szCs w:val="1"/>
                <w:color w:val="auto"/>
              </w:rPr>
            </w:pPr>
          </w:p>
        </w:tc>
      </w:tr>
      <w:tr>
        <w:trPr>
          <w:trHeight w:val="24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Less: unaccreted final payment costs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(92)</w:t>
            </w:r>
          </w:p>
        </w:tc>
        <w:tc>
          <w:tcPr>
            <w:tcW w:w="0" w:type="dxa"/>
            <w:vAlign w:val="bottom"/>
          </w:tcPr>
          <w:p>
            <w:pPr>
              <w:spacing w:after="0"/>
              <w:rPr>
                <w:sz w:val="1"/>
                <w:szCs w:val="1"/>
                <w:color w:val="auto"/>
              </w:rPr>
            </w:pPr>
          </w:p>
        </w:tc>
      </w:tr>
      <w:tr>
        <w:trPr>
          <w:trHeight w:val="223"/>
        </w:trPr>
        <w:tc>
          <w:tcPr>
            <w:tcW w:w="434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Term loan, non-current, net</w:t>
            </w:r>
          </w:p>
        </w:tc>
        <w:tc>
          <w:tcPr>
            <w:tcW w:w="20" w:type="dxa"/>
            <w:vAlign w:val="bottom"/>
          </w:tcPr>
          <w:p>
            <w:pPr>
              <w:spacing w:after="0"/>
              <w:rPr>
                <w:sz w:val="19"/>
                <w:szCs w:val="19"/>
                <w:color w:val="auto"/>
              </w:rPr>
            </w:pPr>
          </w:p>
        </w:tc>
        <w:tc>
          <w:tcPr>
            <w:tcW w:w="1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2040" w:type="dxa"/>
            <w:vAlign w:val="bottom"/>
            <w:tcBorders>
              <w:top w:val="single" w:sz="8" w:color="auto"/>
            </w:tcBorders>
            <w:gridSpan w:val="2"/>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4,532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STOCKHOLDERS’ EQUITY</w:t>
      </w:r>
    </w:p>
    <w:p>
      <w:pPr>
        <w:spacing w:after="0" w:line="122" w:lineRule="exact"/>
        <w:rPr>
          <w:sz w:val="20"/>
          <w:szCs w:val="20"/>
          <w:color w:val="auto"/>
        </w:rPr>
      </w:pPr>
    </w:p>
    <w:p>
      <w:pPr>
        <w:ind w:right="20" w:firstLine="486"/>
        <w:spacing w:after="0" w:line="250" w:lineRule="auto"/>
        <w:rPr>
          <w:sz w:val="20"/>
          <w:szCs w:val="20"/>
          <w:color w:val="auto"/>
        </w:rPr>
      </w:pPr>
      <w:r>
        <w:rPr>
          <w:rFonts w:ascii="Times New Roman" w:cs="Times New Roman" w:eastAsia="Times New Roman" w:hAnsi="Times New Roman"/>
          <w:sz w:val="20"/>
          <w:szCs w:val="20"/>
          <w:color w:val="auto"/>
        </w:rPr>
        <w:t>On July 21, 2020, the Company’s amended and restated certificate of incorporation became effective, authorizing 1,000,000,000 shares of common stock, $0.001 par value per share, and 100,000,000 shares of undesignated preferred stock, $0.001 par value per share. As of December 31, 2025 and 2024, the Company had 54,388,022 and 53,052,912 shares of common stock outstanding, respectively.</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Common Stock</w:t>
      </w:r>
    </w:p>
    <w:p>
      <w:pPr>
        <w:spacing w:after="0" w:line="118" w:lineRule="exact"/>
        <w:rPr>
          <w:sz w:val="20"/>
          <w:szCs w:val="20"/>
          <w:color w:val="auto"/>
        </w:rPr>
      </w:pPr>
    </w:p>
    <w:p>
      <w:pPr>
        <w:ind w:right="240" w:firstLine="486"/>
        <w:spacing w:after="0" w:line="250" w:lineRule="auto"/>
        <w:rPr>
          <w:sz w:val="20"/>
          <w:szCs w:val="20"/>
          <w:color w:val="auto"/>
        </w:rPr>
      </w:pPr>
      <w:r>
        <w:rPr>
          <w:rFonts w:ascii="Times New Roman" w:cs="Times New Roman" w:eastAsia="Times New Roman" w:hAnsi="Times New Roman"/>
          <w:sz w:val="20"/>
          <w:szCs w:val="20"/>
          <w:color w:val="auto"/>
        </w:rPr>
        <w:t>In July 2020, the Company consummated its initial public offering and issued 9,775,000 shares of common stock for net proceeds of approximately $169.5 million, after deducting underwriting discounts and commissions of $13.0 million and offering-related expenses of $3.2 million. Upon the closing of the initial public offering, all shares of convertible preferred stock outstanding and accrued cumulative dividends were automatically converted into 23,934,533 shares of common stock.</w:t>
      </w:r>
    </w:p>
    <w:p>
      <w:pPr>
        <w:spacing w:after="0" w:line="75" w:lineRule="exact"/>
        <w:rPr>
          <w:sz w:val="20"/>
          <w:szCs w:val="20"/>
          <w:color w:val="auto"/>
        </w:rPr>
      </w:pPr>
    </w:p>
    <w:p>
      <w:pPr>
        <w:jc w:val="both"/>
        <w:ind w:right="360" w:firstLine="486"/>
        <w:spacing w:after="0" w:line="256" w:lineRule="auto"/>
        <w:rPr>
          <w:sz w:val="20"/>
          <w:szCs w:val="20"/>
          <w:color w:val="auto"/>
        </w:rPr>
      </w:pPr>
      <w:r>
        <w:rPr>
          <w:rFonts w:ascii="Times New Roman" w:cs="Times New Roman" w:eastAsia="Times New Roman" w:hAnsi="Times New Roman"/>
          <w:sz w:val="20"/>
          <w:szCs w:val="20"/>
          <w:color w:val="auto"/>
        </w:rPr>
        <w:t>In December 2020, the Company consummated its registered offering and issued 2,737,000 shares of common stock for net proceeds of approximately $194.9 million, after deducting underwriting discounts and commissions of $12.5 million and offering-related expenses of $0.7 million.</w:t>
      </w:r>
    </w:p>
    <w:p>
      <w:pPr>
        <w:spacing w:after="0" w:line="69" w:lineRule="exact"/>
        <w:rPr>
          <w:sz w:val="20"/>
          <w:szCs w:val="20"/>
          <w:color w:val="auto"/>
        </w:rPr>
      </w:pPr>
    </w:p>
    <w:p>
      <w:pPr>
        <w:ind w:firstLine="486"/>
        <w:spacing w:after="0" w:line="247" w:lineRule="auto"/>
        <w:rPr>
          <w:sz w:val="20"/>
          <w:szCs w:val="20"/>
          <w:color w:val="auto"/>
        </w:rPr>
      </w:pPr>
      <w:r>
        <w:rPr>
          <w:rFonts w:ascii="Times New Roman" w:cs="Times New Roman" w:eastAsia="Times New Roman" w:hAnsi="Times New Roman"/>
          <w:sz w:val="20"/>
          <w:szCs w:val="20"/>
          <w:color w:val="auto"/>
        </w:rPr>
        <w:t>In October 2023, the Company completed a registered offering and issued an aggregate of 8,663,793 shares of common stock, including the underwriters’ exercise in full of their overallotment option of 1,293,103 shares of common stock, and, in lieu of common stock to certain investors, pre-funded warrants to purchase 1,250,000 shares of common stock at an offering price of $6.38 per share and $6.379 per pre-funded warrant. Net proceeds were approximately $58.9 million, after deducting underwriting discounts and commissions of $3.8 million and offering-related expenses of $0.6 million.</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Common stock reserved for future issuance as of December 31, 2025 consists of the following:</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7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Stock options issued and outstanding</w:t>
            </w:r>
          </w:p>
        </w:tc>
        <w:tc>
          <w:tcPr>
            <w:tcW w:w="33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0" w:type="dxa"/>
            <w:vAlign w:val="bottom"/>
          </w:tcPr>
          <w:p>
            <w:pPr>
              <w:spacing w:after="0"/>
              <w:rPr>
                <w:sz w:val="1"/>
                <w:szCs w:val="1"/>
                <w:color w:val="auto"/>
              </w:rPr>
            </w:pPr>
          </w:p>
        </w:tc>
      </w:tr>
      <w:tr>
        <w:trPr>
          <w:trHeight w:val="232"/>
        </w:trPr>
        <w:tc>
          <w:tcPr>
            <w:tcW w:w="7300" w:type="dxa"/>
            <w:vAlign w:val="bottom"/>
            <w:vMerge w:val="continue"/>
          </w:tcPr>
          <w:p>
            <w:pPr>
              <w:spacing w:after="0"/>
              <w:rPr>
                <w:sz w:val="20"/>
                <w:szCs w:val="20"/>
                <w:color w:val="auto"/>
              </w:rPr>
            </w:pPr>
          </w:p>
        </w:tc>
        <w:tc>
          <w:tcPr>
            <w:tcW w:w="3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12,878,187</w:t>
            </w:r>
          </w:p>
        </w:tc>
        <w:tc>
          <w:tcPr>
            <w:tcW w:w="0" w:type="dxa"/>
            <w:vAlign w:val="bottom"/>
          </w:tcPr>
          <w:p>
            <w:pPr>
              <w:spacing w:after="0"/>
              <w:rPr>
                <w:sz w:val="1"/>
                <w:szCs w:val="1"/>
                <w:color w:val="auto"/>
              </w:rPr>
            </w:pPr>
          </w:p>
        </w:tc>
      </w:tr>
      <w:tr>
        <w:trPr>
          <w:trHeight w:val="242"/>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RSUs issued and outstanding</w:t>
            </w:r>
          </w:p>
        </w:tc>
        <w:tc>
          <w:tcPr>
            <w:tcW w:w="3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240,433</w:t>
            </w:r>
          </w:p>
        </w:tc>
        <w:tc>
          <w:tcPr>
            <w:tcW w:w="0" w:type="dxa"/>
            <w:vAlign w:val="bottom"/>
          </w:tcPr>
          <w:p>
            <w:pPr>
              <w:spacing w:after="0"/>
              <w:rPr>
                <w:sz w:val="1"/>
                <w:szCs w:val="1"/>
                <w:color w:val="auto"/>
              </w:rPr>
            </w:pPr>
          </w:p>
        </w:tc>
      </w:tr>
      <w:tr>
        <w:trPr>
          <w:trHeight w:val="242"/>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PSUs issued and outstanding</w:t>
            </w:r>
          </w:p>
        </w:tc>
        <w:tc>
          <w:tcPr>
            <w:tcW w:w="3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57,750</w:t>
            </w:r>
          </w:p>
        </w:tc>
        <w:tc>
          <w:tcPr>
            <w:tcW w:w="0" w:type="dxa"/>
            <w:vAlign w:val="bottom"/>
          </w:tcPr>
          <w:p>
            <w:pPr>
              <w:spacing w:after="0"/>
              <w:rPr>
                <w:sz w:val="1"/>
                <w:szCs w:val="1"/>
                <w:color w:val="auto"/>
              </w:rPr>
            </w:pPr>
          </w:p>
        </w:tc>
      </w:tr>
      <w:tr>
        <w:trPr>
          <w:trHeight w:val="242"/>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Stock options authorized for future issuance</w:t>
            </w:r>
          </w:p>
        </w:tc>
        <w:tc>
          <w:tcPr>
            <w:tcW w:w="3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2,578,855</w:t>
            </w:r>
          </w:p>
        </w:tc>
        <w:tc>
          <w:tcPr>
            <w:tcW w:w="0" w:type="dxa"/>
            <w:vAlign w:val="bottom"/>
          </w:tcPr>
          <w:p>
            <w:pPr>
              <w:spacing w:after="0"/>
              <w:rPr>
                <w:sz w:val="1"/>
                <w:szCs w:val="1"/>
                <w:color w:val="auto"/>
              </w:rPr>
            </w:pPr>
          </w:p>
        </w:tc>
      </w:tr>
      <w:tr>
        <w:trPr>
          <w:trHeight w:val="242"/>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Employee Stock Purchase Plan shares authorized for future issuance</w:t>
            </w:r>
          </w:p>
        </w:tc>
        <w:tc>
          <w:tcPr>
            <w:tcW w:w="3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1,440,263</w:t>
            </w:r>
          </w:p>
        </w:tc>
        <w:tc>
          <w:tcPr>
            <w:tcW w:w="0" w:type="dxa"/>
            <w:vAlign w:val="bottom"/>
          </w:tcPr>
          <w:p>
            <w:pPr>
              <w:spacing w:after="0"/>
              <w:rPr>
                <w:sz w:val="1"/>
                <w:szCs w:val="1"/>
                <w:color w:val="auto"/>
              </w:rPr>
            </w:pPr>
          </w:p>
        </w:tc>
      </w:tr>
      <w:tr>
        <w:trPr>
          <w:trHeight w:val="248"/>
        </w:trPr>
        <w:tc>
          <w:tcPr>
            <w:tcW w:w="7300" w:type="dxa"/>
            <w:vAlign w:val="bottom"/>
          </w:tcPr>
          <w:p>
            <w:pPr>
              <w:spacing w:after="0"/>
              <w:rPr>
                <w:sz w:val="20"/>
                <w:szCs w:val="20"/>
                <w:color w:val="auto"/>
              </w:rPr>
            </w:pPr>
            <w:r>
              <w:rPr>
                <w:rFonts w:ascii="Times New Roman" w:cs="Times New Roman" w:eastAsia="Times New Roman" w:hAnsi="Times New Roman"/>
                <w:sz w:val="20"/>
                <w:szCs w:val="20"/>
                <w:color w:val="auto"/>
              </w:rPr>
              <w:t>Pre-funded warrants issued and outstanding</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1,250,000</w:t>
            </w:r>
          </w:p>
        </w:tc>
        <w:tc>
          <w:tcPr>
            <w:tcW w:w="0" w:type="dxa"/>
            <w:vAlign w:val="bottom"/>
          </w:tcPr>
          <w:p>
            <w:pPr>
              <w:spacing w:after="0"/>
              <w:rPr>
                <w:sz w:val="1"/>
                <w:szCs w:val="1"/>
                <w:color w:val="auto"/>
              </w:rPr>
            </w:pPr>
          </w:p>
        </w:tc>
      </w:tr>
      <w:tr>
        <w:trPr>
          <w:trHeight w:val="237"/>
        </w:trPr>
        <w:tc>
          <w:tcPr>
            <w:tcW w:w="7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3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18,445,488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2240" w:h="15840" w:orient="portrait"/>
          <w:cols w:equalWidth="0" w:num="1">
            <w:col w:w="10720"/>
          </w:cols>
          <w:pgMar w:left="760" w:top="978" w:right="760" w:bottom="246" w:gutter="0" w:footer="0" w:header="0"/>
          <w:type w:val="continuous"/>
        </w:sectPr>
      </w:pPr>
    </w:p>
    <w:bookmarkStart w:id="129" w:name="page130"/>
    <w:bookmarkEnd w:id="129"/>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At-the-Market Equity Offering</w:t>
      </w:r>
    </w:p>
    <w:p>
      <w:pPr>
        <w:spacing w:after="0" w:line="118" w:lineRule="exact"/>
        <w:rPr>
          <w:sz w:val="20"/>
          <w:szCs w:val="20"/>
          <w:color w:val="auto"/>
        </w:rPr>
      </w:pPr>
    </w:p>
    <w:p>
      <w:pPr>
        <w:ind w:left="3" w:right="100" w:firstLine="486"/>
        <w:spacing w:after="0" w:line="244" w:lineRule="auto"/>
        <w:rPr>
          <w:sz w:val="20"/>
          <w:szCs w:val="20"/>
          <w:color w:val="auto"/>
        </w:rPr>
      </w:pPr>
      <w:r>
        <w:rPr>
          <w:rFonts w:ascii="Times New Roman" w:cs="Times New Roman" w:eastAsia="Times New Roman" w:hAnsi="Times New Roman"/>
          <w:sz w:val="20"/>
          <w:szCs w:val="20"/>
          <w:color w:val="auto"/>
        </w:rPr>
        <w:t>In December 2021, the Company entered into a sales agreement with Cantor Fitzgerald &amp; Co. and Credit Suisse Securities (USA) LLC (Sales Agreement), under which it may offer and sell shares of the Company’s common stock, having aggregate gross proceeds of up to $150.0 million, from time to time through them as the Company’s sales agents in its at-the-market equity offering program (ATM Offering). In August 2023, the Company entered into an amendment to the Sales Agreement to include UBS Securities LLC as an additional sales agent and to remove Credit Suisse as a sales agent. As of December 31, 2025, the Company had issued approximately 3,175,681 shares of common stock pursuant to the Sales Agreement for net proceeds of $31.4 million. The Company may terminate this ATM program at any time, pursuant to its terms.</w:t>
      </w:r>
    </w:p>
    <w:p>
      <w:pPr>
        <w:spacing w:after="0" w:line="201"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Pre-Funded Warrants</w:t>
      </w:r>
    </w:p>
    <w:p>
      <w:pPr>
        <w:spacing w:after="0" w:line="118" w:lineRule="exact"/>
        <w:rPr>
          <w:sz w:val="20"/>
          <w:szCs w:val="20"/>
          <w:color w:val="auto"/>
        </w:rPr>
      </w:pPr>
    </w:p>
    <w:p>
      <w:pPr>
        <w:ind w:left="3" w:firstLine="486"/>
        <w:spacing w:after="0" w:line="256" w:lineRule="auto"/>
        <w:rPr>
          <w:sz w:val="20"/>
          <w:szCs w:val="20"/>
          <w:color w:val="auto"/>
        </w:rPr>
      </w:pPr>
      <w:r>
        <w:rPr>
          <w:rFonts w:ascii="Times New Roman" w:cs="Times New Roman" w:eastAsia="Times New Roman" w:hAnsi="Times New Roman"/>
          <w:sz w:val="20"/>
          <w:szCs w:val="20"/>
          <w:color w:val="auto"/>
        </w:rPr>
        <w:t>As part of the October 2023 Offering, the Company issued pre-funded warrants to certain investors to purchase 1,250,000 shares of common stock in a registered offering at an offering price of $6.379 per pre-funded warrant. Each pre-funded warrant entitles the holder to purchase one share of common stock at an exercise price of $0.001 per share.</w:t>
      </w:r>
    </w:p>
    <w:p>
      <w:pPr>
        <w:spacing w:after="0" w:line="69" w:lineRule="exact"/>
        <w:rPr>
          <w:sz w:val="20"/>
          <w:szCs w:val="20"/>
          <w:color w:val="auto"/>
        </w:rPr>
      </w:pPr>
    </w:p>
    <w:p>
      <w:pPr>
        <w:ind w:left="3" w:right="80" w:firstLine="486"/>
        <w:spacing w:after="0" w:line="245" w:lineRule="auto"/>
        <w:rPr>
          <w:sz w:val="20"/>
          <w:szCs w:val="20"/>
          <w:color w:val="auto"/>
        </w:rPr>
      </w:pPr>
      <w:r>
        <w:rPr>
          <w:rFonts w:ascii="Times New Roman" w:cs="Times New Roman" w:eastAsia="Times New Roman" w:hAnsi="Times New Roman"/>
          <w:sz w:val="20"/>
          <w:szCs w:val="20"/>
          <w:color w:val="auto"/>
        </w:rPr>
        <w:t>The pre-funded warrants to purchase shares of common stock are exercisable at any time after their original issuance. However, the pre-funded warrants include a separate provision whereby the exercisability of the pre-funded warrants may be limited if, upon exercise, the warrant holder or any of its affiliates would beneficially own more than 9.99% of the Company’s common stock. This threshold is subject to the warrant holder’s rights under the pre-funded warrants to increase or decrease such percentage to any other percentage not in excess of 19.99% upon at least 61 days’ prior notice from the warrant holder to the Company. The pre-funded warrants will expire on the date the warrants are exercised in full.</w:t>
      </w:r>
    </w:p>
    <w:p>
      <w:pPr>
        <w:spacing w:after="0" w:line="81" w:lineRule="exact"/>
        <w:rPr>
          <w:sz w:val="20"/>
          <w:szCs w:val="20"/>
          <w:color w:val="auto"/>
        </w:rPr>
      </w:pPr>
    </w:p>
    <w:p>
      <w:pPr>
        <w:ind w:left="3" w:right="120" w:firstLine="486"/>
        <w:spacing w:after="0" w:line="242" w:lineRule="auto"/>
        <w:rPr>
          <w:sz w:val="20"/>
          <w:szCs w:val="20"/>
          <w:color w:val="auto"/>
        </w:rPr>
      </w:pPr>
      <w:r>
        <w:rPr>
          <w:rFonts w:ascii="Times New Roman" w:cs="Times New Roman" w:eastAsia="Times New Roman" w:hAnsi="Times New Roman"/>
          <w:sz w:val="20"/>
          <w:szCs w:val="20"/>
          <w:color w:val="auto"/>
        </w:rPr>
        <w:t>The pre-funded warrants were classified as equity and accounted for as a component of additional paid-in capital. The pre-funded warrants were classified as equity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 The Company valued the pre-funded warrants at issuance, concluding that their offering price approximated their fair value, and allocated the aggregate net proceeds from the offering proportionately to the common stock and pre-funded warrants, including approximately $7.4 million allocated to the pre-funded warrants and recorded as a component of additional paid-in capital on the consolidated balance sheets.</w:t>
      </w:r>
    </w:p>
    <w:p>
      <w:pPr>
        <w:spacing w:after="0" w:line="88" w:lineRule="exact"/>
        <w:rPr>
          <w:sz w:val="20"/>
          <w:szCs w:val="20"/>
          <w:color w:val="auto"/>
        </w:rPr>
      </w:pPr>
    </w:p>
    <w:p>
      <w:pPr>
        <w:ind w:left="3" w:firstLine="486"/>
        <w:spacing w:after="0" w:line="256" w:lineRule="auto"/>
        <w:rPr>
          <w:sz w:val="20"/>
          <w:szCs w:val="20"/>
          <w:color w:val="auto"/>
        </w:rPr>
      </w:pPr>
      <w:r>
        <w:rPr>
          <w:rFonts w:ascii="Times New Roman" w:cs="Times New Roman" w:eastAsia="Times New Roman" w:hAnsi="Times New Roman"/>
          <w:sz w:val="20"/>
          <w:szCs w:val="20"/>
          <w:color w:val="auto"/>
        </w:rPr>
        <w:t>As of December 31, 2025, no shares underlying the pre-funded warrants had been exercised. All of the outstanding pre-funded warrants are included in the weighted-average number of shares of common stock used to calculate basic net loss per share attributable to common stockholders (see “Note 12. Net Loss Per Share Attributable to Common Stockholders”).</w:t>
      </w:r>
    </w:p>
    <w:p>
      <w:pPr>
        <w:spacing w:after="0" w:line="303" w:lineRule="exact"/>
        <w:rPr>
          <w:sz w:val="20"/>
          <w:szCs w:val="20"/>
          <w:color w:val="auto"/>
        </w:rPr>
      </w:pPr>
    </w:p>
    <w:p>
      <w:pPr>
        <w:ind w:left="483" w:right="7320" w:hanging="483"/>
        <w:spacing w:after="0" w:line="385" w:lineRule="auto"/>
        <w:tabs>
          <w:tab w:leader="none" w:pos="278" w:val="left"/>
        </w:tabs>
        <w:numPr>
          <w:ilvl w:val="0"/>
          <w:numId w:val="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STOCK-BASED COMPENSATION </w:t>
      </w:r>
      <w:r>
        <w:rPr>
          <w:rFonts w:ascii="Times New Roman" w:cs="Times New Roman" w:eastAsia="Times New Roman" w:hAnsi="Times New Roman"/>
          <w:sz w:val="19"/>
          <w:szCs w:val="19"/>
          <w:b w:val="1"/>
          <w:bCs w:val="1"/>
          <w:i w:val="1"/>
          <w:iCs w:val="1"/>
          <w:color w:val="auto"/>
        </w:rPr>
        <w:t>Equity Incentive Plans</w:t>
      </w:r>
    </w:p>
    <w:p>
      <w:pPr>
        <w:ind w:left="483"/>
        <w:spacing w:after="0"/>
        <w:rPr>
          <w:sz w:val="20"/>
          <w:szCs w:val="20"/>
          <w:color w:val="auto"/>
        </w:rPr>
      </w:pPr>
      <w:r>
        <w:rPr>
          <w:rFonts w:ascii="Times New Roman" w:cs="Times New Roman" w:eastAsia="Times New Roman" w:hAnsi="Times New Roman"/>
          <w:sz w:val="20"/>
          <w:szCs w:val="20"/>
          <w:i w:val="1"/>
          <w:iCs w:val="1"/>
          <w:color w:val="auto"/>
        </w:rPr>
        <w:t>2020 Equity Incentive Plan</w:t>
      </w:r>
    </w:p>
    <w:p>
      <w:pPr>
        <w:spacing w:after="0" w:line="116" w:lineRule="exact"/>
        <w:rPr>
          <w:sz w:val="20"/>
          <w:szCs w:val="20"/>
          <w:color w:val="auto"/>
        </w:rPr>
      </w:pPr>
    </w:p>
    <w:p>
      <w:pPr>
        <w:ind w:left="3" w:right="80" w:firstLine="487"/>
        <w:spacing w:after="0" w:line="267" w:lineRule="auto"/>
        <w:rPr>
          <w:sz w:val="20"/>
          <w:szCs w:val="20"/>
          <w:color w:val="auto"/>
        </w:rPr>
      </w:pPr>
      <w:r>
        <w:rPr>
          <w:rFonts w:ascii="Times New Roman" w:cs="Times New Roman" w:eastAsia="Times New Roman" w:hAnsi="Times New Roman"/>
          <w:sz w:val="19"/>
          <w:szCs w:val="19"/>
          <w:color w:val="auto"/>
        </w:rPr>
        <w:t>On April 1, 2020, the board of directors (the Board) approved a new equity incentive plan, or the 2020 Equity Incentive Plan, that replaced the Company’s existing equity compensation plan, 2015 Share Award Scheme. The 2020 Equity Incentive Plan permitted the issuance of up to 4,379,139 shares of the Company’s common stock pursuant to awards granted under it, and authorized the award of stock options, restricted stock awards, stock appreciation rights and RSUs to employees, directors, and consultants.</w:t>
      </w:r>
    </w:p>
    <w:p>
      <w:pPr>
        <w:spacing w:after="0" w:line="142"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i w:val="1"/>
          <w:iCs w:val="1"/>
          <w:color w:val="auto"/>
        </w:rPr>
        <w:t>Amended and Restated 2020 Equity Incentive Plan</w:t>
      </w:r>
    </w:p>
    <w:p>
      <w:pPr>
        <w:spacing w:after="0" w:line="116" w:lineRule="exact"/>
        <w:rPr>
          <w:sz w:val="20"/>
          <w:szCs w:val="20"/>
          <w:color w:val="auto"/>
        </w:rPr>
      </w:pPr>
    </w:p>
    <w:p>
      <w:pPr>
        <w:ind w:left="3" w:right="160" w:firstLine="487"/>
        <w:spacing w:after="0" w:line="247" w:lineRule="auto"/>
        <w:rPr>
          <w:sz w:val="20"/>
          <w:szCs w:val="20"/>
          <w:color w:val="auto"/>
        </w:rPr>
      </w:pPr>
      <w:r>
        <w:rPr>
          <w:rFonts w:ascii="Times New Roman" w:cs="Times New Roman" w:eastAsia="Times New Roman" w:hAnsi="Times New Roman"/>
          <w:sz w:val="20"/>
          <w:szCs w:val="20"/>
          <w:color w:val="auto"/>
        </w:rPr>
        <w:t>In July 2020, the Company adopted the Amended and Restated 2020 Equity Incentive Plan, or the 2020 Plan. The 2020 Plan replaced the Company’s 2020 Equity Incentive Plan and a total of 7,874,862 shares were reserved under the 2020 Plan. Unless the Board provides otherwise, beginning on January 1, 2021, the maximum number of shares which shall be made available for issuance under the 2020 Plan will automatically increase on the first day in January of each calendar year (i.e., the first day of our fiscal year) by an amount equal to the least of:</w:t>
      </w:r>
    </w:p>
    <w:p>
      <w:pPr>
        <w:spacing w:after="0" w:line="92" w:lineRule="exact"/>
        <w:rPr>
          <w:sz w:val="20"/>
          <w:szCs w:val="20"/>
          <w:color w:val="auto"/>
        </w:rPr>
      </w:pPr>
    </w:p>
    <w:p>
      <w:pPr>
        <w:ind w:left="1203" w:hanging="402"/>
        <w:spacing w:after="0"/>
        <w:tabs>
          <w:tab w:leader="none" w:pos="1203"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4,000,000 shares;</w:t>
      </w:r>
    </w:p>
    <w:p>
      <w:pPr>
        <w:spacing w:after="0" w:line="131" w:lineRule="exact"/>
        <w:rPr>
          <w:rFonts w:ascii="Arial" w:cs="Arial" w:eastAsia="Arial" w:hAnsi="Arial"/>
          <w:sz w:val="20"/>
          <w:szCs w:val="20"/>
          <w:color w:val="auto"/>
        </w:rPr>
      </w:pPr>
    </w:p>
    <w:p>
      <w:pPr>
        <w:ind w:left="1203" w:hanging="402"/>
        <w:spacing w:after="0"/>
        <w:tabs>
          <w:tab w:leader="none" w:pos="1203" w:val="left"/>
        </w:tabs>
        <w:numPr>
          <w:ilvl w:val="0"/>
          <w:numId w:val="74"/>
        </w:numPr>
        <w:rPr>
          <w:rFonts w:ascii="Arial" w:cs="Arial" w:eastAsia="Arial" w:hAnsi="Arial"/>
          <w:sz w:val="19"/>
          <w:szCs w:val="19"/>
          <w:color w:val="auto"/>
        </w:rPr>
      </w:pPr>
      <w:r>
        <w:rPr>
          <w:rFonts w:ascii="Times New Roman" w:cs="Times New Roman" w:eastAsia="Times New Roman" w:hAnsi="Times New Roman"/>
          <w:sz w:val="19"/>
          <w:szCs w:val="19"/>
          <w:color w:val="auto"/>
        </w:rPr>
        <w:t>four percent of the outstanding shares of our common stock on the last day of our immediately preceding fiscal year; or</w:t>
      </w:r>
    </w:p>
    <w:p>
      <w:pPr>
        <w:spacing w:after="0" w:line="142" w:lineRule="exact"/>
        <w:rPr>
          <w:rFonts w:ascii="Arial" w:cs="Arial" w:eastAsia="Arial" w:hAnsi="Arial"/>
          <w:sz w:val="19"/>
          <w:szCs w:val="19"/>
          <w:color w:val="auto"/>
        </w:rPr>
      </w:pPr>
    </w:p>
    <w:p>
      <w:pPr>
        <w:ind w:left="1203" w:right="100" w:hanging="402"/>
        <w:spacing w:after="0" w:line="273" w:lineRule="auto"/>
        <w:tabs>
          <w:tab w:leader="none" w:pos="1203" w:val="left"/>
        </w:tabs>
        <w:numPr>
          <w:ilvl w:val="0"/>
          <w:numId w:val="74"/>
        </w:numPr>
        <w:rPr>
          <w:rFonts w:ascii="Arial" w:cs="Arial" w:eastAsia="Arial" w:hAnsi="Arial"/>
          <w:sz w:val="20"/>
          <w:szCs w:val="20"/>
          <w:color w:val="auto"/>
        </w:rPr>
      </w:pPr>
      <w:r>
        <w:rPr>
          <w:rFonts w:ascii="Times New Roman" w:cs="Times New Roman" w:eastAsia="Times New Roman" w:hAnsi="Times New Roman"/>
          <w:sz w:val="20"/>
          <w:szCs w:val="20"/>
          <w:color w:val="auto"/>
        </w:rPr>
        <w:t>such number of shares as our board of directors may determine no later than the last day of our immediately preceding fiscal year.</w:t>
      </w:r>
    </w:p>
    <w:p>
      <w:pPr>
        <w:spacing w:after="0" w:line="52"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20"/>
          <w:szCs w:val="20"/>
          <w:color w:val="auto"/>
        </w:rPr>
        <w:t>The terms of the stock option agreements, including vesting requirements, are determined by the Board, subject to the</w:t>
      </w:r>
    </w:p>
    <w:p>
      <w:pPr>
        <w:spacing w:after="0" w:line="26"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9"/>
          <w:szCs w:val="19"/>
          <w:color w:val="auto"/>
        </w:rPr>
        <w:t>provisions of the 2020 Plan. The term of the options generally expire, upon the earliest of (i) termination of continuous service for</w:t>
      </w:r>
    </w:p>
    <w:p>
      <w:pPr>
        <w:sectPr>
          <w:pgSz w:w="12240" w:h="15840" w:orient="portrait"/>
          <w:cols w:equalWidth="0" w:num="1">
            <w:col w:w="10723"/>
          </w:cols>
          <w:pgMar w:left="757" w:top="978" w:right="760" w:bottom="246" w:gutter="0" w:footer="0" w:header="0"/>
        </w:sectPr>
      </w:pPr>
    </w:p>
    <w:p>
      <w:pPr>
        <w:spacing w:after="0" w:line="24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120</w:t>
      </w:r>
    </w:p>
    <w:p>
      <w:pPr>
        <w:sectPr>
          <w:pgSz w:w="12240" w:h="15840" w:orient="portrait"/>
          <w:cols w:equalWidth="0" w:num="1">
            <w:col w:w="10723"/>
          </w:cols>
          <w:pgMar w:left="757" w:top="978" w:right="760" w:bottom="246" w:gutter="0" w:footer="0" w:header="0"/>
          <w:type w:val="continuous"/>
        </w:sectPr>
      </w:pPr>
    </w:p>
    <w:bookmarkStart w:id="130" w:name="page131"/>
    <w:bookmarkEnd w:id="130"/>
    <w:p>
      <w:pPr>
        <w:ind w:right="40"/>
        <w:spacing w:after="0" w:line="247" w:lineRule="auto"/>
        <w:rPr>
          <w:sz w:val="20"/>
          <w:szCs w:val="20"/>
          <w:color w:val="auto"/>
        </w:rPr>
      </w:pPr>
      <w:r>
        <w:rPr>
          <w:rFonts w:ascii="Times New Roman" w:cs="Times New Roman" w:eastAsia="Times New Roman" w:hAnsi="Times New Roman"/>
          <w:sz w:val="20"/>
          <w:szCs w:val="20"/>
          <w:color w:val="auto"/>
        </w:rPr>
        <w:t>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per share exercise price of the incentive stock options must equal at least the fair market value of a share underlying such options on the date of grant.</w:t>
      </w:r>
    </w:p>
    <w:p>
      <w:pPr>
        <w:spacing w:after="0" w:line="78" w:lineRule="exact"/>
        <w:rPr>
          <w:sz w:val="20"/>
          <w:szCs w:val="20"/>
          <w:color w:val="auto"/>
        </w:rPr>
      </w:pPr>
    </w:p>
    <w:p>
      <w:pPr>
        <w:ind w:right="140" w:firstLine="486"/>
        <w:spacing w:after="0" w:line="242" w:lineRule="auto"/>
        <w:rPr>
          <w:sz w:val="20"/>
          <w:szCs w:val="20"/>
          <w:color w:val="auto"/>
        </w:rPr>
      </w:pPr>
      <w:r>
        <w:rPr>
          <w:rFonts w:ascii="Times New Roman" w:cs="Times New Roman" w:eastAsia="Times New Roman" w:hAnsi="Times New Roman"/>
          <w:sz w:val="20"/>
          <w:szCs w:val="20"/>
          <w:color w:val="auto"/>
        </w:rPr>
        <w:t>All awards that are canceled, forfeited or expired are returned to the 2020 Plan and are available for grant in conjunction with the issuance of new awards. Stock options granted are exercisable over a maximum term of 10 years from the date of grant and generally vest over an agreed service period, usually four years. Certain stock options granted under the 2020 Plan provide option holders the right to elect to exercise unvested options in exchange for common stock. Such unvested common stock is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2025, there was no such unvested early exercised options and related liability.</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2025 Inducement Equity Incentive Plan</w:t>
      </w:r>
    </w:p>
    <w:p>
      <w:pPr>
        <w:spacing w:after="0" w:line="116" w:lineRule="exact"/>
        <w:rPr>
          <w:sz w:val="20"/>
          <w:szCs w:val="20"/>
          <w:color w:val="auto"/>
        </w:rPr>
      </w:pPr>
    </w:p>
    <w:p>
      <w:pPr>
        <w:ind w:right="220" w:firstLine="487"/>
        <w:spacing w:after="0" w:line="256" w:lineRule="auto"/>
        <w:rPr>
          <w:sz w:val="20"/>
          <w:szCs w:val="20"/>
          <w:color w:val="auto"/>
        </w:rPr>
      </w:pPr>
      <w:r>
        <w:rPr>
          <w:rFonts w:ascii="Times New Roman" w:cs="Times New Roman" w:eastAsia="Times New Roman" w:hAnsi="Times New Roman"/>
          <w:sz w:val="20"/>
          <w:szCs w:val="20"/>
          <w:color w:val="auto"/>
        </w:rPr>
        <w:t>In January 2025, the Company adopted the 2025 Inducement Equity Incentive Plan, or the 2025 Plan. The 2025 Plan provides for the granting of equity-based awards, including non-statutory stock options, stock appreciation rights, restricted stock, RSUs, performance units and performance shares. A total of 1,500,000 shares were reserved under the 2025 Plan.</w:t>
      </w:r>
    </w:p>
    <w:p>
      <w:pPr>
        <w:spacing w:after="0" w:line="69"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20"/>
          <w:szCs w:val="20"/>
          <w:color w:val="auto"/>
        </w:rPr>
        <w:t>The terms of the stock option agreements, including vesting requirements, are determined by the Board, subject to the provisions of the 2025 Plan. The term of the options generally expire, upon the earliest of (i) termination of continuous service for cause (ii) three months after the termination of continuous service for reasons other than cause, death or disability (iii) six months after the termination of continuous service due to disability (iv) six months after the employee’s death if the employee died during the period of continuous service (v) expiration date in the grant notice or (vi) the day before the tenth anniversary of the date of grant. The per share exercise price of the incentive stock options must equal at least the fair market value of a share underlying such options on the date of grant.</w:t>
      </w:r>
    </w:p>
    <w:p>
      <w:pPr>
        <w:spacing w:after="0" w:line="82" w:lineRule="exact"/>
        <w:rPr>
          <w:sz w:val="20"/>
          <w:szCs w:val="20"/>
          <w:color w:val="auto"/>
        </w:rPr>
      </w:pPr>
    </w:p>
    <w:p>
      <w:pPr>
        <w:ind w:right="260" w:firstLine="486"/>
        <w:spacing w:after="0" w:line="256" w:lineRule="auto"/>
        <w:rPr>
          <w:sz w:val="20"/>
          <w:szCs w:val="20"/>
          <w:color w:val="auto"/>
        </w:rPr>
      </w:pPr>
      <w:r>
        <w:rPr>
          <w:rFonts w:ascii="Times New Roman" w:cs="Times New Roman" w:eastAsia="Times New Roman" w:hAnsi="Times New Roman"/>
          <w:sz w:val="20"/>
          <w:szCs w:val="20"/>
          <w:color w:val="auto"/>
        </w:rPr>
        <w:t>All awards that are canceled, forfeited or expired are returned to the 2025 Plan and are available for grant in conjunction with the issuance of new awards. Stock options granted are exercisable over a maximum term of 10 years from the date of grant and generally vest over an agreed service period, usually four years.</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Shares Available for Grant</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provides a summary of shares available for grant under the 2020 Plan and 2025 Plan: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840" w:type="dxa"/>
            <w:vAlign w:val="bottom"/>
          </w:tcPr>
          <w:p>
            <w:pPr>
              <w:spacing w:after="0"/>
              <w:rPr>
                <w:sz w:val="20"/>
                <w:szCs w:val="20"/>
                <w:color w:val="auto"/>
              </w:rPr>
            </w:pPr>
          </w:p>
        </w:tc>
        <w:tc>
          <w:tcPr>
            <w:tcW w:w="286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2"/>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Shares available for grant at December 31, 2024</w:t>
            </w:r>
          </w:p>
        </w:tc>
        <w:tc>
          <w:tcPr>
            <w:tcW w:w="2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642,557</w:t>
            </w:r>
          </w:p>
        </w:tc>
        <w:tc>
          <w:tcPr>
            <w:tcW w:w="60" w:type="dxa"/>
            <w:vAlign w:val="bottom"/>
          </w:tcPr>
          <w:p>
            <w:pPr>
              <w:spacing w:after="0"/>
              <w:rPr>
                <w:sz w:val="20"/>
                <w:szCs w:val="20"/>
                <w:color w:val="auto"/>
              </w:rPr>
            </w:pPr>
          </w:p>
        </w:tc>
      </w:tr>
      <w:tr>
        <w:trPr>
          <w:trHeight w:val="242"/>
        </w:trPr>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Authorized</w:t>
            </w:r>
          </w:p>
        </w:tc>
        <w:tc>
          <w:tcPr>
            <w:tcW w:w="2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3,622,116</w:t>
            </w:r>
          </w:p>
        </w:tc>
        <w:tc>
          <w:tcPr>
            <w:tcW w:w="60" w:type="dxa"/>
            <w:vAlign w:val="bottom"/>
          </w:tcPr>
          <w:p>
            <w:pPr>
              <w:spacing w:after="0"/>
              <w:rPr>
                <w:sz w:val="21"/>
                <w:szCs w:val="21"/>
                <w:color w:val="auto"/>
              </w:rPr>
            </w:pPr>
          </w:p>
        </w:tc>
      </w:tr>
      <w:tr>
        <w:trPr>
          <w:trHeight w:val="242"/>
        </w:trPr>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2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(7,394,675)</w:t>
            </w:r>
          </w:p>
        </w:tc>
      </w:tr>
      <w:tr>
        <w:trPr>
          <w:trHeight w:val="248"/>
        </w:trPr>
        <w:tc>
          <w:tcPr>
            <w:tcW w:w="7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Canceled/forfeited</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5,708,857</w:t>
            </w:r>
          </w:p>
        </w:tc>
        <w:tc>
          <w:tcPr>
            <w:tcW w:w="60" w:type="dxa"/>
            <w:vAlign w:val="bottom"/>
          </w:tcPr>
          <w:p>
            <w:pPr>
              <w:spacing w:after="0"/>
              <w:rPr>
                <w:sz w:val="21"/>
                <w:szCs w:val="21"/>
                <w:color w:val="auto"/>
              </w:rPr>
            </w:pPr>
          </w:p>
        </w:tc>
      </w:tr>
      <w:tr>
        <w:trPr>
          <w:trHeight w:val="237"/>
        </w:trPr>
        <w:tc>
          <w:tcPr>
            <w:tcW w:w="7840" w:type="dxa"/>
            <w:vAlign w:val="bottom"/>
          </w:tcPr>
          <w:p>
            <w:pPr>
              <w:spacing w:after="0"/>
              <w:rPr>
                <w:sz w:val="20"/>
                <w:szCs w:val="20"/>
                <w:color w:val="auto"/>
              </w:rPr>
            </w:pPr>
            <w:r>
              <w:rPr>
                <w:rFonts w:ascii="Times New Roman" w:cs="Times New Roman" w:eastAsia="Times New Roman" w:hAnsi="Times New Roman"/>
                <w:sz w:val="20"/>
                <w:szCs w:val="20"/>
                <w:color w:val="auto"/>
              </w:rPr>
              <w:t>Shares available for grant at December 31, 2025</w:t>
            </w: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2,578,855</w:t>
            </w:r>
          </w:p>
        </w:tc>
        <w:tc>
          <w:tcPr>
            <w:tcW w:w="60" w:type="dxa"/>
            <w:vAlign w:val="bottom"/>
          </w:tcPr>
          <w:p>
            <w:pPr>
              <w:spacing w:after="0"/>
              <w:rPr>
                <w:sz w:val="20"/>
                <w:szCs w:val="20"/>
                <w:color w:val="auto"/>
              </w:rPr>
            </w:pPr>
          </w:p>
        </w:tc>
      </w:tr>
      <w:tr>
        <w:trPr>
          <w:trHeight w:val="20"/>
        </w:trPr>
        <w:tc>
          <w:tcPr>
            <w:tcW w:w="7840" w:type="dxa"/>
            <w:vAlign w:val="bottom"/>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 Option Exchange</w:t>
      </w:r>
    </w:p>
    <w:p>
      <w:pPr>
        <w:spacing w:after="0" w:line="118" w:lineRule="exact"/>
        <w:rPr>
          <w:sz w:val="20"/>
          <w:szCs w:val="20"/>
          <w:color w:val="auto"/>
        </w:rPr>
      </w:pPr>
    </w:p>
    <w:p>
      <w:pPr>
        <w:ind w:right="20" w:firstLine="486"/>
        <w:spacing w:after="0" w:line="242" w:lineRule="auto"/>
        <w:rPr>
          <w:sz w:val="20"/>
          <w:szCs w:val="20"/>
          <w:color w:val="auto"/>
        </w:rPr>
      </w:pPr>
      <w:r>
        <w:rPr>
          <w:rFonts w:ascii="Times New Roman" w:cs="Times New Roman" w:eastAsia="Times New Roman" w:hAnsi="Times New Roman"/>
          <w:sz w:val="20"/>
          <w:szCs w:val="20"/>
          <w:color w:val="auto"/>
        </w:rPr>
        <w:t>On December 2, 2024, the Company commenced an offer to exchange eligible options held by eligible employees of the Company for new options (the Exchange Offer). The Exchange Offer expired on December 30, 2024. Under the Exchange Offer, the Company accepted for exchange eligible options to purchase an aggregate of 2,693,873 shares of the Company’s common stock, representing 80.3% of the total shares of common stock underlying the eligible options. On December 30, 2024, immediately following the expiration of the Exchange Offer, the exchanged options were canceled and new options to purchase 2,155,095 shares of common stock were granted at an exercise price of $1.66 per share, which was the closing price of the common stock on the Nasdaq Global Select Market on the grant date of the new options. The new options are subject to a new vesting schedule, vesting in equal monthly installments following the new option grant date for the longer of (a) 30 months or (b) the number of months remaining in the vesting schedule on the eligible option grant. Each new option has a maximum term of seven years.</w:t>
      </w:r>
    </w:p>
    <w:p>
      <w:pPr>
        <w:spacing w:after="0" w:line="88" w:lineRule="exact"/>
        <w:rPr>
          <w:sz w:val="20"/>
          <w:szCs w:val="20"/>
          <w:color w:val="auto"/>
        </w:rPr>
      </w:pPr>
    </w:p>
    <w:p>
      <w:pPr>
        <w:jc w:val="both"/>
        <w:ind w:right="140" w:firstLine="486"/>
        <w:spacing w:after="0" w:line="276" w:lineRule="auto"/>
        <w:rPr>
          <w:sz w:val="20"/>
          <w:szCs w:val="20"/>
          <w:color w:val="auto"/>
        </w:rPr>
      </w:pPr>
      <w:r>
        <w:rPr>
          <w:rFonts w:ascii="Times New Roman" w:cs="Times New Roman" w:eastAsia="Times New Roman" w:hAnsi="Times New Roman"/>
          <w:sz w:val="19"/>
          <w:szCs w:val="19"/>
          <w:color w:val="auto"/>
        </w:rPr>
        <w:t>The exchange of stock options was treated as a modification for accounting purposes. The incremental expense of $0.6 million for the modified options was calculated using the Black-Scholes option pricing model. The incremental expense and the unamortized expense remaining on the exchanged options as of the modification date are being recognized over the new vesting service period.</w:t>
      </w: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2240" w:h="15840" w:orient="portrait"/>
          <w:cols w:equalWidth="0" w:num="1">
            <w:col w:w="10720"/>
          </w:cols>
          <w:pgMar w:left="760" w:top="978" w:right="760" w:bottom="246" w:gutter="0" w:footer="0" w:header="0"/>
          <w:type w:val="continuous"/>
        </w:sectPr>
      </w:pPr>
    </w:p>
    <w:bookmarkStart w:id="131" w:name="page132"/>
    <w:bookmarkEnd w:id="131"/>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Employee Stock Purchase Plan</w:t>
      </w:r>
    </w:p>
    <w:p>
      <w:pPr>
        <w:spacing w:after="0" w:line="118"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20"/>
          <w:szCs w:val="20"/>
          <w:color w:val="auto"/>
        </w:rPr>
        <w:t>In July 2020, the Board and stockholders approved the ALX Oncology Holdings Inc. 2020 Employee Stock Purchase Plan, or the ESPP. The ESPP allows eligible employees to have up to 15 percent of their eligible compensation withheld and used to purchase common stock, subject to a maximum of $25,000 worth of stock purchased in a calendar year or no more than 3,000 shares in an offering period, whichever is less. An offering period consists of a six-month purchase period, with a look back feature to our stock price at the commencement of the offering period. Eligible employees can purchase the Company’s common stock at the end of the offering period at 85% of the lower of the closing price of our common stock on The Nasdaq Global Select Market on the first and last day of the offering period.</w:t>
      </w:r>
    </w:p>
    <w:p>
      <w:pPr>
        <w:spacing w:after="0" w:line="81" w:lineRule="exact"/>
        <w:rPr>
          <w:sz w:val="20"/>
          <w:szCs w:val="20"/>
          <w:color w:val="auto"/>
        </w:rPr>
      </w:pPr>
    </w:p>
    <w:p>
      <w:pPr>
        <w:ind w:right="140" w:firstLine="486"/>
        <w:spacing w:after="0" w:line="250" w:lineRule="auto"/>
        <w:rPr>
          <w:sz w:val="20"/>
          <w:szCs w:val="20"/>
          <w:color w:val="auto"/>
        </w:rPr>
      </w:pPr>
      <w:r>
        <w:rPr>
          <w:rFonts w:ascii="Times New Roman" w:cs="Times New Roman" w:eastAsia="Times New Roman" w:hAnsi="Times New Roman"/>
          <w:sz w:val="20"/>
          <w:szCs w:val="20"/>
          <w:color w:val="auto"/>
        </w:rPr>
        <w:t>The initial number of shares of common stock available for issuance under the ESPP was 400,000. Unless the Board provides otherwise, beginning on January 1, 2021, the maximum number of shares which shall be made available for sale under the ESPP will automatically increase on the first day in January of each calendar year (i.e., the first day of our fiscal year) during the term of the ESPP by an amount equal to the least of:</w:t>
      </w:r>
    </w:p>
    <w:p>
      <w:pPr>
        <w:spacing w:after="0" w:line="89" w:lineRule="exact"/>
        <w:rPr>
          <w:sz w:val="20"/>
          <w:szCs w:val="20"/>
          <w:color w:val="auto"/>
        </w:rPr>
      </w:pPr>
    </w:p>
    <w:p>
      <w:pPr>
        <w:ind w:left="1200" w:hanging="399"/>
        <w:spacing w:after="0"/>
        <w:tabs>
          <w:tab w:leader="none" w:pos="120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800,000 shares;</w:t>
      </w:r>
    </w:p>
    <w:p>
      <w:pPr>
        <w:spacing w:after="0" w:line="131" w:lineRule="exact"/>
        <w:rPr>
          <w:rFonts w:ascii="Arial" w:cs="Arial" w:eastAsia="Arial" w:hAnsi="Arial"/>
          <w:sz w:val="20"/>
          <w:szCs w:val="20"/>
          <w:color w:val="auto"/>
        </w:rPr>
      </w:pPr>
    </w:p>
    <w:p>
      <w:pPr>
        <w:ind w:left="1200" w:hanging="399"/>
        <w:spacing w:after="0"/>
        <w:tabs>
          <w:tab w:leader="none" w:pos="120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one percent of the outstanding shares of our common stock on the last day of our immediately preceding fiscal year; or</w:t>
      </w:r>
    </w:p>
    <w:p>
      <w:pPr>
        <w:spacing w:after="0" w:line="131" w:lineRule="exact"/>
        <w:rPr>
          <w:rFonts w:ascii="Arial" w:cs="Arial" w:eastAsia="Arial" w:hAnsi="Arial"/>
          <w:sz w:val="20"/>
          <w:szCs w:val="20"/>
          <w:color w:val="auto"/>
        </w:rPr>
      </w:pPr>
    </w:p>
    <w:p>
      <w:pPr>
        <w:ind w:left="1200" w:right="100" w:hanging="399"/>
        <w:spacing w:after="0" w:line="273" w:lineRule="auto"/>
        <w:tabs>
          <w:tab w:leader="none" w:pos="1200" w:val="left"/>
        </w:tabs>
        <w:numPr>
          <w:ilvl w:val="0"/>
          <w:numId w:val="75"/>
        </w:numPr>
        <w:rPr>
          <w:rFonts w:ascii="Arial" w:cs="Arial" w:eastAsia="Arial" w:hAnsi="Arial"/>
          <w:sz w:val="20"/>
          <w:szCs w:val="20"/>
          <w:color w:val="auto"/>
        </w:rPr>
      </w:pPr>
      <w:r>
        <w:rPr>
          <w:rFonts w:ascii="Times New Roman" w:cs="Times New Roman" w:eastAsia="Times New Roman" w:hAnsi="Times New Roman"/>
          <w:sz w:val="20"/>
          <w:szCs w:val="20"/>
          <w:color w:val="auto"/>
        </w:rPr>
        <w:t>such number of shares as our board of directors may determine no later than the last day of our immediately preceding fiscal year.</w:t>
      </w:r>
    </w:p>
    <w:p>
      <w:pPr>
        <w:spacing w:after="0" w:line="52" w:lineRule="exact"/>
        <w:rPr>
          <w:sz w:val="20"/>
          <w:szCs w:val="20"/>
          <w:color w:val="auto"/>
        </w:rPr>
      </w:pPr>
    </w:p>
    <w:p>
      <w:pPr>
        <w:ind w:right="140" w:firstLine="487"/>
        <w:spacing w:after="0" w:line="256" w:lineRule="auto"/>
        <w:rPr>
          <w:sz w:val="20"/>
          <w:szCs w:val="20"/>
          <w:color w:val="auto"/>
        </w:rPr>
      </w:pPr>
      <w:r>
        <w:rPr>
          <w:rFonts w:ascii="Times New Roman" w:cs="Times New Roman" w:eastAsia="Times New Roman" w:hAnsi="Times New Roman"/>
          <w:sz w:val="20"/>
          <w:szCs w:val="20"/>
          <w:color w:val="auto"/>
        </w:rPr>
        <w:t>On January 1, 2025 and 2024, the number of shares available under the ESPP was increased by 530,529 and zero, respectively. As of December 31, 2025, 294,582 shares of common stock have been purchased under the ESPP, and the number of shares of common stock available for issuance under the ESPP was 1,440,263.</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 Option Activity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provides a summary of stock option activity under the 2020 Plan and 2025 Plan and related information: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3"/>
          </w:tcPr>
          <w:p>
            <w:pPr>
              <w:jc w:val="right"/>
              <w:ind w:right="709"/>
              <w:spacing w:after="0"/>
              <w:rPr>
                <w:sz w:val="20"/>
                <w:szCs w:val="20"/>
                <w:color w:val="auto"/>
              </w:rPr>
            </w:pPr>
            <w:r>
              <w:rPr>
                <w:rFonts w:ascii="Times New Roman" w:cs="Times New Roman" w:eastAsia="Times New Roman" w:hAnsi="Times New Roman"/>
                <w:sz w:val="18"/>
                <w:szCs w:val="18"/>
                <w:b w:val="1"/>
                <w:bCs w:val="1"/>
                <w:color w:val="auto"/>
              </w:rPr>
              <w:t>Outstanding Options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245"/>
              <w:spacing w:after="0" w:line="206" w:lineRule="exact"/>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205"/>
        </w:trPr>
        <w:tc>
          <w:tcPr>
            <w:tcW w:w="4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right"/>
              <w:ind w:right="480"/>
              <w:spacing w:after="0" w:line="20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7"/>
                <w:szCs w:val="17"/>
                <w:color w:val="auto"/>
              </w:rPr>
            </w:pPr>
          </w:p>
        </w:tc>
        <w:tc>
          <w:tcPr>
            <w:tcW w:w="144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260" w:type="dxa"/>
            <w:vAlign w:val="bottom"/>
          </w:tcPr>
          <w:p>
            <w:pPr>
              <w:spacing w:after="0"/>
              <w:rPr>
                <w:sz w:val="17"/>
                <w:szCs w:val="17"/>
                <w:color w:val="auto"/>
              </w:rPr>
            </w:pPr>
          </w:p>
        </w:tc>
        <w:tc>
          <w:tcPr>
            <w:tcW w:w="146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260" w:type="dxa"/>
            <w:vAlign w:val="bottom"/>
          </w:tcPr>
          <w:p>
            <w:pPr>
              <w:spacing w:after="0"/>
              <w:rPr>
                <w:sz w:val="17"/>
                <w:szCs w:val="17"/>
                <w:color w:val="auto"/>
              </w:rPr>
            </w:pPr>
          </w:p>
        </w:tc>
        <w:tc>
          <w:tcPr>
            <w:tcW w:w="1440" w:type="dxa"/>
            <w:vAlign w:val="bottom"/>
            <w:gridSpan w:val="2"/>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w w:val="99"/>
              </w:rPr>
              <w:t>Intrinsic Value (in</w:t>
            </w:r>
          </w:p>
        </w:tc>
        <w:tc>
          <w:tcPr>
            <w:tcW w:w="0" w:type="dxa"/>
            <w:vAlign w:val="bottom"/>
          </w:tcPr>
          <w:p>
            <w:pPr>
              <w:spacing w:after="0"/>
              <w:rPr>
                <w:sz w:val="1"/>
                <w:szCs w:val="1"/>
                <w:color w:val="auto"/>
              </w:rPr>
            </w:pPr>
          </w:p>
        </w:tc>
      </w:tr>
      <w:tr>
        <w:trPr>
          <w:trHeight w:val="226"/>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Outstanding at December 31, 2024</w:t>
            </w: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83"/>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6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205"/>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32"/>
        </w:trPr>
        <w:tc>
          <w:tcPr>
            <w:tcW w:w="4100" w:type="dxa"/>
            <w:vAlign w:val="bottom"/>
            <w:gridSpan w:val="2"/>
            <w:vMerge w:val="continue"/>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10,528,751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10.04</w:t>
            </w:r>
          </w:p>
        </w:tc>
        <w:tc>
          <w:tcPr>
            <w:tcW w:w="260" w:type="dxa"/>
            <w:vAlign w:val="bottom"/>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6.23</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0" w:type="dxa"/>
            <w:vAlign w:val="bottom"/>
          </w:tcPr>
          <w:p>
            <w:pPr>
              <w:spacing w:after="0"/>
              <w:rPr>
                <w:sz w:val="1"/>
                <w:szCs w:val="1"/>
                <w:color w:val="auto"/>
              </w:rPr>
            </w:pPr>
          </w:p>
        </w:tc>
      </w:tr>
      <w:tr>
        <w:trPr>
          <w:trHeight w:val="242"/>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7,394,675</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Exercised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(14,146)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1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Canceled/forfeited</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(5,031,093)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tcPr>
          <w:p>
            <w:pPr>
              <w:spacing w:after="0"/>
              <w:rPr>
                <w:sz w:val="20"/>
                <w:szCs w:val="20"/>
                <w:color w:val="auto"/>
              </w:rPr>
            </w:pPr>
            <w:r>
              <w:rPr>
                <w:rFonts w:ascii="Times New Roman" w:cs="Times New Roman" w:eastAsia="Times New Roman" w:hAnsi="Times New Roman"/>
                <w:sz w:val="20"/>
                <w:szCs w:val="20"/>
                <w:color w:val="auto"/>
              </w:rPr>
              <w:t>Outstanding at December 31, 2025</w:t>
            </w:r>
          </w:p>
        </w:tc>
        <w:tc>
          <w:tcPr>
            <w:tcW w:w="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12,878,187</w:t>
            </w:r>
          </w:p>
        </w:tc>
        <w:tc>
          <w:tcPr>
            <w:tcW w:w="160" w:type="dxa"/>
            <w:vAlign w:val="bottom"/>
          </w:tcPr>
          <w:p>
            <w:pPr>
              <w:spacing w:after="0"/>
              <w:rPr>
                <w:sz w:val="20"/>
                <w:szCs w:val="20"/>
                <w:color w:val="auto"/>
              </w:rPr>
            </w:pP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0" w:type="dxa"/>
            <w:vAlign w:val="bottom"/>
          </w:tcPr>
          <w:p>
            <w:pPr>
              <w:spacing w:after="0"/>
              <w:rPr>
                <w:sz w:val="1"/>
                <w:szCs w:val="1"/>
                <w:color w:val="auto"/>
              </w:rPr>
            </w:pPr>
          </w:p>
        </w:tc>
      </w:tr>
      <w:tr>
        <w:trPr>
          <w:trHeight w:val="20"/>
        </w:trPr>
        <w:tc>
          <w:tcPr>
            <w:tcW w:w="41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Exercisable at December 31, 2025</w:t>
            </w:r>
          </w:p>
        </w:tc>
        <w:tc>
          <w:tcPr>
            <w:tcW w:w="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line="227" w:lineRule="exact"/>
              <w:rPr>
                <w:sz w:val="20"/>
                <w:szCs w:val="20"/>
                <w:color w:val="auto"/>
              </w:rPr>
            </w:pPr>
            <w:r>
              <w:rPr>
                <w:rFonts w:ascii="Times New Roman" w:cs="Times New Roman" w:eastAsia="Times New Roman" w:hAnsi="Times New Roman"/>
                <w:sz w:val="20"/>
                <w:szCs w:val="20"/>
                <w:color w:val="auto"/>
              </w:rPr>
              <w:t>6,087,380</w:t>
            </w:r>
          </w:p>
        </w:tc>
        <w:tc>
          <w:tcPr>
            <w:tcW w:w="160" w:type="dxa"/>
            <w:vAlign w:val="bottom"/>
          </w:tcPr>
          <w:p>
            <w:pPr>
              <w:spacing w:after="0"/>
              <w:rPr>
                <w:sz w:val="19"/>
                <w:szCs w:val="19"/>
                <w:color w:val="auto"/>
              </w:rPr>
            </w:pPr>
          </w:p>
        </w:tc>
        <w:tc>
          <w:tcPr>
            <w:tcW w:w="240" w:type="dxa"/>
            <w:vAlign w:val="bottom"/>
            <w:gridSpan w:val="2"/>
          </w:tcPr>
          <w:p>
            <w:pPr>
              <w:ind w:left="100"/>
              <w:spacing w:after="0" w:line="227" w:lineRule="exact"/>
              <w:rPr>
                <w:sz w:val="20"/>
                <w:szCs w:val="20"/>
                <w:color w:val="auto"/>
              </w:rPr>
            </w:pPr>
            <w:r>
              <w:rPr>
                <w:rFonts w:ascii="Times New Roman" w:cs="Times New Roman" w:eastAsia="Times New Roman" w:hAnsi="Times New Roman"/>
                <w:sz w:val="20"/>
                <w:szCs w:val="20"/>
                <w:color w:val="auto"/>
              </w:rPr>
              <w:t>$</w:t>
            </w:r>
          </w:p>
        </w:tc>
        <w:tc>
          <w:tcPr>
            <w:tcW w:w="130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10.56</w:t>
            </w:r>
          </w:p>
        </w:tc>
        <w:tc>
          <w:tcPr>
            <w:tcW w:w="172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3.69</w:t>
            </w:r>
          </w:p>
        </w:tc>
        <w:tc>
          <w:tcPr>
            <w:tcW w:w="460" w:type="dxa"/>
            <w:vAlign w:val="bottom"/>
            <w:gridSpan w:val="2"/>
          </w:tcPr>
          <w:p>
            <w:pPr>
              <w:ind w:left="260"/>
              <w:spacing w:after="0" w:line="227" w:lineRule="exact"/>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-1552575</wp:posOffset>
            </wp:positionV>
            <wp:extent cx="421005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4210050" cy="38100"/>
                    </a:xfrm>
                    <a:prstGeom prst="rect">
                      <a:avLst/>
                    </a:prstGeom>
                    <a:noFill/>
                  </pic:spPr>
                </pic:pic>
              </a:graphicData>
            </a:graphic>
          </wp:anchor>
        </w:drawing>
      </w:r>
    </w:p>
    <w:p>
      <w:pPr>
        <w:spacing w:after="0" w:line="199" w:lineRule="exact"/>
        <w:rPr>
          <w:sz w:val="20"/>
          <w:szCs w:val="20"/>
          <w:color w:val="auto"/>
        </w:rPr>
      </w:pPr>
    </w:p>
    <w:p>
      <w:pPr>
        <w:ind w:right="120" w:firstLine="486"/>
        <w:spacing w:after="0" w:line="250" w:lineRule="auto"/>
        <w:rPr>
          <w:sz w:val="20"/>
          <w:szCs w:val="20"/>
          <w:color w:val="auto"/>
        </w:rPr>
      </w:pPr>
      <w:r>
        <w:rPr>
          <w:rFonts w:ascii="Times New Roman" w:cs="Times New Roman" w:eastAsia="Times New Roman" w:hAnsi="Times New Roman"/>
          <w:sz w:val="20"/>
          <w:szCs w:val="20"/>
          <w:color w:val="auto"/>
        </w:rPr>
        <w:t>The aggregate intrinsic values represent the total pre-tax intrinsic value of options outstanding and exercisable calculated as the difference between the exercise price of the options and the fair value of the Company’s common stock as of December 31, 2025 and 2024. The total intrinsic value of options exercised during the years ended December 31, 2025, 2024 and 2023 were a nominal amount, $2.6 million and $0.2 million, respectively.</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 Option Valuation Assumptions</w:t>
      </w:r>
    </w:p>
    <w:p>
      <w:pPr>
        <w:spacing w:after="0" w:line="118" w:lineRule="exact"/>
        <w:rPr>
          <w:sz w:val="20"/>
          <w:szCs w:val="20"/>
          <w:color w:val="auto"/>
        </w:rPr>
      </w:pPr>
    </w:p>
    <w:p>
      <w:pPr>
        <w:jc w:val="both"/>
        <w:ind w:right="100" w:firstLine="486"/>
        <w:spacing w:after="0" w:line="256" w:lineRule="auto"/>
        <w:rPr>
          <w:sz w:val="20"/>
          <w:szCs w:val="20"/>
          <w:color w:val="auto"/>
        </w:rPr>
      </w:pPr>
      <w:r>
        <w:rPr>
          <w:rFonts w:ascii="Times New Roman" w:cs="Times New Roman" w:eastAsia="Times New Roman" w:hAnsi="Times New Roman"/>
          <w:sz w:val="20"/>
          <w:szCs w:val="20"/>
          <w:color w:val="auto"/>
        </w:rPr>
        <w:t>The Company uses the Black-Scholes option pricing model to determine the estimated fair value of stock options at the date of the grant, and stock-based compensation is adjusted for actual forfeitures as they occur. The fair value of each option grant during the years ended December 31, 2025, 2024 and 2023 was estimated with the following assumptions: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7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186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80" w:type="dxa"/>
            <w:vAlign w:val="bottom"/>
            <w:gridSpan w:val="3"/>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860" w:type="dxa"/>
            <w:vAlign w:val="bottom"/>
            <w:gridSpan w:val="2"/>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4"/>
        </w:trPr>
        <w:tc>
          <w:tcPr>
            <w:tcW w:w="4720" w:type="dxa"/>
            <w:vAlign w:val="bottom"/>
            <w:vMerge w:val="continue"/>
          </w:tcPr>
          <w:p>
            <w:pPr>
              <w:spacing w:after="0"/>
              <w:rPr>
                <w:sz w:val="17"/>
                <w:szCs w:val="17"/>
                <w:color w:val="auto"/>
              </w:rPr>
            </w:pPr>
          </w:p>
        </w:tc>
        <w:tc>
          <w:tcPr>
            <w:tcW w:w="8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5.2</w:t>
            </w:r>
          </w:p>
        </w:tc>
        <w:tc>
          <w:tcPr>
            <w:tcW w:w="98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- 6.1</w:t>
            </w:r>
          </w:p>
        </w:tc>
        <w:tc>
          <w:tcPr>
            <w:tcW w:w="220" w:type="dxa"/>
            <w:vAlign w:val="bottom"/>
          </w:tcPr>
          <w:p>
            <w:pPr>
              <w:spacing w:after="0"/>
              <w:rPr>
                <w:sz w:val="17"/>
                <w:szCs w:val="17"/>
                <w:color w:val="auto"/>
              </w:rPr>
            </w:pPr>
          </w:p>
        </w:tc>
        <w:tc>
          <w:tcPr>
            <w:tcW w:w="86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4.1</w:t>
            </w:r>
          </w:p>
        </w:tc>
        <w:tc>
          <w:tcPr>
            <w:tcW w:w="1000" w:type="dxa"/>
            <w:vAlign w:val="bottom"/>
            <w:tcBorders>
              <w:top w:val="single" w:sz="8" w:color="auto"/>
            </w:tcBorders>
          </w:tcPr>
          <w:p>
            <w:pPr>
              <w:ind w:left="40"/>
              <w:spacing w:after="0" w:line="204" w:lineRule="exact"/>
              <w:rPr>
                <w:sz w:val="20"/>
                <w:szCs w:val="20"/>
                <w:color w:val="auto"/>
              </w:rPr>
            </w:pPr>
            <w:r>
              <w:rPr>
                <w:rFonts w:ascii="Times New Roman" w:cs="Times New Roman" w:eastAsia="Times New Roman" w:hAnsi="Times New Roman"/>
                <w:sz w:val="20"/>
                <w:szCs w:val="20"/>
                <w:color w:val="auto"/>
              </w:rPr>
              <w:t>- 6.1</w:t>
            </w:r>
          </w:p>
        </w:tc>
        <w:tc>
          <w:tcPr>
            <w:tcW w:w="200" w:type="dxa"/>
            <w:vAlign w:val="bottom"/>
          </w:tcPr>
          <w:p>
            <w:pPr>
              <w:spacing w:after="0"/>
              <w:rPr>
                <w:sz w:val="17"/>
                <w:szCs w:val="17"/>
                <w:color w:val="auto"/>
              </w:rPr>
            </w:pPr>
          </w:p>
        </w:tc>
        <w:tc>
          <w:tcPr>
            <w:tcW w:w="88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5.3</w:t>
            </w:r>
          </w:p>
        </w:tc>
        <w:tc>
          <w:tcPr>
            <w:tcW w:w="980" w:type="dxa"/>
            <w:vAlign w:val="bottom"/>
            <w:tcBorders>
              <w:top w:val="single" w:sz="8" w:color="auto"/>
            </w:tcBorders>
          </w:tcPr>
          <w:p>
            <w:pPr>
              <w:ind w:left="20"/>
              <w:spacing w:after="0" w:line="204" w:lineRule="exact"/>
              <w:rPr>
                <w:sz w:val="20"/>
                <w:szCs w:val="20"/>
                <w:color w:val="auto"/>
              </w:rPr>
            </w:pPr>
            <w:r>
              <w:rPr>
                <w:rFonts w:ascii="Times New Roman" w:cs="Times New Roman" w:eastAsia="Times New Roman" w:hAnsi="Times New Roman"/>
                <w:sz w:val="20"/>
                <w:szCs w:val="20"/>
                <w:color w:val="auto"/>
              </w:rPr>
              <w:t>- 6.1</w:t>
            </w:r>
          </w:p>
        </w:tc>
        <w:tc>
          <w:tcPr>
            <w:tcW w:w="0" w:type="dxa"/>
            <w:vAlign w:val="bottom"/>
          </w:tcPr>
          <w:p>
            <w:pPr>
              <w:spacing w:after="0"/>
              <w:rPr>
                <w:sz w:val="1"/>
                <w:szCs w:val="1"/>
                <w:color w:val="auto"/>
              </w:rPr>
            </w:pPr>
          </w:p>
        </w:tc>
      </w:tr>
      <w:tr>
        <w:trPr>
          <w:trHeight w:val="228"/>
        </w:trPr>
        <w:tc>
          <w:tcPr>
            <w:tcW w:w="47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Risk-free interest rate</w:t>
            </w: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3.6%</w:t>
            </w:r>
          </w:p>
        </w:tc>
        <w:tc>
          <w:tcPr>
            <w:tcW w:w="980" w:type="dxa"/>
            <w:vAlign w:val="bottom"/>
          </w:tcPr>
          <w:p>
            <w:pPr>
              <w:ind w:left="20"/>
              <w:spacing w:after="0" w:line="229" w:lineRule="exact"/>
              <w:rPr>
                <w:sz w:val="20"/>
                <w:szCs w:val="20"/>
                <w:color w:val="auto"/>
              </w:rPr>
            </w:pPr>
            <w:r>
              <w:rPr>
                <w:rFonts w:ascii="Times New Roman" w:cs="Times New Roman" w:eastAsia="Times New Roman" w:hAnsi="Times New Roman"/>
                <w:sz w:val="20"/>
                <w:szCs w:val="20"/>
                <w:color w:val="auto"/>
              </w:rPr>
              <w:t>- 4.7%</w:t>
            </w:r>
          </w:p>
        </w:tc>
        <w:tc>
          <w:tcPr>
            <w:tcW w:w="108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3.5%</w:t>
            </w:r>
          </w:p>
        </w:tc>
        <w:tc>
          <w:tcPr>
            <w:tcW w:w="1000" w:type="dxa"/>
            <w:vAlign w:val="bottom"/>
          </w:tcPr>
          <w:p>
            <w:pPr>
              <w:ind w:left="40"/>
              <w:spacing w:after="0" w:line="229" w:lineRule="exact"/>
              <w:rPr>
                <w:sz w:val="20"/>
                <w:szCs w:val="20"/>
                <w:color w:val="auto"/>
              </w:rPr>
            </w:pPr>
            <w:r>
              <w:rPr>
                <w:rFonts w:ascii="Times New Roman" w:cs="Times New Roman" w:eastAsia="Times New Roman" w:hAnsi="Times New Roman"/>
                <w:sz w:val="20"/>
                <w:szCs w:val="20"/>
                <w:color w:val="auto"/>
              </w:rPr>
              <w:t>- 4.7%</w:t>
            </w:r>
          </w:p>
        </w:tc>
        <w:tc>
          <w:tcPr>
            <w:tcW w:w="200" w:type="dxa"/>
            <w:vAlign w:val="bottom"/>
          </w:tcPr>
          <w:p>
            <w:pPr>
              <w:spacing w:after="0"/>
              <w:rPr>
                <w:sz w:val="19"/>
                <w:szCs w:val="19"/>
                <w:color w:val="auto"/>
              </w:rPr>
            </w:pPr>
          </w:p>
        </w:tc>
        <w:tc>
          <w:tcPr>
            <w:tcW w:w="8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3.5%</w:t>
            </w:r>
          </w:p>
        </w:tc>
        <w:tc>
          <w:tcPr>
            <w:tcW w:w="980" w:type="dxa"/>
            <w:vAlign w:val="bottom"/>
          </w:tcPr>
          <w:p>
            <w:pPr>
              <w:ind w:left="20"/>
              <w:spacing w:after="0" w:line="229" w:lineRule="exact"/>
              <w:rPr>
                <w:sz w:val="20"/>
                <w:szCs w:val="20"/>
                <w:color w:val="auto"/>
              </w:rPr>
            </w:pPr>
            <w:r>
              <w:rPr>
                <w:rFonts w:ascii="Times New Roman" w:cs="Times New Roman" w:eastAsia="Times New Roman" w:hAnsi="Times New Roman"/>
                <w:sz w:val="20"/>
                <w:szCs w:val="20"/>
                <w:color w:val="auto"/>
              </w:rPr>
              <w:t>- 4.7%</w:t>
            </w:r>
          </w:p>
        </w:tc>
        <w:tc>
          <w:tcPr>
            <w:tcW w:w="0" w:type="dxa"/>
            <w:vAlign w:val="bottom"/>
          </w:tcPr>
          <w:p>
            <w:pPr>
              <w:spacing w:after="0"/>
              <w:rPr>
                <w:sz w:val="1"/>
                <w:szCs w:val="1"/>
                <w:color w:val="auto"/>
              </w:rPr>
            </w:pPr>
          </w:p>
        </w:tc>
      </w:tr>
      <w:tr>
        <w:trPr>
          <w:trHeight w:val="228"/>
        </w:trPr>
        <w:tc>
          <w:tcPr>
            <w:tcW w:w="472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Expected dividend rate</w:t>
            </w:r>
          </w:p>
        </w:tc>
        <w:tc>
          <w:tcPr>
            <w:tcW w:w="1860" w:type="dxa"/>
            <w:vAlign w:val="bottom"/>
            <w:gridSpan w:val="2"/>
          </w:tcPr>
          <w:p>
            <w:pPr>
              <w:jc w:val="right"/>
              <w:ind w:right="701"/>
              <w:spacing w:after="0" w:line="229" w:lineRule="exact"/>
              <w:rPr>
                <w:sz w:val="20"/>
                <w:szCs w:val="20"/>
                <w:color w:val="auto"/>
              </w:rPr>
            </w:pPr>
            <w:r>
              <w:rPr>
                <w:rFonts w:ascii="Times New Roman" w:cs="Times New Roman" w:eastAsia="Times New Roman" w:hAnsi="Times New Roman"/>
                <w:sz w:val="20"/>
                <w:szCs w:val="20"/>
                <w:color w:val="auto"/>
              </w:rPr>
              <w:t>0%</w:t>
            </w:r>
          </w:p>
        </w:tc>
        <w:tc>
          <w:tcPr>
            <w:tcW w:w="2080" w:type="dxa"/>
            <w:vAlign w:val="bottom"/>
            <w:gridSpan w:val="3"/>
          </w:tcPr>
          <w:p>
            <w:pPr>
              <w:jc w:val="right"/>
              <w:ind w:right="701"/>
              <w:spacing w:after="0" w:line="229" w:lineRule="exact"/>
              <w:rPr>
                <w:sz w:val="20"/>
                <w:szCs w:val="20"/>
                <w:color w:val="auto"/>
              </w:rPr>
            </w:pPr>
            <w:r>
              <w:rPr>
                <w:rFonts w:ascii="Times New Roman" w:cs="Times New Roman" w:eastAsia="Times New Roman" w:hAnsi="Times New Roman"/>
                <w:sz w:val="20"/>
                <w:szCs w:val="20"/>
                <w:color w:val="auto"/>
              </w:rPr>
              <w:t>0%</w:t>
            </w:r>
          </w:p>
        </w:tc>
        <w:tc>
          <w:tcPr>
            <w:tcW w:w="200" w:type="dxa"/>
            <w:vAlign w:val="bottom"/>
          </w:tcPr>
          <w:p>
            <w:pPr>
              <w:spacing w:after="0"/>
              <w:rPr>
                <w:sz w:val="19"/>
                <w:szCs w:val="19"/>
                <w:color w:val="auto"/>
              </w:rPr>
            </w:pPr>
          </w:p>
        </w:tc>
        <w:tc>
          <w:tcPr>
            <w:tcW w:w="1860" w:type="dxa"/>
            <w:vAlign w:val="bottom"/>
            <w:gridSpan w:val="2"/>
          </w:tcPr>
          <w:p>
            <w:pPr>
              <w:jc w:val="right"/>
              <w:ind w:right="701"/>
              <w:spacing w:after="0" w:line="229" w:lineRule="exact"/>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Expected stock price volatility</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93.9%</w:t>
            </w:r>
          </w:p>
        </w:tc>
        <w:tc>
          <w:tcPr>
            <w:tcW w:w="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- 99.3%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86.5%</w:t>
            </w:r>
          </w:p>
        </w:tc>
        <w:tc>
          <w:tcPr>
            <w:tcW w:w="1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- 95.1%</w:t>
            </w:r>
          </w:p>
        </w:tc>
        <w:tc>
          <w:tcPr>
            <w:tcW w:w="2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w:t>
            </w:r>
          </w:p>
        </w:tc>
        <w:tc>
          <w:tcPr>
            <w:tcW w:w="9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- 88.6%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2240" w:h="15840" w:orient="portrait"/>
          <w:cols w:equalWidth="0" w:num="1">
            <w:col w:w="10720"/>
          </w:cols>
          <w:pgMar w:left="760" w:top="978" w:right="760" w:bottom="246" w:gutter="0" w:footer="0" w:header="0"/>
          <w:type w:val="continuous"/>
        </w:sectPr>
      </w:pPr>
    </w:p>
    <w:bookmarkStart w:id="132" w:name="page133"/>
    <w:bookmarkEnd w:id="132"/>
    <w:p>
      <w:pPr>
        <w:ind w:right="100" w:firstLine="486"/>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Expected Term. </w:t>
      </w:r>
      <w:r>
        <w:rPr>
          <w:rFonts w:ascii="Times New Roman" w:cs="Times New Roman" w:eastAsia="Times New Roman" w:hAnsi="Times New Roman"/>
          <w:sz w:val="20"/>
          <w:szCs w:val="20"/>
          <w:color w:val="auto"/>
        </w:rPr>
        <w:t>The expected term of the options represents the average period the stock options are expected to remain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outstanding. As 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 For options granted from the Exchange Offer, the Company used a Monte Carlo simulation to estimate the time it takes for options to return to the money and derived the expected term of options granted from the midpoint between (i) the later of the time it takes to return to the money or the remaining vest term, and (ii) the remaining contractual term.</w:t>
      </w:r>
    </w:p>
    <w:p>
      <w:pPr>
        <w:spacing w:after="0" w:line="161" w:lineRule="exact"/>
        <w:rPr>
          <w:sz w:val="20"/>
          <w:szCs w:val="20"/>
          <w:color w:val="auto"/>
        </w:rPr>
      </w:pPr>
    </w:p>
    <w:p>
      <w:pPr>
        <w:ind w:right="300" w:firstLine="487"/>
        <w:spacing w:after="0" w:line="274" w:lineRule="auto"/>
        <w:rPr>
          <w:sz w:val="20"/>
          <w:szCs w:val="20"/>
          <w:color w:val="auto"/>
        </w:rPr>
      </w:pPr>
      <w:r>
        <w:rPr>
          <w:rFonts w:ascii="Times New Roman" w:cs="Times New Roman" w:eastAsia="Times New Roman" w:hAnsi="Times New Roman"/>
          <w:sz w:val="20"/>
          <w:szCs w:val="20"/>
          <w:i w:val="1"/>
          <w:iCs w:val="1"/>
          <w:color w:val="auto"/>
        </w:rPr>
        <w:t xml:space="preserve">Risk-Free Interest Rate. </w:t>
      </w:r>
      <w:r>
        <w:rPr>
          <w:rFonts w:ascii="Times New Roman" w:cs="Times New Roman" w:eastAsia="Times New Roman" w:hAnsi="Times New Roman"/>
          <w:sz w:val="20"/>
          <w:szCs w:val="20"/>
          <w:color w:val="auto"/>
        </w:rPr>
        <w:t>The risk-free interest rate is based on the yield of U.S. Treasury notes as of the grant date with terms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commensurate with the expected term of the option.</w:t>
      </w:r>
    </w:p>
    <w:p>
      <w:pPr>
        <w:spacing w:after="0" w:line="130" w:lineRule="exact"/>
        <w:rPr>
          <w:sz w:val="20"/>
          <w:szCs w:val="20"/>
          <w:color w:val="auto"/>
        </w:rPr>
      </w:pPr>
    </w:p>
    <w:p>
      <w:pPr>
        <w:ind w:right="520" w:firstLine="487"/>
        <w:spacing w:after="0" w:line="274" w:lineRule="auto"/>
        <w:rPr>
          <w:sz w:val="20"/>
          <w:szCs w:val="20"/>
          <w:color w:val="auto"/>
        </w:rPr>
      </w:pPr>
      <w:r>
        <w:rPr>
          <w:rFonts w:ascii="Times New Roman" w:cs="Times New Roman" w:eastAsia="Times New Roman" w:hAnsi="Times New Roman"/>
          <w:sz w:val="20"/>
          <w:szCs w:val="20"/>
          <w:i w:val="1"/>
          <w:iCs w:val="1"/>
          <w:color w:val="auto"/>
        </w:rPr>
        <w:t xml:space="preserve">Dividend Yield. </w:t>
      </w:r>
      <w:r>
        <w:rPr>
          <w:rFonts w:ascii="Times New Roman" w:cs="Times New Roman" w:eastAsia="Times New Roman" w:hAnsi="Times New Roman"/>
          <w:sz w:val="20"/>
          <w:szCs w:val="20"/>
          <w:color w:val="auto"/>
        </w:rPr>
        <w:t>The expected dividends assumption is based on the Company’s expectation of not paying dividends in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foreseeable future.</w:t>
      </w:r>
    </w:p>
    <w:p>
      <w:pPr>
        <w:spacing w:after="0" w:line="130"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20"/>
          <w:szCs w:val="20"/>
          <w:i w:val="1"/>
          <w:iCs w:val="1"/>
          <w:color w:val="auto"/>
        </w:rPr>
        <w:t xml:space="preserve">Volatility. </w:t>
      </w:r>
      <w:r>
        <w:rPr>
          <w:rFonts w:ascii="Times New Roman" w:cs="Times New Roman" w:eastAsia="Times New Roman" w:hAnsi="Times New Roman"/>
          <w:sz w:val="20"/>
          <w:szCs w:val="20"/>
          <w:color w:val="auto"/>
        </w:rPr>
        <w:t>Since the Company does not have sufficient trading history for its common stock, the expected volatility is based on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combination of the historical volatilities of the common shares of comparable publicly traded companies as well as the historical volatilities of the Company’s common shares. The Company selected companies with comparable characteristics, including enterprise value, risk profiles, position within the industry, and with historical share price information sufficient to meet the expected life of the Company’s share-based awards. For options granted from the Exchange Offer, the Company used the historical volatilities of the Company’s common shares.</w:t>
      </w:r>
    </w:p>
    <w:p>
      <w:pPr>
        <w:spacing w:after="0" w:line="161"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i w:val="1"/>
          <w:iCs w:val="1"/>
          <w:color w:val="auto"/>
        </w:rPr>
        <w:t>Fair Value</w:t>
      </w:r>
      <w:r>
        <w:rPr>
          <w:rFonts w:ascii="Times New Roman" w:cs="Times New Roman" w:eastAsia="Times New Roman" w:hAnsi="Times New Roman"/>
          <w:sz w:val="20"/>
          <w:szCs w:val="20"/>
          <w:color w:val="auto"/>
        </w:rPr>
        <w:t>. Historically, for all periods prior to our initial public offering, the fair value of the shares of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underlying our stock option was determined by the Company’s Board. Because there was no public market for the Company’s common stock, the Board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 the Board deemed relevant to such determination. Since the completion of our initial public offering, the fair value of each share of common stock underlying stock option grants is based on the closing price of our common stock on the Nasdaq Global Select Market as reported on the date of grant.</w:t>
      </w:r>
    </w:p>
    <w:p>
      <w:pPr>
        <w:spacing w:after="0" w:line="20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 Activity</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following table provides a summary of restricted stock unit (RSU) activity under the 2020 Plan and related information:</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040" w:type="dxa"/>
            <w:vAlign w:val="bottom"/>
          </w:tcPr>
          <w:p>
            <w:pPr>
              <w:spacing w:after="0"/>
              <w:rPr>
                <w:sz w:val="19"/>
                <w:szCs w:val="19"/>
                <w:color w:val="auto"/>
              </w:rPr>
            </w:pPr>
          </w:p>
        </w:tc>
        <w:tc>
          <w:tcPr>
            <w:tcW w:w="3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Outstanding RSUs</w:t>
            </w:r>
          </w:p>
        </w:tc>
        <w:tc>
          <w:tcPr>
            <w:tcW w:w="15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gridSpan w:val="2"/>
          </w:tcPr>
          <w:p>
            <w:pPr>
              <w:jc w:val="center"/>
              <w:ind w:right="6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gridSpan w:val="3"/>
          </w:tcPr>
          <w:p>
            <w:pPr>
              <w:jc w:val="center"/>
              <w:ind w:right="620"/>
              <w:spacing w:after="0" w:line="20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80" w:type="dxa"/>
            <w:vAlign w:val="bottom"/>
            <w:gridSpan w:val="3"/>
          </w:tcPr>
          <w:p>
            <w:pPr>
              <w:jc w:val="center"/>
              <w:ind w:right="640"/>
              <w:spacing w:after="0" w:line="206" w:lineRule="exact"/>
              <w:rPr>
                <w:sz w:val="20"/>
                <w:szCs w:val="20"/>
                <w:color w:val="auto"/>
              </w:rPr>
            </w:pPr>
            <w:r>
              <w:rPr>
                <w:rFonts w:ascii="Times New Roman" w:cs="Times New Roman" w:eastAsia="Times New Roman" w:hAnsi="Times New Roman"/>
                <w:sz w:val="18"/>
                <w:szCs w:val="18"/>
                <w:b w:val="1"/>
                <w:bCs w:val="1"/>
                <w:color w:val="auto"/>
                <w:w w:val="98"/>
              </w:rPr>
              <w:t>Grant Date</w:t>
            </w:r>
          </w:p>
        </w:tc>
        <w:tc>
          <w:tcPr>
            <w:tcW w:w="0" w:type="dxa"/>
            <w:vAlign w:val="bottom"/>
          </w:tcPr>
          <w:p>
            <w:pPr>
              <w:spacing w:after="0"/>
              <w:rPr>
                <w:sz w:val="1"/>
                <w:szCs w:val="1"/>
                <w:color w:val="auto"/>
              </w:rPr>
            </w:pPr>
          </w:p>
        </w:tc>
      </w:tr>
      <w:tr>
        <w:trPr>
          <w:trHeight w:val="226"/>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Unvested as of December 31, 2024</w:t>
            </w:r>
          </w:p>
        </w:tc>
        <w:tc>
          <w:tcPr>
            <w:tcW w:w="24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600" w:type="dxa"/>
            <w:vAlign w:val="bottom"/>
          </w:tcPr>
          <w:p>
            <w:pPr>
              <w:spacing w:after="0"/>
              <w:rPr>
                <w:sz w:val="19"/>
                <w:szCs w:val="19"/>
                <w:color w:val="auto"/>
              </w:rPr>
            </w:pPr>
          </w:p>
        </w:tc>
        <w:tc>
          <w:tcPr>
            <w:tcW w:w="158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0" w:type="dxa"/>
            <w:vAlign w:val="bottom"/>
          </w:tcPr>
          <w:p>
            <w:pPr>
              <w:spacing w:after="0"/>
              <w:rPr>
                <w:sz w:val="1"/>
                <w:szCs w:val="1"/>
                <w:color w:val="auto"/>
              </w:rPr>
            </w:pPr>
          </w:p>
        </w:tc>
      </w:tr>
      <w:tr>
        <w:trPr>
          <w:trHeight w:val="204"/>
        </w:trPr>
        <w:tc>
          <w:tcPr>
            <w:tcW w:w="6040" w:type="dxa"/>
            <w:vAlign w:val="bottom"/>
            <w:vMerge w:val="continue"/>
          </w:tcPr>
          <w:p>
            <w:pPr>
              <w:spacing w:after="0"/>
              <w:rPr>
                <w:sz w:val="17"/>
                <w:szCs w:val="17"/>
                <w:color w:val="auto"/>
              </w:rPr>
            </w:pPr>
          </w:p>
        </w:tc>
        <w:tc>
          <w:tcPr>
            <w:tcW w:w="21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1,256,255</w:t>
            </w:r>
          </w:p>
        </w:tc>
        <w:tc>
          <w:tcPr>
            <w:tcW w:w="340" w:type="dxa"/>
            <w:vAlign w:val="bottom"/>
          </w:tcPr>
          <w:p>
            <w:pPr>
              <w:spacing w:after="0"/>
              <w:rPr>
                <w:sz w:val="17"/>
                <w:szCs w:val="17"/>
                <w:color w:val="auto"/>
              </w:rPr>
            </w:pPr>
          </w:p>
        </w:tc>
        <w:tc>
          <w:tcPr>
            <w:tcW w:w="600" w:type="dxa"/>
            <w:vAlign w:val="bottom"/>
            <w:tcBorders>
              <w:top w:val="single" w:sz="8" w:color="auto"/>
            </w:tcBorders>
          </w:tcPr>
          <w:p>
            <w:pPr>
              <w:jc w:val="right"/>
              <w:ind w:right="401"/>
              <w:spacing w:after="0" w:line="204" w:lineRule="exact"/>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top w:val="single" w:sz="8" w:color="auto"/>
            </w:tcBorders>
          </w:tcPr>
          <w:p>
            <w:pPr>
              <w:jc w:val="right"/>
              <w:spacing w:after="0" w:line="204" w:lineRule="exact"/>
              <w:rPr>
                <w:sz w:val="20"/>
                <w:szCs w:val="20"/>
                <w:color w:val="auto"/>
              </w:rPr>
            </w:pPr>
            <w:r>
              <w:rPr>
                <w:rFonts w:ascii="Times New Roman" w:cs="Times New Roman" w:eastAsia="Times New Roman" w:hAnsi="Times New Roman"/>
                <w:sz w:val="20"/>
                <w:szCs w:val="20"/>
                <w:color w:val="auto"/>
              </w:rPr>
              <w:t>12.89</w:t>
            </w: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604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Granted</w:t>
            </w:r>
          </w:p>
        </w:tc>
        <w:tc>
          <w:tcPr>
            <w:tcW w:w="2480" w:type="dxa"/>
            <w:vAlign w:val="bottom"/>
            <w:gridSpan w:val="2"/>
          </w:tcPr>
          <w:p>
            <w:pPr>
              <w:jc w:val="right"/>
              <w:ind w:right="340"/>
              <w:spacing w:after="0" w:line="229" w:lineRule="exact"/>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spacing w:after="0"/>
              <w:rPr>
                <w:sz w:val="19"/>
                <w:szCs w:val="19"/>
                <w:color w:val="auto"/>
              </w:rPr>
            </w:pPr>
          </w:p>
        </w:tc>
        <w:tc>
          <w:tcPr>
            <w:tcW w:w="1580" w:type="dxa"/>
            <w:vAlign w:val="bottom"/>
            <w:gridSpan w:val="3"/>
          </w:tcPr>
          <w:p>
            <w:pPr>
              <w:jc w:val="right"/>
              <w:ind w:right="40"/>
              <w:spacing w:after="0" w:line="229"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8"/>
        </w:trPr>
        <w:tc>
          <w:tcPr>
            <w:tcW w:w="604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Vested</w:t>
            </w:r>
          </w:p>
        </w:tc>
        <w:tc>
          <w:tcPr>
            <w:tcW w:w="2480" w:type="dxa"/>
            <w:vAlign w:val="bottom"/>
            <w:gridSpan w:val="2"/>
          </w:tcPr>
          <w:p>
            <w:pPr>
              <w:jc w:val="right"/>
              <w:ind w:right="260"/>
              <w:spacing w:after="0" w:line="229" w:lineRule="exact"/>
              <w:rPr>
                <w:sz w:val="20"/>
                <w:szCs w:val="20"/>
                <w:color w:val="auto"/>
              </w:rPr>
            </w:pPr>
            <w:r>
              <w:rPr>
                <w:rFonts w:ascii="Times New Roman" w:cs="Times New Roman" w:eastAsia="Times New Roman" w:hAnsi="Times New Roman"/>
                <w:sz w:val="20"/>
                <w:szCs w:val="20"/>
                <w:color w:val="auto"/>
              </w:rPr>
              <w:t>(280,308)</w:t>
            </w:r>
          </w:p>
        </w:tc>
        <w:tc>
          <w:tcPr>
            <w:tcW w:w="600" w:type="dxa"/>
            <w:vAlign w:val="bottom"/>
          </w:tcPr>
          <w:p>
            <w:pPr>
              <w:spacing w:after="0"/>
              <w:rPr>
                <w:sz w:val="19"/>
                <w:szCs w:val="19"/>
                <w:color w:val="auto"/>
              </w:rPr>
            </w:pPr>
          </w:p>
        </w:tc>
        <w:tc>
          <w:tcPr>
            <w:tcW w:w="1580" w:type="dxa"/>
            <w:vAlign w:val="bottom"/>
            <w:gridSpan w:val="3"/>
          </w:tcPr>
          <w:p>
            <w:pPr>
              <w:jc w:val="right"/>
              <w:ind w:right="40"/>
              <w:spacing w:after="0" w:line="229" w:lineRule="exact"/>
              <w:rPr>
                <w:sz w:val="20"/>
                <w:szCs w:val="20"/>
                <w:color w:val="auto"/>
              </w:rPr>
            </w:pPr>
            <w:r>
              <w:rPr>
                <w:rFonts w:ascii="Times New Roman" w:cs="Times New Roman" w:eastAsia="Times New Roman" w:hAnsi="Times New Roman"/>
                <w:sz w:val="20"/>
                <w:szCs w:val="20"/>
                <w:color w:val="auto"/>
              </w:rPr>
              <w:t>12.29</w:t>
            </w:r>
          </w:p>
        </w:tc>
        <w:tc>
          <w:tcPr>
            <w:tcW w:w="0" w:type="dxa"/>
            <w:vAlign w:val="bottom"/>
          </w:tcPr>
          <w:p>
            <w:pPr>
              <w:spacing w:after="0"/>
              <w:rPr>
                <w:sz w:val="1"/>
                <w:szCs w:val="1"/>
                <w:color w:val="auto"/>
              </w:rPr>
            </w:pPr>
          </w:p>
        </w:tc>
      </w:tr>
      <w:tr>
        <w:trPr>
          <w:trHeight w:val="248"/>
        </w:trPr>
        <w:tc>
          <w:tcPr>
            <w:tcW w:w="6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Canceled/forfeited</w:t>
            </w:r>
          </w:p>
        </w:tc>
        <w:tc>
          <w:tcPr>
            <w:tcW w:w="248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auto"/>
              </w:rPr>
              <w:t>(677,764)</w:t>
            </w:r>
          </w:p>
        </w:tc>
        <w:tc>
          <w:tcPr>
            <w:tcW w:w="600" w:type="dxa"/>
            <w:vAlign w:val="bottom"/>
          </w:tcPr>
          <w:p>
            <w:pPr>
              <w:spacing w:after="0"/>
              <w:rPr>
                <w:sz w:val="21"/>
                <w:szCs w:val="21"/>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13.15</w:t>
            </w:r>
          </w:p>
        </w:tc>
        <w:tc>
          <w:tcPr>
            <w:tcW w:w="0" w:type="dxa"/>
            <w:vAlign w:val="bottom"/>
          </w:tcPr>
          <w:p>
            <w:pPr>
              <w:spacing w:after="0"/>
              <w:rPr>
                <w:sz w:val="1"/>
                <w:szCs w:val="1"/>
                <w:color w:val="auto"/>
              </w:rPr>
            </w:pPr>
          </w:p>
        </w:tc>
      </w:tr>
      <w:tr>
        <w:trPr>
          <w:trHeight w:val="223"/>
        </w:trPr>
        <w:tc>
          <w:tcPr>
            <w:tcW w:w="604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Unvested as of December 31, 2025</w:t>
            </w:r>
          </w:p>
        </w:tc>
        <w:tc>
          <w:tcPr>
            <w:tcW w:w="2140" w:type="dxa"/>
            <w:vAlign w:val="bottom"/>
            <w:tcBorders>
              <w:top w:val="single" w:sz="8" w:color="auto"/>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298,183</w:t>
            </w:r>
          </w:p>
        </w:tc>
        <w:tc>
          <w:tcPr>
            <w:tcW w:w="340" w:type="dxa"/>
            <w:vAlign w:val="bottom"/>
          </w:tcPr>
          <w:p>
            <w:pPr>
              <w:spacing w:after="0"/>
              <w:rPr>
                <w:sz w:val="19"/>
                <w:szCs w:val="19"/>
                <w:color w:val="auto"/>
              </w:rPr>
            </w:pPr>
          </w:p>
        </w:tc>
        <w:tc>
          <w:tcPr>
            <w:tcW w:w="600" w:type="dxa"/>
            <w:vAlign w:val="bottom"/>
          </w:tcPr>
          <w:p>
            <w:pPr>
              <w:jc w:val="right"/>
              <w:ind w:right="401"/>
              <w:spacing w:after="0" w:line="224" w:lineRule="exact"/>
              <w:rPr>
                <w:sz w:val="20"/>
                <w:szCs w:val="20"/>
                <w:color w:val="auto"/>
              </w:rPr>
            </w:pPr>
            <w:r>
              <w:rPr>
                <w:rFonts w:ascii="Times New Roman" w:cs="Times New Roman" w:eastAsia="Times New Roman" w:hAnsi="Times New Roman"/>
                <w:sz w:val="20"/>
                <w:szCs w:val="20"/>
                <w:color w:val="auto"/>
                <w:w w:val="79"/>
              </w:rPr>
              <w:t>$</w:t>
            </w:r>
          </w:p>
        </w:tc>
        <w:tc>
          <w:tcPr>
            <w:tcW w:w="1580" w:type="dxa"/>
            <w:vAlign w:val="bottom"/>
            <w:gridSpan w:val="3"/>
          </w:tcPr>
          <w:p>
            <w:pPr>
              <w:jc w:val="right"/>
              <w:ind w:right="40"/>
              <w:spacing w:after="0" w:line="224" w:lineRule="exact"/>
              <w:rPr>
                <w:sz w:val="20"/>
                <w:szCs w:val="20"/>
                <w:color w:val="auto"/>
              </w:rPr>
            </w:pPr>
            <w:r>
              <w:rPr>
                <w:rFonts w:ascii="Times New Roman" w:cs="Times New Roman" w:eastAsia="Times New Roman" w:hAnsi="Times New Roman"/>
                <w:sz w:val="20"/>
                <w:szCs w:val="20"/>
                <w:color w:val="auto"/>
              </w:rPr>
              <w:t>12.89</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right="240" w:firstLine="486"/>
        <w:spacing w:after="0" w:line="274" w:lineRule="auto"/>
        <w:rPr>
          <w:sz w:val="20"/>
          <w:szCs w:val="20"/>
          <w:color w:val="auto"/>
        </w:rPr>
      </w:pPr>
      <w:r>
        <w:rPr>
          <w:rFonts w:ascii="Times New Roman" w:cs="Times New Roman" w:eastAsia="Times New Roman" w:hAnsi="Times New Roman"/>
          <w:sz w:val="20"/>
          <w:szCs w:val="20"/>
          <w:color w:val="auto"/>
        </w:rPr>
        <w:t>The total fair value of RSUs vested during the years ended December 31, 2025, 2024 and 2023 was $0.3 million, $2.3 million and $2.8 million, respectively.</w:t>
      </w:r>
    </w:p>
    <w:p>
      <w:pPr>
        <w:spacing w:after="0" w:line="1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color w:val="auto"/>
        </w:rPr>
        <w:t>Performance-Based Restricted Stock Units</w:t>
      </w:r>
    </w:p>
    <w:p>
      <w:pPr>
        <w:spacing w:after="0" w:line="116"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9"/>
          <w:szCs w:val="19"/>
          <w:color w:val="auto"/>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2240" w:h="15840" w:orient="portrait"/>
          <w:cols w:equalWidth="0" w:num="1">
            <w:col w:w="10720"/>
          </w:cols>
          <w:pgMar w:left="760" w:top="978" w:right="760" w:bottom="246" w:gutter="0" w:footer="0" w:header="0"/>
          <w:type w:val="continuous"/>
        </w:sectPr>
      </w:pPr>
    </w:p>
    <w:bookmarkStart w:id="133" w:name="page134"/>
    <w:bookmarkEnd w:id="133"/>
    <w:p>
      <w:pPr>
        <w:ind w:right="60" w:firstLine="486"/>
        <w:spacing w:after="0" w:line="250" w:lineRule="auto"/>
        <w:rPr>
          <w:sz w:val="20"/>
          <w:szCs w:val="20"/>
          <w:color w:val="auto"/>
        </w:rPr>
      </w:pPr>
      <w:r>
        <w:rPr>
          <w:rFonts w:ascii="Times New Roman" w:cs="Times New Roman" w:eastAsia="Times New Roman" w:hAnsi="Times New Roman"/>
          <w:sz w:val="20"/>
          <w:szCs w:val="20"/>
          <w:color w:val="auto"/>
        </w:rPr>
        <w:t>The Company determined that the performance conditions for one tranche of PSUs was achieved by the March 31, 2025 deadline. As a result, compensation expense of $0.8 million has been recognized related to this tranche of PSUs for the year ended December 31, 2025. The performance conditions for the other tranche of PSUs was not achieved as of March 31, 2025, and therefore, these awards were forfeited.</w:t>
      </w:r>
    </w:p>
    <w:p>
      <w:pPr>
        <w:spacing w:after="0" w:line="7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As of December 31, 2025, there were 57,750 PSUs outstanding and unvested.</w:t>
      </w:r>
    </w:p>
    <w:p>
      <w:pPr>
        <w:spacing w:after="0" w:line="23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 Expenses</w:t>
      </w:r>
    </w:p>
    <w:p>
      <w:pPr>
        <w:spacing w:after="0" w:line="118" w:lineRule="exact"/>
        <w:rPr>
          <w:sz w:val="20"/>
          <w:szCs w:val="20"/>
          <w:color w:val="auto"/>
        </w:rPr>
      </w:pPr>
    </w:p>
    <w:p>
      <w:pPr>
        <w:ind w:right="140" w:firstLine="486"/>
        <w:spacing w:after="0" w:line="245" w:lineRule="auto"/>
        <w:rPr>
          <w:sz w:val="20"/>
          <w:szCs w:val="20"/>
          <w:color w:val="auto"/>
        </w:rPr>
      </w:pPr>
      <w:r>
        <w:rPr>
          <w:rFonts w:ascii="Times New Roman" w:cs="Times New Roman" w:eastAsia="Times New Roman" w:hAnsi="Times New Roman"/>
          <w:sz w:val="20"/>
          <w:szCs w:val="20"/>
          <w:color w:val="auto"/>
        </w:rPr>
        <w:t>Stock options granted are measured based on the grant-date fair value estimated using the Black-Scholes option pricing model. The grant-date fair value of RSUs is the fair value of the underlying stock on the award’s grant date. Compensation expense is recognized over the vesting period of the applicable awards on a straight-line basis. The weighted-average grant date fair value per share for stock options granted during the years ended December 31, 2025, 2024 and 2023 was $1.07, $4.10 and $4.44, respectively. The weighted-average grant date fair value per share for RSUs granted during the years ended December 31, 2024 and 2023 was $15.59 and $5.86, respectively. There were no RSUs granted during the year ended December 31, 2025.</w:t>
      </w:r>
    </w:p>
    <w:p>
      <w:pPr>
        <w:spacing w:after="0" w:line="81" w:lineRule="exact"/>
        <w:rPr>
          <w:sz w:val="20"/>
          <w:szCs w:val="20"/>
          <w:color w:val="auto"/>
        </w:rPr>
      </w:pPr>
    </w:p>
    <w:p>
      <w:pPr>
        <w:ind w:right="440" w:firstLine="486"/>
        <w:spacing w:after="0" w:line="274" w:lineRule="auto"/>
        <w:rPr>
          <w:sz w:val="20"/>
          <w:szCs w:val="20"/>
          <w:color w:val="auto"/>
        </w:rPr>
      </w:pPr>
      <w:r>
        <w:rPr>
          <w:rFonts w:ascii="Times New Roman" w:cs="Times New Roman" w:eastAsia="Times New Roman" w:hAnsi="Times New Roman"/>
          <w:sz w:val="20"/>
          <w:szCs w:val="20"/>
          <w:color w:val="auto"/>
        </w:rPr>
        <w:t>Stock-based compensation expense includes stock options and RSUs and has been reported in the Company’s consolidated statements of operations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center"/>
              <w:ind w:right="126"/>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4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jc w:val="center"/>
              <w:ind w:right="126"/>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jc w:val="center"/>
              <w:ind w:right="126"/>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tcPr>
          <w:p>
            <w:pPr>
              <w:jc w:val="right"/>
              <w:ind w:right="583"/>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2"/>
        </w:trPr>
        <w:tc>
          <w:tcPr>
            <w:tcW w:w="49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6,205</w:t>
            </w:r>
          </w:p>
        </w:tc>
        <w:tc>
          <w:tcPr>
            <w:tcW w:w="300" w:type="dxa"/>
            <w:vAlign w:val="bottom"/>
          </w:tcPr>
          <w:p>
            <w:pPr>
              <w:spacing w:after="0"/>
              <w:rPr>
                <w:sz w:val="20"/>
                <w:szCs w:val="20"/>
                <w:color w:val="auto"/>
              </w:rPr>
            </w:pPr>
          </w:p>
        </w:tc>
        <w:tc>
          <w:tcPr>
            <w:tcW w:w="2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18,490</w:t>
            </w:r>
          </w:p>
        </w:tc>
        <w:tc>
          <w:tcPr>
            <w:tcW w:w="300" w:type="dxa"/>
            <w:vAlign w:val="bottom"/>
          </w:tcPr>
          <w:p>
            <w:pPr>
              <w:spacing w:after="0"/>
              <w:rPr>
                <w:sz w:val="20"/>
                <w:szCs w:val="20"/>
                <w:color w:val="auto"/>
              </w:rPr>
            </w:pPr>
          </w:p>
        </w:tc>
        <w:tc>
          <w:tcPr>
            <w:tcW w:w="380" w:type="dxa"/>
            <w:vAlign w:val="bottom"/>
            <w:tcBorders>
              <w:top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14,665</w:t>
            </w:r>
          </w:p>
        </w:tc>
        <w:tc>
          <w:tcPr>
            <w:tcW w:w="0" w:type="dxa"/>
            <w:vAlign w:val="bottom"/>
          </w:tcPr>
          <w:p>
            <w:pPr>
              <w:spacing w:after="0"/>
              <w:rPr>
                <w:sz w:val="1"/>
                <w:szCs w:val="1"/>
                <w:color w:val="auto"/>
              </w:rPr>
            </w:pPr>
          </w:p>
        </w:tc>
      </w:tr>
      <w:tr>
        <w:trPr>
          <w:trHeight w:val="248"/>
        </w:trPr>
        <w:tc>
          <w:tcPr>
            <w:tcW w:w="4900" w:type="dxa"/>
            <w:vAlign w:val="bottom"/>
          </w:tcPr>
          <w:p>
            <w:pPr>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6,374</w:t>
            </w:r>
          </w:p>
        </w:tc>
        <w:tc>
          <w:tcPr>
            <w:tcW w:w="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8,603</w:t>
            </w:r>
          </w:p>
        </w:tc>
        <w:tc>
          <w:tcPr>
            <w:tcW w:w="3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11,608</w:t>
            </w:r>
          </w:p>
        </w:tc>
        <w:tc>
          <w:tcPr>
            <w:tcW w:w="0" w:type="dxa"/>
            <w:vAlign w:val="bottom"/>
          </w:tcPr>
          <w:p>
            <w:pPr>
              <w:spacing w:after="0"/>
              <w:rPr>
                <w:sz w:val="1"/>
                <w:szCs w:val="1"/>
                <w:color w:val="auto"/>
              </w:rPr>
            </w:pPr>
          </w:p>
        </w:tc>
      </w:tr>
      <w:tr>
        <w:trPr>
          <w:trHeight w:val="237"/>
        </w:trPr>
        <w:tc>
          <w:tcPr>
            <w:tcW w:w="49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20" w:type="dxa"/>
            <w:vAlign w:val="bottom"/>
          </w:tcPr>
          <w:p>
            <w:pPr>
              <w:spacing w:after="0"/>
              <w:rPr>
                <w:sz w:val="20"/>
                <w:szCs w:val="20"/>
                <w:color w:val="auto"/>
              </w:rPr>
            </w:pPr>
          </w:p>
        </w:tc>
        <w:tc>
          <w:tcPr>
            <w:tcW w:w="108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12,579</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w w:val="7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27,093</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26,273</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-685800</wp:posOffset>
            </wp:positionV>
            <wp:extent cx="369570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extLst>
                    </a:blip>
                    <a:srcRect/>
                    <a:stretch>
                      <a:fillRect/>
                    </a:stretch>
                  </pic:blipFill>
                  <pic:spPr bwMode="auto">
                    <a:xfrm>
                      <a:off x="0" y="0"/>
                      <a:ext cx="3695700" cy="38100"/>
                    </a:xfrm>
                    <a:prstGeom prst="rect">
                      <a:avLst/>
                    </a:prstGeom>
                    <a:noFill/>
                  </pic:spPr>
                </pic:pic>
              </a:graphicData>
            </a:graphic>
          </wp:anchor>
        </w:drawing>
      </w:r>
    </w:p>
    <w:p>
      <w:pPr>
        <w:spacing w:after="0" w:line="199" w:lineRule="exact"/>
        <w:rPr>
          <w:sz w:val="20"/>
          <w:szCs w:val="20"/>
          <w:color w:val="auto"/>
        </w:rPr>
      </w:pPr>
    </w:p>
    <w:p>
      <w:pPr>
        <w:ind w:right="200" w:firstLine="486"/>
        <w:spacing w:after="0" w:line="250" w:lineRule="auto"/>
        <w:rPr>
          <w:sz w:val="20"/>
          <w:szCs w:val="20"/>
          <w:color w:val="auto"/>
        </w:rPr>
      </w:pPr>
      <w:r>
        <w:rPr>
          <w:rFonts w:ascii="Times New Roman" w:cs="Times New Roman" w:eastAsia="Times New Roman" w:hAnsi="Times New Roman"/>
          <w:sz w:val="20"/>
          <w:szCs w:val="20"/>
          <w:color w:val="auto"/>
        </w:rPr>
        <w:t>As of December 31, 2025, there was unrecognized share-based compensation expense of $12.6 million, related to unvested stock options which the Company expects to recognize over a weighted-average period of 1.7 years. There was unrecognized share-based compensation expense of $2.1 million, related to unvested RSUs which the Company expects to recognize over a weighted-average period of 1.3 years.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RELATED-PARTY TRANSACTIONS</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Tallac Service Agreement</w:t>
      </w:r>
    </w:p>
    <w:p>
      <w:pPr>
        <w:spacing w:after="0" w:line="118" w:lineRule="exact"/>
        <w:rPr>
          <w:sz w:val="20"/>
          <w:szCs w:val="20"/>
          <w:color w:val="auto"/>
        </w:rPr>
      </w:pPr>
    </w:p>
    <w:p>
      <w:pPr>
        <w:ind w:right="60" w:firstLine="487"/>
        <w:spacing w:after="0" w:line="242" w:lineRule="auto"/>
        <w:rPr>
          <w:sz w:val="20"/>
          <w:szCs w:val="20"/>
          <w:color w:val="auto"/>
        </w:rPr>
      </w:pPr>
      <w:r>
        <w:rPr>
          <w:rFonts w:ascii="Times New Roman" w:cs="Times New Roman" w:eastAsia="Times New Roman" w:hAnsi="Times New Roman"/>
          <w:sz w:val="20"/>
          <w:szCs w:val="20"/>
          <w:color w:val="auto"/>
        </w:rPr>
        <w:t>On July 1, 2020, the Company entered into a research and development services agreement, or the Tallac Services Agreement, with Tallac Therapeutics, Inc., or Tallac, a related-party of the Company. The Company’s former Chief Scientific Officer was on the Board of Directors of Tallac. In addition, one of the Company’s investors was also an investor of Tallac. As such, Tallac was deemed to be a related-party. The Tallac Services Agreement provides that Tallac will provide certain preclinical research services to the Company for a service fee based on the costs incurred by Tallac plus a mark-up equal to 10.0% of such costs. The Tallac Services Agreement has an initial term of four years and is renewed automatically for additional one year terms thereafter. The Company records the payments for the research and development services as research and development, or R&amp;D, costs within the consolidated statements of operations. For the years ended December 31, 2025, 2024 and 2023, the Company recorded zero, a nominal amount and $0.3 million, respectively, as R&amp;D costs in relation to the Tallac Services Agreement. The Tallac Services Agreement was terminated on July 1, 2024.</w:t>
      </w:r>
    </w:p>
    <w:p>
      <w:pPr>
        <w:spacing w:after="0" w:line="20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Tallac Collaboration Agreement</w:t>
      </w:r>
    </w:p>
    <w:p>
      <w:pPr>
        <w:spacing w:after="0" w:line="118"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20"/>
          <w:szCs w:val="20"/>
          <w:color w:val="auto"/>
        </w:rPr>
        <w:t>On March 4, 2021, the Company entered into a Collaboration Agreement with Tallac, or the Tallac Collaboration Agreement, to jointly develop, manufacture, and commercialize a novel class of cancer immunotherapy. The collaboration builds on the Company’s expertise in developing therapies that block the CD47 checkpoint pathway and expands its immuno-oncology pipeline. The companies will leverage their respective scientific and technical expertise to advance an anti-6,53Į antibody conjugated to a Toll-like receptor 9, or TLR9, agonist for targeted activation of both the innate and adaptive immune systems. The key economic components of the collaboration transaction include that both parties will share equally (a) in the cost and expenses of research and development and (b) any profit or loss.</w:t>
      </w:r>
    </w:p>
    <w:p>
      <w:pPr>
        <w:sectPr>
          <w:pgSz w:w="12240" w:h="15840" w:orient="portrait"/>
          <w:cols w:equalWidth="0" w:num="1">
            <w:col w:w="10700"/>
          </w:cols>
          <w:pgMar w:left="760" w:top="978"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124</w:t>
      </w:r>
    </w:p>
    <w:p>
      <w:pPr>
        <w:sectPr>
          <w:pgSz w:w="12240" w:h="15840" w:orient="portrait"/>
          <w:cols w:equalWidth="0" w:num="1">
            <w:col w:w="10700"/>
          </w:cols>
          <w:pgMar w:left="760" w:top="978" w:right="780" w:bottom="246" w:gutter="0" w:footer="0" w:header="0"/>
          <w:type w:val="continuous"/>
        </w:sectPr>
      </w:pPr>
    </w:p>
    <w:bookmarkStart w:id="134" w:name="page135"/>
    <w:bookmarkEnd w:id="134"/>
    <w:p>
      <w:pPr>
        <w:ind w:firstLine="486"/>
        <w:spacing w:after="0" w:line="244" w:lineRule="auto"/>
        <w:rPr>
          <w:sz w:val="20"/>
          <w:szCs w:val="20"/>
          <w:color w:val="auto"/>
        </w:rPr>
      </w:pPr>
      <w:r>
        <w:rPr>
          <w:rFonts w:ascii="Times New Roman" w:cs="Times New Roman" w:eastAsia="Times New Roman" w:hAnsi="Times New Roman"/>
          <w:sz w:val="20"/>
          <w:szCs w:val="20"/>
          <w:color w:val="auto"/>
        </w:rPr>
        <w:t xml:space="preserve">The Company accounts for R&amp;D costs in accordance with ASC 730, </w:t>
      </w:r>
      <w:r>
        <w:rPr>
          <w:rFonts w:ascii="Times New Roman" w:cs="Times New Roman" w:eastAsia="Times New Roman" w:hAnsi="Times New Roman"/>
          <w:sz w:val="20"/>
          <w:szCs w:val="20"/>
          <w:i w:val="1"/>
          <w:iCs w:val="1"/>
          <w:color w:val="auto"/>
        </w:rPr>
        <w:t>Research and Development</w:t>
      </w:r>
      <w:r>
        <w:rPr>
          <w:rFonts w:ascii="Times New Roman" w:cs="Times New Roman" w:eastAsia="Times New Roman" w:hAnsi="Times New Roman"/>
          <w:sz w:val="20"/>
          <w:szCs w:val="20"/>
          <w:color w:val="auto"/>
        </w:rPr>
        <w:t>, which states R&amp;D costs must be charged to expense as incurred. Accordingly, the Company records its internal and third-party costs associated with the collaboration as R&amp;D expenses as incurred. When the Company is entitled to reimbursement of the R&amp;D expenses that it incurs under the collaboration, the Company records those reimbursable amounts as a reduction to R&amp;D expenses. The Company also records as R&amp;D expenses, the portion of Tallac’s expenses that the Company is obligated to reimburse, in the period when Tallac incurs such expenses. During the years ended December 31, 2025, 2024 and 2023, the Company recorded $0.1 million, $0.8 million and $1.7 million, respectively, as R&amp;D costs in relation to the Tallac Collaboration Agreement.</w:t>
      </w:r>
    </w:p>
    <w:p>
      <w:pPr>
        <w:spacing w:after="0" w:line="81" w:lineRule="exact"/>
        <w:rPr>
          <w:sz w:val="20"/>
          <w:szCs w:val="20"/>
          <w:color w:val="auto"/>
        </w:rPr>
      </w:pPr>
    </w:p>
    <w:p>
      <w:pPr>
        <w:jc w:val="both"/>
        <w:ind w:right="300" w:firstLine="486"/>
        <w:spacing w:after="0" w:line="250" w:lineRule="auto"/>
        <w:rPr>
          <w:sz w:val="20"/>
          <w:szCs w:val="20"/>
          <w:color w:val="auto"/>
        </w:rPr>
      </w:pPr>
      <w:r>
        <w:rPr>
          <w:rFonts w:ascii="Times New Roman" w:cs="Times New Roman" w:eastAsia="Times New Roman" w:hAnsi="Times New Roman"/>
          <w:sz w:val="20"/>
          <w:szCs w:val="20"/>
          <w:color w:val="auto"/>
        </w:rPr>
        <w:t>The Tallac Collaboration Agreement includes the right to set off clause, as such, the Company records the amount due to or reimbursable from Tallac on a net basis. As of December 31, 2025 and 2024, the Company had accrued expenses of zero and $0.1 million, respectively, related to the Tallac Collaboration Agreement which was presented within the payable and accrued liabilities due to related party on the consolidated balance sheets.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(11) INCOME TAXES</w:t>
      </w:r>
    </w:p>
    <w:p>
      <w:pPr>
        <w:spacing w:after="0" w:line="122" w:lineRule="exact"/>
        <w:rPr>
          <w:sz w:val="20"/>
          <w:szCs w:val="20"/>
          <w:color w:val="auto"/>
        </w:rPr>
      </w:pPr>
    </w:p>
    <w:p>
      <w:pPr>
        <w:ind w:right="120" w:firstLine="487"/>
        <w:spacing w:after="0" w:line="274" w:lineRule="auto"/>
        <w:rPr>
          <w:sz w:val="20"/>
          <w:szCs w:val="20"/>
          <w:color w:val="auto"/>
        </w:rPr>
      </w:pPr>
      <w:r>
        <w:rPr>
          <w:rFonts w:ascii="Times New Roman" w:cs="Times New Roman" w:eastAsia="Times New Roman" w:hAnsi="Times New Roman"/>
          <w:sz w:val="20"/>
          <w:szCs w:val="20"/>
          <w:color w:val="auto"/>
        </w:rPr>
        <w:t>The U.S. domestic and international components of pre-tax loss for the years ending December 31, 2025, 2024 and 2023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20" w:type="dxa"/>
            <w:vAlign w:val="bottom"/>
            <w:gridSpan w:val="6"/>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2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3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(101,198)</w:t>
            </w:r>
          </w:p>
        </w:tc>
        <w:tc>
          <w:tcPr>
            <w:tcW w:w="300" w:type="dxa"/>
            <w:vAlign w:val="bottom"/>
          </w:tcPr>
          <w:p>
            <w:pPr>
              <w:spacing w:after="0"/>
              <w:rPr>
                <w:sz w:val="20"/>
                <w:szCs w:val="20"/>
                <w:color w:val="auto"/>
              </w:rPr>
            </w:pP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(134,120)</w:t>
            </w:r>
          </w:p>
        </w:tc>
        <w:tc>
          <w:tcPr>
            <w:tcW w:w="280" w:type="dxa"/>
            <w:vAlign w:val="bottom"/>
          </w:tcPr>
          <w:p>
            <w:pPr>
              <w:spacing w:after="0"/>
              <w:rPr>
                <w:sz w:val="20"/>
                <w:szCs w:val="20"/>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(159,766)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International</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(497)</w:t>
            </w:r>
          </w:p>
        </w:tc>
        <w:tc>
          <w:tcPr>
            <w:tcW w:w="34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(730)</w:t>
            </w:r>
          </w:p>
        </w:tc>
        <w:tc>
          <w:tcPr>
            <w:tcW w:w="3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(1,039)</w:t>
            </w: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20"/>
                <w:szCs w:val="20"/>
                <w:color w:val="auto"/>
              </w:rPr>
              <w:t>Loss before income taxes</w:t>
            </w:r>
          </w:p>
        </w:tc>
        <w:tc>
          <w:tcPr>
            <w:tcW w:w="2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(101,695)</w:t>
            </w:r>
          </w:p>
        </w:tc>
        <w:tc>
          <w:tcPr>
            <w:tcW w:w="3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(134,850)</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(160,805)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3289300</wp:posOffset>
            </wp:positionH>
            <wp:positionV relativeFrom="paragraph">
              <wp:posOffset>-685800</wp:posOffset>
            </wp:positionV>
            <wp:extent cx="348488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extLst>
                    </a:blip>
                    <a:srcRect/>
                    <a:stretch>
                      <a:fillRect/>
                    </a:stretch>
                  </pic:blipFill>
                  <pic:spPr bwMode="auto">
                    <a:xfrm>
                      <a:off x="0" y="0"/>
                      <a:ext cx="3484880" cy="38100"/>
                    </a:xfrm>
                    <a:prstGeom prst="rect">
                      <a:avLst/>
                    </a:prstGeom>
                    <a:noFill/>
                  </pic:spPr>
                </pic:pic>
              </a:graphicData>
            </a:graphic>
          </wp:anchor>
        </w:drawing>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federal and state provision (benefit) for income taxes consist of the following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980" w:type="dxa"/>
            <w:vAlign w:val="bottom"/>
            <w:gridSpan w:val="7"/>
          </w:tcPr>
          <w:p>
            <w:pPr>
              <w:ind w:left="4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Current tax expense (benefit):</w:t>
            </w:r>
          </w:p>
        </w:tc>
        <w:tc>
          <w:tcPr>
            <w:tcW w:w="12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4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2"/>
        </w:trPr>
        <w:tc>
          <w:tcPr>
            <w:tcW w:w="5200" w:type="dxa"/>
            <w:vAlign w:val="bottom"/>
            <w:vMerge w:val="continue"/>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Federal</w:t>
            </w: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64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State</w:t>
            </w:r>
          </w:p>
        </w:tc>
        <w:tc>
          <w:tcPr>
            <w:tcW w:w="1200" w:type="dxa"/>
            <w:vAlign w:val="bottom"/>
          </w:tcPr>
          <w:p>
            <w:pPr>
              <w:spacing w:after="0"/>
              <w:rPr>
                <w:sz w:val="21"/>
                <w:szCs w:val="21"/>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8"/>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37"/>
        </w:trPr>
        <w:tc>
          <w:tcPr>
            <w:tcW w:w="5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current tax expense (benefit)</w:t>
            </w:r>
          </w:p>
        </w:tc>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474"/>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expense (benefit):</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Federal</w:t>
            </w: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64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State</w:t>
            </w:r>
          </w:p>
        </w:tc>
        <w:tc>
          <w:tcPr>
            <w:tcW w:w="1200" w:type="dxa"/>
            <w:vAlign w:val="bottom"/>
          </w:tcPr>
          <w:p>
            <w:pPr>
              <w:spacing w:after="0"/>
              <w:rPr>
                <w:sz w:val="21"/>
                <w:szCs w:val="21"/>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8"/>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37"/>
        </w:trPr>
        <w:tc>
          <w:tcPr>
            <w:tcW w:w="52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deferred tax expense (benefit)</w:t>
            </w:r>
          </w:p>
        </w:tc>
        <w:tc>
          <w:tcPr>
            <w:tcW w:w="12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474"/>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income tax expense (benefit)</w:t>
            </w: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Federal</w:t>
            </w: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640" w:type="dxa"/>
            <w:vAlign w:val="bottom"/>
            <w:gridSpan w:val="3"/>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gridSpan w:val="2"/>
          </w:tcPr>
          <w:p>
            <w:pPr>
              <w:jc w:val="right"/>
              <w:ind w:right="16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2"/>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US State</w:t>
            </w:r>
          </w:p>
        </w:tc>
        <w:tc>
          <w:tcPr>
            <w:tcW w:w="1200" w:type="dxa"/>
            <w:vAlign w:val="bottom"/>
          </w:tcPr>
          <w:p>
            <w:pPr>
              <w:spacing w:after="0"/>
              <w:rPr>
                <w:sz w:val="21"/>
                <w:szCs w:val="21"/>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48"/>
        </w:trPr>
        <w:tc>
          <w:tcPr>
            <w:tcW w:w="52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Foreign</w:t>
            </w:r>
          </w:p>
        </w:tc>
        <w:tc>
          <w:tcPr>
            <w:tcW w:w="1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provision (benefit) for income taxes</w:t>
            </w:r>
          </w:p>
        </w:tc>
        <w:tc>
          <w:tcPr>
            <w:tcW w:w="1200" w:type="dxa"/>
            <w:vAlign w:val="bottom"/>
            <w:tcBorders>
              <w:bottom w:val="single" w:sz="8" w:color="auto"/>
            </w:tcBorders>
          </w:tcPr>
          <w:p>
            <w:pPr>
              <w:jc w:val="right"/>
              <w:ind w:right="1001"/>
              <w:spacing w:after="0"/>
              <w:rPr>
                <w:sz w:val="20"/>
                <w:szCs w:val="20"/>
                <w:color w:val="auto"/>
              </w:rPr>
            </w:pPr>
            <w:r>
              <w:rPr>
                <w:rFonts w:ascii="Times New Roman" w:cs="Times New Roman" w:eastAsia="Times New Roman" w:hAnsi="Times New Roman"/>
                <w:sz w:val="20"/>
                <w:szCs w:val="20"/>
                <w:color w:val="auto"/>
                <w:w w:val="79"/>
              </w:rPr>
              <w:t>$</w:t>
            </w:r>
          </w:p>
        </w:tc>
        <w:tc>
          <w:tcPr>
            <w:tcW w:w="4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280" w:type="dxa"/>
            <w:vAlign w:val="bottom"/>
          </w:tcPr>
          <w:p>
            <w:pPr>
              <w:spacing w:after="0"/>
              <w:rPr>
                <w:sz w:val="20"/>
                <w:szCs w:val="20"/>
                <w:color w:val="auto"/>
              </w:rPr>
            </w:pPr>
          </w:p>
        </w:tc>
        <w:tc>
          <w:tcPr>
            <w:tcW w:w="3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3277870</wp:posOffset>
            </wp:positionH>
            <wp:positionV relativeFrom="paragraph">
              <wp:posOffset>-2877820</wp:posOffset>
            </wp:positionV>
            <wp:extent cx="350964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3509645" cy="38100"/>
                    </a:xfrm>
                    <a:prstGeom prst="rect">
                      <a:avLst/>
                    </a:prstGeom>
                    <a:noFill/>
                  </pic:spPr>
                </pic:pic>
              </a:graphicData>
            </a:graphic>
          </wp:anchor>
        </w:drawing>
      </w:r>
    </w:p>
    <w:p>
      <w:pPr>
        <w:spacing w:after="0" w:line="1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not recorded any income tax expense for the years ended December 31, 2025, 2024 and 2023.</w:t>
      </w:r>
    </w:p>
    <w:p>
      <w:pPr>
        <w:spacing w:after="0" w:line="118" w:lineRule="exact"/>
        <w:rPr>
          <w:sz w:val="20"/>
          <w:szCs w:val="20"/>
          <w:color w:val="auto"/>
        </w:rPr>
      </w:pPr>
    </w:p>
    <w:p>
      <w:pPr>
        <w:jc w:val="both"/>
        <w:ind w:right="560" w:firstLine="486"/>
        <w:spacing w:after="0" w:line="256" w:lineRule="auto"/>
        <w:rPr>
          <w:sz w:val="20"/>
          <w:szCs w:val="20"/>
          <w:color w:val="auto"/>
        </w:rPr>
      </w:pPr>
      <w:r>
        <w:rPr>
          <w:rFonts w:ascii="Times New Roman" w:cs="Times New Roman" w:eastAsia="Times New Roman" w:hAnsi="Times New Roman"/>
          <w:sz w:val="20"/>
          <w:szCs w:val="20"/>
          <w:color w:val="auto"/>
        </w:rPr>
        <w:t>Deferred income taxes reflect the net tax effects of (a) temporary differences between the carrying amounts of assets and liabilities for financial reporting purposes and the amounts used for income tax purposes, and (b) operating losses and tax credit carryforwards.</w:t>
      </w:r>
    </w:p>
    <w:p>
      <w:pPr>
        <w:sectPr>
          <w:pgSz w:w="12240" w:h="15840" w:orient="portrait"/>
          <w:cols w:equalWidth="0" w:num="1">
            <w:col w:w="10700"/>
          </w:cols>
          <w:pgMar w:left="760" w:top="978"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2240" w:h="15840" w:orient="portrait"/>
          <w:cols w:equalWidth="0" w:num="1">
            <w:col w:w="10700"/>
          </w:cols>
          <w:pgMar w:left="760" w:top="978" w:right="780" w:bottom="246" w:gutter="0" w:footer="0" w:header="0"/>
          <w:type w:val="continuous"/>
        </w:sectPr>
      </w:pPr>
    </w:p>
    <w:bookmarkStart w:id="135" w:name="page136"/>
    <w:bookmarkEnd w:id="135"/>
    <w:p>
      <w:pPr>
        <w:ind w:right="200" w:firstLine="486"/>
        <w:spacing w:after="0" w:line="274" w:lineRule="auto"/>
        <w:rPr>
          <w:sz w:val="20"/>
          <w:szCs w:val="20"/>
          <w:color w:val="auto"/>
        </w:rPr>
      </w:pPr>
      <w:r>
        <w:rPr>
          <w:rFonts w:ascii="Times New Roman" w:cs="Times New Roman" w:eastAsia="Times New Roman" w:hAnsi="Times New Roman"/>
          <w:sz w:val="20"/>
          <w:szCs w:val="20"/>
          <w:color w:val="auto"/>
        </w:rPr>
        <w:t>A reconciliation of the U.S. federal statutory income tax rate to the effective tax for the years ended December 31, 2025, 2024 and 2023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gridSpan w:val="9"/>
          </w:tcPr>
          <w:p>
            <w:pPr>
              <w:jc w:val="center"/>
              <w:ind w:right="2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At federal statutory income tax rate</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8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2023</w:t>
            </w:r>
          </w:p>
        </w:tc>
        <w:tc>
          <w:tcPr>
            <w:tcW w:w="6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60" w:type="dxa"/>
            <w:vAlign w:val="bottom"/>
            <w:gridSpan w:val="2"/>
            <w:vMerge w:val="continue"/>
          </w:tcPr>
          <w:p>
            <w:pPr>
              <w:spacing w:after="0"/>
              <w:rPr>
                <w:sz w:val="20"/>
                <w:szCs w:val="20"/>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(21,356)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(28,318)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21.0%</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(33,769)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0" w:type="dxa"/>
            <w:vAlign w:val="bottom"/>
          </w:tcPr>
          <w:p>
            <w:pPr>
              <w:spacing w:after="0"/>
              <w:rPr>
                <w:sz w:val="1"/>
                <w:szCs w:val="1"/>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income taxes, net of federal effect</w:t>
            </w:r>
          </w:p>
        </w:tc>
        <w:tc>
          <w:tcPr>
            <w:tcW w:w="22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240" w:type="dxa"/>
            <w:vAlign w:val="bottom"/>
          </w:tcPr>
          <w:p>
            <w:pPr>
              <w:spacing w:after="0"/>
              <w:rPr>
                <w:sz w:val="21"/>
                <w:szCs w:val="21"/>
                <w:color w:val="auto"/>
              </w:rPr>
            </w:pPr>
          </w:p>
        </w:tc>
        <w:tc>
          <w:tcPr>
            <w:tcW w:w="128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19,155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-18.8%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31,496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-23.4%</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62,964</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0" w:type="dxa"/>
            <w:vAlign w:val="bottom"/>
          </w:tcPr>
          <w:p>
            <w:pPr>
              <w:spacing w:after="0"/>
              <w:rPr>
                <w:sz w:val="1"/>
                <w:szCs w:val="1"/>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Stock-based compensation</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4,030</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-1.1%</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3,619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42"/>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tax laws or rates</w:t>
            </w:r>
          </w:p>
        </w:tc>
        <w:tc>
          <w:tcPr>
            <w:tcW w:w="22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240" w:type="dxa"/>
            <w:vAlign w:val="bottom"/>
          </w:tcPr>
          <w:p>
            <w:pPr>
              <w:spacing w:after="0"/>
              <w:rPr>
                <w:sz w:val="21"/>
                <w:szCs w:val="21"/>
                <w:color w:val="auto"/>
              </w:rPr>
            </w:pPr>
          </w:p>
        </w:tc>
        <w:tc>
          <w:tcPr>
            <w:tcW w:w="1280" w:type="dxa"/>
            <w:vAlign w:val="bottom"/>
            <w:gridSpan w:val="4"/>
          </w:tcPr>
          <w:p>
            <w:pPr>
              <w:jc w:val="right"/>
              <w:ind w:right="5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Tax credits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Research &amp; development credits</w:t>
            </w: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(2,444)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(4,668)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3.4%</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(7,056)</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Cross-border tax laws</w:t>
            </w: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(74)</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(101)</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0.1%</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(175)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28"/>
        </w:trPr>
        <w:tc>
          <w:tcPr>
            <w:tcW w:w="3360" w:type="dxa"/>
            <w:vAlign w:val="bottom"/>
            <w:gridSpan w:val="2"/>
          </w:tcPr>
          <w:p>
            <w:pPr>
              <w:spacing w:after="0" w:line="229" w:lineRule="exact"/>
              <w:rPr>
                <w:sz w:val="20"/>
                <w:szCs w:val="20"/>
                <w:color w:val="auto"/>
              </w:rPr>
            </w:pPr>
            <w:r>
              <w:rPr>
                <w:rFonts w:ascii="Times New Roman" w:cs="Times New Roman" w:eastAsia="Times New Roman" w:hAnsi="Times New Roman"/>
                <w:sz w:val="20"/>
                <w:szCs w:val="20"/>
                <w:color w:val="auto"/>
              </w:rPr>
              <w:t>Worldwide changes in unrecognized tax</w:t>
            </w:r>
          </w:p>
        </w:tc>
        <w:tc>
          <w:tcPr>
            <w:tcW w:w="220" w:type="dxa"/>
            <w:vAlign w:val="bottom"/>
          </w:tcPr>
          <w:p>
            <w:pPr>
              <w:spacing w:after="0"/>
              <w:rPr>
                <w:sz w:val="19"/>
                <w:szCs w:val="19"/>
                <w:color w:val="auto"/>
              </w:rPr>
            </w:pPr>
          </w:p>
        </w:tc>
        <w:tc>
          <w:tcPr>
            <w:tcW w:w="126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(107)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0.1%</w:t>
            </w:r>
          </w:p>
        </w:tc>
        <w:tc>
          <w:tcPr>
            <w:tcW w:w="2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151"/>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benefits</w:t>
            </w:r>
          </w:p>
        </w:tc>
        <w:tc>
          <w:tcPr>
            <w:tcW w:w="220" w:type="dxa"/>
            <w:vAlign w:val="bottom"/>
          </w:tcPr>
          <w:p>
            <w:pPr>
              <w:spacing w:after="0"/>
              <w:rPr>
                <w:sz w:val="13"/>
                <w:szCs w:val="13"/>
                <w:color w:val="auto"/>
              </w:rPr>
            </w:pPr>
          </w:p>
        </w:tc>
        <w:tc>
          <w:tcPr>
            <w:tcW w:w="1260" w:type="dxa"/>
            <w:vAlign w:val="bottom"/>
            <w:gridSpan w:val="4"/>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33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Foreign tax effects</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-0.1%</w:t>
            </w: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-0.1%</w:t>
            </w:r>
          </w:p>
        </w:tc>
        <w:tc>
          <w:tcPr>
            <w:tcW w:w="0" w:type="dxa"/>
            <w:vAlign w:val="bottom"/>
          </w:tcPr>
          <w:p>
            <w:pPr>
              <w:spacing w:after="0"/>
              <w:rPr>
                <w:sz w:val="1"/>
                <w:szCs w:val="1"/>
                <w:color w:val="auto"/>
              </w:rPr>
            </w:pPr>
          </w:p>
        </w:tc>
      </w:tr>
      <w:tr>
        <w:trPr>
          <w:trHeight w:val="242"/>
        </w:trPr>
        <w:tc>
          <w:tcPr>
            <w:tcW w:w="33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Rate benefit of reorganization</w:t>
            </w:r>
          </w:p>
        </w:tc>
        <w:tc>
          <w:tcPr>
            <w:tcW w:w="22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4"/>
          </w:tcPr>
          <w:p>
            <w:pPr>
              <w:jc w:val="right"/>
              <w:ind w:right="50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(25,862)</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w:t>
            </w:r>
          </w:p>
        </w:tc>
        <w:tc>
          <w:tcPr>
            <w:tcW w:w="0" w:type="dxa"/>
            <w:vAlign w:val="bottom"/>
          </w:tcPr>
          <w:p>
            <w:pPr>
              <w:spacing w:after="0"/>
              <w:rPr>
                <w:sz w:val="1"/>
                <w:szCs w:val="1"/>
                <w:color w:val="auto"/>
              </w:rPr>
            </w:pPr>
          </w:p>
        </w:tc>
      </w:tr>
      <w:tr>
        <w:trPr>
          <w:trHeight w:val="248"/>
        </w:trPr>
        <w:tc>
          <w:tcPr>
            <w:tcW w:w="33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24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Provision (benefit) for income taxes</w:t>
            </w: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60" w:type="dxa"/>
            <w:vAlign w:val="bottom"/>
            <w:gridSpan w:val="2"/>
            <w:vMerge w:val="continue"/>
          </w:tcPr>
          <w:p>
            <w:pPr>
              <w:spacing w:after="0"/>
              <w:rPr>
                <w:sz w:val="20"/>
                <w:szCs w:val="20"/>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0.0%</w:t>
            </w:r>
          </w:p>
        </w:tc>
        <w:tc>
          <w:tcPr>
            <w:tcW w:w="10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2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0.0%</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-2831465</wp:posOffset>
            </wp:positionV>
            <wp:extent cx="45967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4596765" cy="38100"/>
                    </a:xfrm>
                    <a:prstGeom prst="rect">
                      <a:avLst/>
                    </a:prstGeom>
                    <a:noFill/>
                  </pic:spPr>
                </pic:pic>
              </a:graphicData>
            </a:graphic>
          </wp:anchor>
        </w:drawing>
      </w:r>
    </w:p>
    <w:p>
      <w:pPr>
        <w:spacing w:after="0" w:line="199" w:lineRule="exact"/>
        <w:rPr>
          <w:sz w:val="20"/>
          <w:szCs w:val="20"/>
          <w:color w:val="auto"/>
        </w:rPr>
      </w:pPr>
    </w:p>
    <w:p>
      <w:pPr>
        <w:ind w:right="380" w:firstLine="486"/>
        <w:spacing w:after="0" w:line="274" w:lineRule="auto"/>
        <w:rPr>
          <w:sz w:val="20"/>
          <w:szCs w:val="20"/>
          <w:color w:val="auto"/>
        </w:rPr>
      </w:pPr>
      <w:r>
        <w:rPr>
          <w:rFonts w:ascii="Times New Roman" w:cs="Times New Roman" w:eastAsia="Times New Roman" w:hAnsi="Times New Roman"/>
          <w:sz w:val="20"/>
          <w:szCs w:val="20"/>
          <w:color w:val="auto"/>
        </w:rPr>
        <w:t>The Company filed a change in tax status for ALX Oncology Limited in 2023. The reorganization resulted in an increase to capitalized R&amp;D and other deferred tax assets, as well as a corresponding increase in valuation allowance.</w:t>
      </w:r>
    </w:p>
    <w:p>
      <w:pPr>
        <w:spacing w:after="0" w:line="51" w:lineRule="exact"/>
        <w:rPr>
          <w:sz w:val="20"/>
          <w:szCs w:val="20"/>
          <w:color w:val="auto"/>
        </w:rPr>
      </w:pPr>
    </w:p>
    <w:p>
      <w:pPr>
        <w:ind w:right="420" w:firstLine="486"/>
        <w:spacing w:after="0" w:line="274" w:lineRule="auto"/>
        <w:rPr>
          <w:sz w:val="20"/>
          <w:szCs w:val="20"/>
          <w:color w:val="auto"/>
        </w:rPr>
      </w:pPr>
      <w:r>
        <w:rPr>
          <w:rFonts w:ascii="Times New Roman" w:cs="Times New Roman" w:eastAsia="Times New Roman" w:hAnsi="Times New Roman"/>
          <w:sz w:val="20"/>
          <w:szCs w:val="20"/>
          <w:color w:val="auto"/>
        </w:rPr>
        <w:t>State income taxes in California comprise the majority of the state income taxes, net of federal effect category for the years ended December 31, 2025, 2024 and 2023, respectively.</w:t>
      </w:r>
    </w:p>
    <w:p>
      <w:pPr>
        <w:spacing w:after="0" w:line="1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Significant components of the Company’s deferred tax assets as of December 31, 2025 and 2024 are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4"/>
          </w:tcPr>
          <w:p>
            <w:pPr>
              <w:jc w:val="right"/>
              <w:ind w:right="117"/>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3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20" w:type="dxa"/>
            <w:vAlign w:val="bottom"/>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7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Loss carryforwards</w:t>
            </w:r>
          </w:p>
        </w:tc>
        <w:tc>
          <w:tcPr>
            <w:tcW w:w="1220" w:type="dxa"/>
            <w:vAlign w:val="bottom"/>
            <w:gridSpan w:val="2"/>
          </w:tcPr>
          <w:p>
            <w:pPr>
              <w:jc w:val="right"/>
              <w:ind w:right="1029"/>
              <w:spacing w:after="0"/>
              <w:rPr>
                <w:sz w:val="20"/>
                <w:szCs w:val="20"/>
                <w:color w:val="auto"/>
              </w:rPr>
            </w:pPr>
            <w:r>
              <w:rPr>
                <w:rFonts w:ascii="Times New Roman" w:cs="Times New Roman" w:eastAsia="Times New Roman" w:hAnsi="Times New Roman"/>
                <w:sz w:val="20"/>
                <w:szCs w:val="2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71,139</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41,106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&amp; other credits</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23,455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Other</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options</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6,908</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liabilities</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Capitalized R&amp;D</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37,363</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48,392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Fixed assets</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20" w:type="dxa"/>
            <w:vAlign w:val="bottom"/>
          </w:tcPr>
          <w:p>
            <w:pPr>
              <w:spacing w:after="0"/>
              <w:rPr>
                <w:sz w:val="20"/>
                <w:szCs w:val="20"/>
                <w:color w:val="auto"/>
              </w:rPr>
            </w:pPr>
          </w:p>
        </w:tc>
        <w:tc>
          <w:tcPr>
            <w:tcW w:w="1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150,243</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130,831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Fixed assets</w:t>
            </w: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20" w:type="dxa"/>
            <w:vAlign w:val="bottom"/>
            <w:gridSpan w:val="3"/>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6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Lease ROU assets</w:t>
            </w:r>
          </w:p>
        </w:tc>
        <w:tc>
          <w:tcPr>
            <w:tcW w:w="2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(149,682)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(129,411)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assets</w:t>
            </w:r>
          </w:p>
        </w:tc>
        <w:tc>
          <w:tcPr>
            <w:tcW w:w="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29"/>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700"/>
          </w:cols>
          <w:pgMar w:left="760" w:top="978" w:right="78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2240" w:h="15840" w:orient="portrait"/>
          <w:cols w:equalWidth="0" w:num="1">
            <w:col w:w="10700"/>
          </w:cols>
          <w:pgMar w:left="760" w:top="978" w:right="780" w:bottom="246" w:gutter="0" w:footer="0" w:header="0"/>
          <w:type w:val="continuous"/>
        </w:sectPr>
      </w:pPr>
    </w:p>
    <w:bookmarkStart w:id="136" w:name="page137"/>
    <w:bookmarkEnd w:id="136"/>
    <w:p>
      <w:pPr>
        <w:ind w:right="140" w:firstLine="486"/>
        <w:spacing w:after="0" w:line="244" w:lineRule="auto"/>
        <w:rPr>
          <w:sz w:val="20"/>
          <w:szCs w:val="20"/>
          <w:color w:val="auto"/>
        </w:rPr>
      </w:pPr>
      <w:r>
        <w:rPr>
          <w:rFonts w:ascii="Times New Roman" w:cs="Times New Roman" w:eastAsia="Times New Roman" w:hAnsi="Times New Roman"/>
          <w:sz w:val="20"/>
          <w:szCs w:val="20"/>
          <w:color w:val="auto"/>
        </w:rPr>
        <w:t>ASC 740 requires that the tax benefit of net operating losses, temporary differences and credit carryforwards be recorded as an asset to the extent that the Company’s management assesses that realization is “more likely than not.” Realization of the future tax benefits is dependent on the Company’s ability to generate sufficient taxable income within the carryforward period. Because of the Company’s recent history of operating losses, the Company’s management believes that recognition of the deferred tax assets arising from the above-mentioned future tax benefits is currently not likely to be realized and, accordingly, has provided a valuation allowance. The valuation allowance increased by approximately $20.3 million and $33.1 million for the years ended December 31, 2025 and 2024, respectively.</w:t>
      </w:r>
    </w:p>
    <w:p>
      <w:pPr>
        <w:spacing w:after="0" w:line="8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20"/>
          <w:szCs w:val="20"/>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for the years ended December 31, 2025, 2024 and 2023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40" w:type="dxa"/>
            <w:vAlign w:val="bottom"/>
          </w:tcPr>
          <w:p>
            <w:pPr>
              <w:spacing w:after="0"/>
              <w:rPr>
                <w:sz w:val="21"/>
                <w:szCs w:val="21"/>
                <w:color w:val="auto"/>
              </w:rPr>
            </w:pPr>
          </w:p>
        </w:tc>
        <w:tc>
          <w:tcPr>
            <w:tcW w:w="3580" w:type="dxa"/>
            <w:vAlign w:val="bottom"/>
            <w:tcBorders>
              <w:bottom w:val="single" w:sz="8" w:color="auto"/>
            </w:tcBorders>
            <w:gridSpan w:val="4"/>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2025</w:t>
            </w:r>
          </w:p>
        </w:tc>
        <w:tc>
          <w:tcPr>
            <w:tcW w:w="740" w:type="dxa"/>
            <w:vAlign w:val="bottom"/>
          </w:tcPr>
          <w:p>
            <w:pPr>
              <w:spacing w:after="0"/>
              <w:rPr>
                <w:sz w:val="20"/>
                <w:szCs w:val="20"/>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2024</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340" w:type="dxa"/>
            <w:vAlign w:val="bottom"/>
            <w:vMerge w:val="continue"/>
          </w:tcPr>
          <w:p>
            <w:pPr>
              <w:spacing w:after="0"/>
              <w:rPr>
                <w:sz w:val="20"/>
                <w:szCs w:val="20"/>
                <w:color w:val="auto"/>
              </w:rPr>
            </w:pPr>
          </w:p>
        </w:tc>
        <w:tc>
          <w:tcPr>
            <w:tcW w:w="1260" w:type="dxa"/>
            <w:vAlign w:val="bottom"/>
            <w:tcBorders>
              <w:top w:val="single" w:sz="8" w:color="auto"/>
            </w:tcBorders>
          </w:tcPr>
          <w:p>
            <w:pPr>
              <w:jc w:val="right"/>
              <w:ind w:right="1061"/>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129,411</w:t>
            </w:r>
          </w:p>
        </w:tc>
        <w:tc>
          <w:tcPr>
            <w:tcW w:w="320" w:type="dxa"/>
            <w:vAlign w:val="bottom"/>
          </w:tcPr>
          <w:p>
            <w:pPr>
              <w:spacing w:after="0"/>
              <w:rPr>
                <w:sz w:val="20"/>
                <w:szCs w:val="20"/>
                <w:color w:val="auto"/>
              </w:rPr>
            </w:pPr>
          </w:p>
        </w:tc>
        <w:tc>
          <w:tcPr>
            <w:tcW w:w="1260" w:type="dxa"/>
            <w:vAlign w:val="bottom"/>
            <w:tcBorders>
              <w:top w:val="single" w:sz="8" w:color="auto"/>
            </w:tcBorders>
          </w:tcPr>
          <w:p>
            <w:pPr>
              <w:jc w:val="right"/>
              <w:ind w:right="1061"/>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Change related to continuing operations</w:t>
            </w: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20,271</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Change related to acquisitions</w:t>
            </w: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Change related to OCI</w:t>
            </w:r>
          </w:p>
        </w:tc>
        <w:tc>
          <w:tcPr>
            <w:tcW w:w="12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1260" w:type="dxa"/>
            <w:vAlign w:val="bottom"/>
            <w:tcBorders>
              <w:top w:val="single" w:sz="8" w:color="auto"/>
              <w:bottom w:val="single" w:sz="8" w:color="auto"/>
            </w:tcBorders>
          </w:tcPr>
          <w:p>
            <w:pPr>
              <w:jc w:val="right"/>
              <w:ind w:right="1061"/>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149,682</w:t>
            </w:r>
          </w:p>
        </w:tc>
        <w:tc>
          <w:tcPr>
            <w:tcW w:w="3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ind w:right="1061"/>
              <w:spacing w:after="0"/>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129,411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Net operating losses and tax credit carryforwards as of December 31, 2025 are as follows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operating losses, federal (post December 31, 2017)</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Expiration Years</w:t>
            </w:r>
          </w:p>
        </w:tc>
        <w:tc>
          <w:tcPr>
            <w:tcW w:w="0" w:type="dxa"/>
            <w:vAlign w:val="bottom"/>
          </w:tcPr>
          <w:p>
            <w:pPr>
              <w:spacing w:after="0"/>
              <w:rPr>
                <w:sz w:val="1"/>
                <w:szCs w:val="1"/>
                <w:color w:val="auto"/>
              </w:rPr>
            </w:pPr>
          </w:p>
        </w:tc>
      </w:tr>
      <w:tr>
        <w:trPr>
          <w:trHeight w:val="232"/>
        </w:trPr>
        <w:tc>
          <w:tcPr>
            <w:tcW w:w="6340" w:type="dxa"/>
            <w:vAlign w:val="bottom"/>
            <w:vMerge w:val="continue"/>
          </w:tcPr>
          <w:p>
            <w:pPr>
              <w:spacing w:after="0"/>
              <w:rPr>
                <w:sz w:val="20"/>
                <w:szCs w:val="20"/>
                <w:color w:val="auto"/>
              </w:rPr>
            </w:pPr>
          </w:p>
        </w:tc>
        <w:tc>
          <w:tcPr>
            <w:tcW w:w="1360" w:type="dxa"/>
            <w:vAlign w:val="bottom"/>
          </w:tcPr>
          <w:p>
            <w:pPr>
              <w:jc w:val="right"/>
              <w:ind w:right="1161"/>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305,441</w:t>
            </w:r>
          </w:p>
        </w:tc>
        <w:tc>
          <w:tcPr>
            <w:tcW w:w="32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Do Not Expire</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losses, state</w:t>
            </w:r>
          </w:p>
        </w:tc>
        <w:tc>
          <w:tcPr>
            <w:tcW w:w="1360" w:type="dxa"/>
            <w:vAlign w:val="bottom"/>
          </w:tcPr>
          <w:p>
            <w:pPr>
              <w:jc w:val="right"/>
              <w:ind w:right="1161"/>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68,993</w:t>
            </w:r>
          </w:p>
        </w:tc>
        <w:tc>
          <w:tcPr>
            <w:tcW w:w="2360" w:type="dxa"/>
            <w:vAlign w:val="bottom"/>
            <w:gridSpan w:val="2"/>
          </w:tcPr>
          <w:p>
            <w:pPr>
              <w:jc w:val="center"/>
              <w:ind w:left="201"/>
              <w:spacing w:after="0"/>
              <w:rPr>
                <w:sz w:val="20"/>
                <w:szCs w:val="20"/>
                <w:color w:val="auto"/>
              </w:rPr>
            </w:pPr>
            <w:r>
              <w:rPr>
                <w:rFonts w:ascii="Times New Roman" w:cs="Times New Roman" w:eastAsia="Times New Roman" w:hAnsi="Times New Roman"/>
                <w:sz w:val="20"/>
                <w:szCs w:val="20"/>
                <w:color w:val="auto"/>
                <w:w w:val="99"/>
              </w:rPr>
              <w:t>2038-2040</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Tax credits, federal</w:t>
            </w:r>
          </w:p>
        </w:tc>
        <w:tc>
          <w:tcPr>
            <w:tcW w:w="1360" w:type="dxa"/>
            <w:vAlign w:val="bottom"/>
          </w:tcPr>
          <w:p>
            <w:pPr>
              <w:jc w:val="right"/>
              <w:ind w:right="1161"/>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22,797</w:t>
            </w:r>
          </w:p>
        </w:tc>
        <w:tc>
          <w:tcPr>
            <w:tcW w:w="2360" w:type="dxa"/>
            <w:vAlign w:val="bottom"/>
            <w:gridSpan w:val="2"/>
          </w:tcPr>
          <w:p>
            <w:pPr>
              <w:jc w:val="center"/>
              <w:ind w:left="201"/>
              <w:spacing w:after="0"/>
              <w:rPr>
                <w:sz w:val="20"/>
                <w:szCs w:val="20"/>
                <w:color w:val="auto"/>
              </w:rPr>
            </w:pPr>
            <w:r>
              <w:rPr>
                <w:rFonts w:ascii="Times New Roman" w:cs="Times New Roman" w:eastAsia="Times New Roman" w:hAnsi="Times New Roman"/>
                <w:sz w:val="20"/>
                <w:szCs w:val="20"/>
                <w:color w:val="auto"/>
                <w:w w:val="99"/>
              </w:rPr>
              <w:t>2039-2045</w:t>
            </w:r>
          </w:p>
        </w:tc>
        <w:tc>
          <w:tcPr>
            <w:tcW w:w="0" w:type="dxa"/>
            <w:vAlign w:val="bottom"/>
          </w:tcPr>
          <w:p>
            <w:pPr>
              <w:spacing w:after="0"/>
              <w:rPr>
                <w:sz w:val="1"/>
                <w:szCs w:val="1"/>
                <w:color w:val="auto"/>
              </w:rPr>
            </w:pPr>
          </w:p>
        </w:tc>
      </w:tr>
      <w:tr>
        <w:trPr>
          <w:trHeight w:val="242"/>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Tax credits, state</w:t>
            </w:r>
          </w:p>
        </w:tc>
        <w:tc>
          <w:tcPr>
            <w:tcW w:w="1360" w:type="dxa"/>
            <w:vAlign w:val="bottom"/>
          </w:tcPr>
          <w:p>
            <w:pPr>
              <w:jc w:val="right"/>
              <w:ind w:right="1161"/>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9,000</w:t>
            </w:r>
          </w:p>
        </w:tc>
        <w:tc>
          <w:tcPr>
            <w:tcW w:w="32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auto"/>
              </w:rPr>
              <w:t>Net operating losses, foreign</w:t>
            </w:r>
          </w:p>
        </w:tc>
        <w:tc>
          <w:tcPr>
            <w:tcW w:w="1360" w:type="dxa"/>
            <w:vAlign w:val="bottom"/>
          </w:tcPr>
          <w:p>
            <w:pPr>
              <w:jc w:val="right"/>
              <w:ind w:right="1161"/>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5,884</w:t>
            </w:r>
          </w:p>
        </w:tc>
        <w:tc>
          <w:tcPr>
            <w:tcW w:w="320" w:type="dxa"/>
            <w:vAlign w:val="bottom"/>
          </w:tcPr>
          <w:p>
            <w:pPr>
              <w:spacing w:after="0"/>
              <w:rPr>
                <w:sz w:val="23"/>
                <w:szCs w:val="23"/>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80" w:firstLine="487"/>
        <w:spacing w:after="0" w:line="267" w:lineRule="auto"/>
        <w:rPr>
          <w:sz w:val="20"/>
          <w:szCs w:val="20"/>
          <w:color w:val="auto"/>
        </w:rPr>
      </w:pPr>
      <w:r>
        <w:rPr>
          <w:rFonts w:ascii="Times New Roman" w:cs="Times New Roman" w:eastAsia="Times New Roman" w:hAnsi="Times New Roman"/>
          <w:sz w:val="19"/>
          <w:szCs w:val="19"/>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Unrecognized Tax Benefits</w:t>
      </w:r>
    </w:p>
    <w:p>
      <w:pPr>
        <w:spacing w:after="0" w:line="118" w:lineRule="exact"/>
        <w:rPr>
          <w:sz w:val="20"/>
          <w:szCs w:val="20"/>
          <w:color w:val="auto"/>
        </w:rPr>
      </w:pPr>
    </w:p>
    <w:p>
      <w:pPr>
        <w:ind w:right="40" w:firstLine="486"/>
        <w:spacing w:after="0" w:line="247" w:lineRule="auto"/>
        <w:rPr>
          <w:sz w:val="20"/>
          <w:szCs w:val="20"/>
          <w:color w:val="auto"/>
        </w:rPr>
      </w:pPr>
      <w:r>
        <w:rPr>
          <w:rFonts w:ascii="Times New Roman" w:cs="Times New Roman" w:eastAsia="Times New Roman" w:hAnsi="Times New Roman"/>
          <w:sz w:val="20"/>
          <w:szCs w:val="20"/>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The Company recognizes interest and penalties related to unrecognized tax benefits in income tax expense. The Company files income tax returns in the U.S. federal and California jurisdiction, which is not currently under exam, and all years since inception are opened to examination.</w:t>
      </w:r>
    </w:p>
    <w:p>
      <w:pPr>
        <w:spacing w:after="0" w:line="78"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20"/>
          <w:szCs w:val="20"/>
          <w:color w:val="auto"/>
        </w:rPr>
        <w:t>The unrecognized tax benefits as of December 31, 2025, 2024 and 2023 were $4.7 million, $4.1 million and $3.1 million, respectively. Future changes in the unrecognized tax benefits will not impact the effective tax rate due to the Company’s full valuation allowance.</w:t>
      </w:r>
    </w:p>
    <w:p>
      <w:pPr>
        <w:spacing w:after="0" w:line="6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Company has the following activity relating to unrecognized tax benefits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80" w:type="dxa"/>
            <w:vAlign w:val="bottom"/>
            <w:gridSpan w:val="6"/>
          </w:tcPr>
          <w:p>
            <w:pPr>
              <w:jc w:val="right"/>
              <w:ind w:right="261"/>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2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Beginning balance</w:t>
            </w:r>
          </w:p>
        </w:tc>
        <w:tc>
          <w:tcPr>
            <w:tcW w:w="1100" w:type="dxa"/>
            <w:vAlign w:val="bottom"/>
            <w:gridSpan w:val="2"/>
          </w:tcPr>
          <w:p>
            <w:pPr>
              <w:jc w:val="right"/>
              <w:ind w:right="17"/>
              <w:spacing w:after="0"/>
              <w:rPr>
                <w:sz w:val="20"/>
                <w:szCs w:val="20"/>
                <w:color w:val="auto"/>
              </w:rPr>
            </w:pPr>
            <w:r>
              <w:rPr>
                <w:rFonts w:ascii="Times New Roman" w:cs="Times New Roman" w:eastAsia="Times New Roman" w:hAnsi="Times New Roman"/>
                <w:sz w:val="20"/>
                <w:szCs w:val="20"/>
                <w:b w:val="1"/>
                <w:bCs w:val="1"/>
                <w:color w:val="auto"/>
              </w:rPr>
              <w:t>2025</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2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4,110</w:t>
            </w:r>
          </w:p>
        </w:tc>
        <w:tc>
          <w:tcPr>
            <w:tcW w:w="280" w:type="dxa"/>
            <w:vAlign w:val="bottom"/>
          </w:tcPr>
          <w:p>
            <w:pPr>
              <w:spacing w:after="0"/>
              <w:rPr>
                <w:sz w:val="20"/>
                <w:szCs w:val="20"/>
                <w:color w:val="auto"/>
              </w:rPr>
            </w:pPr>
          </w:p>
        </w:tc>
        <w:tc>
          <w:tcPr>
            <w:tcW w:w="3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3,120</w:t>
            </w:r>
          </w:p>
        </w:tc>
        <w:tc>
          <w:tcPr>
            <w:tcW w:w="280" w:type="dxa"/>
            <w:vAlign w:val="bottom"/>
          </w:tcPr>
          <w:p>
            <w:pPr>
              <w:spacing w:after="0"/>
              <w:rPr>
                <w:sz w:val="20"/>
                <w:szCs w:val="20"/>
                <w:color w:val="auto"/>
              </w:rPr>
            </w:pPr>
          </w:p>
        </w:tc>
        <w:tc>
          <w:tcPr>
            <w:tcW w:w="36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Additions/reversals based on tax positions of prior years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Increases related to current year tax positions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Settlements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Pr>
          <w:p>
            <w:pPr>
              <w:spacing w:after="0"/>
              <w:rPr>
                <w:sz w:val="21"/>
                <w:szCs w:val="21"/>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Lapses in statutes of limitations</w:t>
            </w:r>
          </w:p>
        </w:tc>
        <w:tc>
          <w:tcPr>
            <w:tcW w:w="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(107)</w:t>
            </w:r>
          </w:p>
        </w:tc>
        <w:tc>
          <w:tcPr>
            <w:tcW w:w="36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0" w:type="dxa"/>
            <w:vAlign w:val="bottom"/>
          </w:tcPr>
          <w:p>
            <w:pPr>
              <w:spacing w:after="0"/>
              <w:rPr>
                <w:sz w:val="1"/>
                <w:szCs w:val="1"/>
                <w:color w:val="auto"/>
              </w:rPr>
            </w:pPr>
          </w:p>
        </w:tc>
      </w:tr>
      <w:tr>
        <w:trPr>
          <w:trHeight w:val="237"/>
        </w:trPr>
        <w:tc>
          <w:tcPr>
            <w:tcW w:w="5200" w:type="dxa"/>
            <w:vAlign w:val="bottom"/>
          </w:tcPr>
          <w:p>
            <w:pPr>
              <w:spacing w:after="0"/>
              <w:rPr>
                <w:sz w:val="20"/>
                <w:szCs w:val="20"/>
                <w:color w:val="auto"/>
              </w:rPr>
            </w:pPr>
            <w:r>
              <w:rPr>
                <w:rFonts w:ascii="Times New Roman" w:cs="Times New Roman" w:eastAsia="Times New Roman" w:hAnsi="Times New Roman"/>
                <w:sz w:val="20"/>
                <w:szCs w:val="20"/>
                <w:color w:val="auto"/>
              </w:rPr>
              <w:t>Ending balance</w:t>
            </w:r>
          </w:p>
        </w:tc>
        <w:tc>
          <w:tcPr>
            <w:tcW w:w="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4,730</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4,110</w:t>
            </w:r>
          </w:p>
        </w:tc>
        <w:tc>
          <w:tcPr>
            <w:tcW w:w="2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-1147445</wp:posOffset>
            </wp:positionV>
            <wp:extent cx="349059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extLst>
                    </a:blip>
                    <a:srcRect/>
                    <a:stretch>
                      <a:fillRect/>
                    </a:stretch>
                  </pic:blipFill>
                  <pic:spPr bwMode="auto">
                    <a:xfrm>
                      <a:off x="0" y="0"/>
                      <a:ext cx="3490595" cy="38100"/>
                    </a:xfrm>
                    <a:prstGeom prst="rect">
                      <a:avLst/>
                    </a:prstGeom>
                    <a:noFill/>
                  </pic:spPr>
                </pic:pic>
              </a:graphicData>
            </a:graphic>
          </wp:anchor>
        </w:drawing>
      </w:r>
    </w:p>
    <w:p>
      <w:pPr>
        <w:spacing w:after="0" w:line="199" w:lineRule="exact"/>
        <w:rPr>
          <w:sz w:val="20"/>
          <w:szCs w:val="20"/>
          <w:color w:val="auto"/>
        </w:rPr>
      </w:pPr>
    </w:p>
    <w:p>
      <w:pPr>
        <w:ind w:right="200" w:firstLine="486"/>
        <w:spacing w:after="0" w:line="274" w:lineRule="auto"/>
        <w:rPr>
          <w:sz w:val="20"/>
          <w:szCs w:val="20"/>
          <w:color w:val="auto"/>
        </w:rPr>
      </w:pPr>
      <w:r>
        <w:rPr>
          <w:rFonts w:ascii="Times New Roman" w:cs="Times New Roman" w:eastAsia="Times New Roman" w:hAnsi="Times New Roman"/>
          <w:sz w:val="20"/>
          <w:szCs w:val="20"/>
          <w:color w:val="auto"/>
        </w:rPr>
        <w:t>During the years ended December 31, 2025, 2024 and 2023, no significant interest or penalties were required to be recognized relating to unrecognized tax benefits.</w:t>
      </w:r>
    </w:p>
    <w:p>
      <w:pPr>
        <w:sectPr>
          <w:pgSz w:w="12240" w:h="15840" w:orient="portrait"/>
          <w:cols w:equalWidth="0" w:num="1">
            <w:col w:w="10720"/>
          </w:cols>
          <w:pgMar w:left="760" w:top="978" w:right="760" w:bottom="246"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2240" w:h="15840" w:orient="portrait"/>
          <w:cols w:equalWidth="0" w:num="1">
            <w:col w:w="10720"/>
          </w:cols>
          <w:pgMar w:left="760" w:top="978" w:right="760" w:bottom="246" w:gutter="0" w:footer="0" w:header="0"/>
          <w:type w:val="continuous"/>
        </w:sectPr>
      </w:pPr>
    </w:p>
    <w:bookmarkStart w:id="137" w:name="page138"/>
    <w:bookmarkEnd w:id="137"/>
    <w:p>
      <w:pPr>
        <w:ind w:left="3"/>
        <w:spacing w:after="0"/>
        <w:rPr>
          <w:sz w:val="20"/>
          <w:szCs w:val="20"/>
          <w:color w:val="auto"/>
        </w:rPr>
      </w:pPr>
      <w:r>
        <w:rPr>
          <w:rFonts w:ascii="Times New Roman" w:cs="Times New Roman" w:eastAsia="Times New Roman" w:hAnsi="Times New Roman"/>
          <w:sz w:val="20"/>
          <w:szCs w:val="20"/>
          <w:b w:val="1"/>
          <w:bCs w:val="1"/>
          <w:color w:val="auto"/>
        </w:rPr>
        <w:t>(12) NET LOSS PER SHARE ATTRIBUTABLE TO COMMON STOCKHOLDERS</w:t>
      </w:r>
    </w:p>
    <w:p>
      <w:pPr>
        <w:spacing w:after="0" w:line="122" w:lineRule="exact"/>
        <w:rPr>
          <w:sz w:val="20"/>
          <w:szCs w:val="20"/>
          <w:color w:val="auto"/>
        </w:rPr>
      </w:pPr>
    </w:p>
    <w:p>
      <w:pPr>
        <w:ind w:left="3" w:firstLine="487"/>
        <w:spacing w:after="0" w:line="274" w:lineRule="auto"/>
        <w:rPr>
          <w:sz w:val="20"/>
          <w:szCs w:val="20"/>
          <w:color w:val="auto"/>
        </w:rPr>
      </w:pPr>
      <w:r>
        <w:rPr>
          <w:rFonts w:ascii="Times New Roman" w:cs="Times New Roman" w:eastAsia="Times New Roman" w:hAnsi="Times New Roman"/>
          <w:sz w:val="20"/>
          <w:szCs w:val="20"/>
          <w:color w:val="auto"/>
        </w:rPr>
        <w:t>The following table sets forth the computation of the basic and diluted net loss per share attributable to common stockholders (in thousands, except share and per share data):</w:t>
      </w:r>
    </w:p>
    <w:p>
      <w:pPr>
        <w:spacing w:after="0" w:line="170" w:lineRule="exact"/>
        <w:rPr>
          <w:sz w:val="20"/>
          <w:szCs w:val="20"/>
          <w:color w:val="auto"/>
        </w:rPr>
      </w:pPr>
    </w:p>
    <w:tbl>
      <w:tblPr>
        <w:tblLayout w:type="fixed"/>
        <w:tblInd w:w="3" w:type="dxa"/>
        <w:tblCellMar>
          <w:top w:w="0" w:type="dxa"/>
          <w:left w:w="0" w:type="dxa"/>
          <w:bottom w:w="0" w:type="dxa"/>
          <w:right w:w="0" w:type="dxa"/>
        </w:tblCellMar>
      </w:tblPr>
      <w:tr>
        <w:trPr>
          <w:trHeight w:val="242"/>
        </w:trPr>
        <w:tc>
          <w:tcPr>
            <w:tcW w:w="60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2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0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Numerator:</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2025</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604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6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Net loss</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(101,695)</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(134,850)</w:t>
            </w:r>
          </w:p>
        </w:tc>
        <w:tc>
          <w:tcPr>
            <w:tcW w:w="38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(160,805)</w:t>
            </w:r>
          </w:p>
        </w:tc>
        <w:tc>
          <w:tcPr>
            <w:tcW w:w="0" w:type="dxa"/>
            <w:vAlign w:val="bottom"/>
          </w:tcPr>
          <w:p>
            <w:pPr>
              <w:spacing w:after="0"/>
              <w:rPr>
                <w:sz w:val="1"/>
                <w:szCs w:val="1"/>
                <w:color w:val="auto"/>
              </w:rPr>
            </w:pPr>
          </w:p>
        </w:tc>
      </w:tr>
      <w:tr>
        <w:trPr>
          <w:trHeight w:val="242"/>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6040" w:type="dxa"/>
            <w:vAlign w:val="bottom"/>
          </w:tcPr>
          <w:p>
            <w:pPr>
              <w:ind w:left="200"/>
              <w:spacing w:after="0" w:line="229" w:lineRule="exact"/>
              <w:rPr>
                <w:sz w:val="20"/>
                <w:szCs w:val="20"/>
                <w:color w:val="auto"/>
              </w:rPr>
            </w:pPr>
            <w:r>
              <w:rPr>
                <w:rFonts w:ascii="Times New Roman" w:cs="Times New Roman" w:eastAsia="Times New Roman" w:hAnsi="Times New Roman"/>
                <w:sz w:val="20"/>
                <w:szCs w:val="20"/>
                <w:color w:val="auto"/>
              </w:rPr>
              <w:t>Weighted-average shares of common stock outstanding, basic and</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diluted</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53,658,399</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52,174,904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42,987,767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4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(1.90)</w:t>
            </w:r>
          </w:p>
        </w:tc>
        <w:tc>
          <w:tcPr>
            <w:tcW w:w="2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3813175</wp:posOffset>
            </wp:positionH>
            <wp:positionV relativeFrom="paragraph">
              <wp:posOffset>-1138555</wp:posOffset>
            </wp:positionV>
            <wp:extent cx="296291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extLst>
                    </a:blip>
                    <a:srcRect/>
                    <a:stretch>
                      <a:fillRect/>
                    </a:stretch>
                  </pic:blipFill>
                  <pic:spPr bwMode="auto">
                    <a:xfrm>
                      <a:off x="0" y="0"/>
                      <a:ext cx="2962910" cy="38100"/>
                    </a:xfrm>
                    <a:prstGeom prst="rect">
                      <a:avLst/>
                    </a:prstGeom>
                    <a:noFill/>
                  </pic:spPr>
                </pic:pic>
              </a:graphicData>
            </a:graphic>
          </wp:anchor>
        </w:drawing>
      </w:r>
    </w:p>
    <w:p>
      <w:pPr>
        <w:spacing w:after="0" w:line="229" w:lineRule="exact"/>
        <w:rPr>
          <w:sz w:val="20"/>
          <w:szCs w:val="20"/>
          <w:color w:val="auto"/>
        </w:rPr>
      </w:pPr>
    </w:p>
    <w:p>
      <w:pPr>
        <w:ind w:left="3" w:right="320" w:firstLine="486"/>
        <w:spacing w:after="0" w:line="274" w:lineRule="auto"/>
        <w:rPr>
          <w:sz w:val="20"/>
          <w:szCs w:val="20"/>
          <w:color w:val="auto"/>
        </w:rPr>
      </w:pPr>
      <w:r>
        <w:rPr>
          <w:rFonts w:ascii="Times New Roman" w:cs="Times New Roman" w:eastAsia="Times New Roman" w:hAnsi="Times New Roman"/>
          <w:sz w:val="20"/>
          <w:szCs w:val="20"/>
          <w:color w:val="auto"/>
        </w:rPr>
        <w:t>Since the Company was in a loss position for all periods presented, basic net loss per share is the same as diluted net loss per share for all periods presented as the inclusion of all potential common stock outstanding would have been anti-dilutive.</w:t>
      </w:r>
    </w:p>
    <w:p>
      <w:pPr>
        <w:spacing w:after="0" w:line="51" w:lineRule="exact"/>
        <w:rPr>
          <w:sz w:val="20"/>
          <w:szCs w:val="20"/>
          <w:color w:val="auto"/>
        </w:rPr>
      </w:pPr>
    </w:p>
    <w:p>
      <w:pPr>
        <w:ind w:left="3" w:right="280" w:firstLine="486"/>
        <w:spacing w:after="0" w:line="274" w:lineRule="auto"/>
        <w:rPr>
          <w:sz w:val="20"/>
          <w:szCs w:val="20"/>
          <w:color w:val="auto"/>
        </w:rPr>
      </w:pPr>
      <w:r>
        <w:rPr>
          <w:rFonts w:ascii="Times New Roman" w:cs="Times New Roman" w:eastAsia="Times New Roman" w:hAnsi="Times New Roman"/>
          <w:sz w:val="20"/>
          <w:szCs w:val="20"/>
          <w:color w:val="auto"/>
        </w:rPr>
        <w:t>The following outstanding potentially dilutive securities were excluded from the computation of diluted net loss per share for the years ended December 31, 2025, 2024 and 2023, because including them would have been anti-dilutive:</w:t>
      </w:r>
    </w:p>
    <w:p>
      <w:pPr>
        <w:spacing w:after="0" w:line="147" w:lineRule="exact"/>
        <w:rPr>
          <w:sz w:val="20"/>
          <w:szCs w:val="20"/>
          <w:color w:val="auto"/>
        </w:rPr>
      </w:pPr>
    </w:p>
    <w:tbl>
      <w:tblPr>
        <w:tblLayout w:type="fixed"/>
        <w:tblInd w:w="3" w:type="dxa"/>
        <w:tblCellMar>
          <w:top w:w="0" w:type="dxa"/>
          <w:left w:w="0" w:type="dxa"/>
          <w:bottom w:w="0" w:type="dxa"/>
          <w:right w:w="0" w:type="dxa"/>
        </w:tblCellMar>
      </w:tblPr>
      <w:tr>
        <w:trPr>
          <w:trHeight w:val="242"/>
        </w:trPr>
        <w:tc>
          <w:tcPr>
            <w:tcW w:w="59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Year Ended</w:t>
            </w: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2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Stock options issued and outstanding</w:t>
            </w:r>
          </w:p>
        </w:tc>
        <w:tc>
          <w:tcPr>
            <w:tcW w:w="1400" w:type="dxa"/>
            <w:vAlign w:val="bottom"/>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2025</w:t>
            </w:r>
          </w:p>
        </w:tc>
        <w:tc>
          <w:tcPr>
            <w:tcW w:w="1640" w:type="dxa"/>
            <w:vAlign w:val="bottom"/>
            <w:gridSpan w:val="2"/>
          </w:tcPr>
          <w:p>
            <w:pPr>
              <w:jc w:val="center"/>
              <w:ind w:left="141"/>
              <w:spacing w:after="0"/>
              <w:rPr>
                <w:sz w:val="20"/>
                <w:szCs w:val="20"/>
                <w:color w:val="auto"/>
              </w:rPr>
            </w:pPr>
            <w:r>
              <w:rPr>
                <w:rFonts w:ascii="Times New Roman" w:cs="Times New Roman" w:eastAsia="Times New Roman" w:hAnsi="Times New Roman"/>
                <w:sz w:val="20"/>
                <w:szCs w:val="20"/>
                <w:b w:val="1"/>
                <w:bCs w:val="1"/>
                <w:color w:val="auto"/>
                <w:w w:val="99"/>
              </w:rPr>
              <w:t>2024</w:t>
            </w:r>
          </w:p>
        </w:tc>
        <w:tc>
          <w:tcPr>
            <w:tcW w:w="166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32"/>
        </w:trPr>
        <w:tc>
          <w:tcPr>
            <w:tcW w:w="5960" w:type="dxa"/>
            <w:vAlign w:val="bottom"/>
            <w:vMerge w:val="continue"/>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12,878,187</w:t>
            </w:r>
          </w:p>
        </w:tc>
        <w:tc>
          <w:tcPr>
            <w:tcW w:w="24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10,528,751</w:t>
            </w:r>
          </w:p>
        </w:tc>
        <w:tc>
          <w:tcPr>
            <w:tcW w:w="26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8,984,671</w:t>
            </w:r>
          </w:p>
        </w:tc>
        <w:tc>
          <w:tcPr>
            <w:tcW w:w="0" w:type="dxa"/>
            <w:vAlign w:val="bottom"/>
          </w:tcPr>
          <w:p>
            <w:pPr>
              <w:spacing w:after="0"/>
              <w:rPr>
                <w:sz w:val="1"/>
                <w:szCs w:val="1"/>
                <w:color w:val="auto"/>
              </w:rPr>
            </w:pPr>
          </w:p>
        </w:tc>
      </w:tr>
      <w:tr>
        <w:trPr>
          <w:trHeight w:val="242"/>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RSUs issued and outstanding</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240,433</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898,755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949,669</w:t>
            </w:r>
          </w:p>
        </w:tc>
        <w:tc>
          <w:tcPr>
            <w:tcW w:w="0" w:type="dxa"/>
            <w:vAlign w:val="bottom"/>
          </w:tcPr>
          <w:p>
            <w:pPr>
              <w:spacing w:after="0"/>
              <w:rPr>
                <w:sz w:val="1"/>
                <w:szCs w:val="1"/>
                <w:color w:val="auto"/>
              </w:rPr>
            </w:pPr>
          </w:p>
        </w:tc>
      </w:tr>
      <w:tr>
        <w:trPr>
          <w:trHeight w:val="248"/>
        </w:trPr>
        <w:tc>
          <w:tcPr>
            <w:tcW w:w="5960" w:type="dxa"/>
            <w:vAlign w:val="bottom"/>
          </w:tcPr>
          <w:p>
            <w:pPr>
              <w:spacing w:after="0"/>
              <w:rPr>
                <w:sz w:val="20"/>
                <w:szCs w:val="20"/>
                <w:color w:val="auto"/>
              </w:rPr>
            </w:pPr>
            <w:r>
              <w:rPr>
                <w:rFonts w:ascii="Times New Roman" w:cs="Times New Roman" w:eastAsia="Times New Roman" w:hAnsi="Times New Roman"/>
                <w:sz w:val="20"/>
                <w:szCs w:val="20"/>
                <w:color w:val="auto"/>
              </w:rPr>
              <w:t>PSUs issued and outstanding</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57,750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357,500</w:t>
            </w:r>
          </w:p>
        </w:tc>
        <w:tc>
          <w:tcPr>
            <w:tcW w:w="2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13,176,370</w:t>
            </w:r>
          </w:p>
        </w:tc>
        <w:tc>
          <w:tcPr>
            <w:tcW w:w="24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11,785,006</w:t>
            </w:r>
          </w:p>
        </w:tc>
        <w:tc>
          <w:tcPr>
            <w:tcW w:w="260" w:type="dxa"/>
            <w:vAlign w:val="bottom"/>
          </w:tcPr>
          <w:p>
            <w:pPr>
              <w:spacing w:after="0"/>
              <w:rPr>
                <w:sz w:val="20"/>
                <w:szCs w:val="20"/>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9,934,340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3763645</wp:posOffset>
            </wp:positionH>
            <wp:positionV relativeFrom="paragraph">
              <wp:posOffset>-839470</wp:posOffset>
            </wp:positionV>
            <wp:extent cx="302577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extLst>
                    </a:blip>
                    <a:srcRect/>
                    <a:stretch>
                      <a:fillRect/>
                    </a:stretch>
                  </pic:blipFill>
                  <pic:spPr bwMode="auto">
                    <a:xfrm>
                      <a:off x="0" y="0"/>
                      <a:ext cx="3025775" cy="3810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83" w:right="6540" w:hanging="483"/>
        <w:spacing w:after="0" w:line="384" w:lineRule="auto"/>
        <w:tabs>
          <w:tab w:leader="none" w:pos="377"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Guarantees and Indemnifications</w:t>
      </w:r>
    </w:p>
    <w:p>
      <w:pPr>
        <w:ind w:left="3" w:right="20" w:firstLine="486"/>
        <w:spacing w:after="0" w:line="242" w:lineRule="auto"/>
        <w:rPr>
          <w:sz w:val="20"/>
          <w:szCs w:val="20"/>
          <w:color w:val="auto"/>
        </w:rPr>
      </w:pPr>
      <w:r>
        <w:rPr>
          <w:rFonts w:ascii="Times New Roman" w:cs="Times New Roman" w:eastAsia="Times New Roman" w:hAnsi="Times New Roman"/>
          <w:sz w:val="20"/>
          <w:szCs w:val="20"/>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2025.</w:t>
      </w:r>
    </w:p>
    <w:p>
      <w:pPr>
        <w:spacing w:after="0" w:line="207"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b w:val="1"/>
          <w:bCs w:val="1"/>
          <w:i w:val="1"/>
          <w:iCs w:val="1"/>
          <w:color w:val="auto"/>
        </w:rPr>
        <w:t>Contingencies</w:t>
      </w:r>
    </w:p>
    <w:p>
      <w:pPr>
        <w:spacing w:after="0" w:line="118" w:lineRule="exact"/>
        <w:rPr>
          <w:sz w:val="20"/>
          <w:szCs w:val="20"/>
          <w:color w:val="auto"/>
        </w:rPr>
      </w:pPr>
    </w:p>
    <w:p>
      <w:pPr>
        <w:ind w:left="3" w:right="100" w:firstLine="486"/>
        <w:spacing w:after="0" w:line="247" w:lineRule="auto"/>
        <w:rPr>
          <w:sz w:val="20"/>
          <w:szCs w:val="20"/>
          <w:color w:val="auto"/>
        </w:rPr>
      </w:pPr>
      <w:r>
        <w:rPr>
          <w:rFonts w:ascii="Times New Roman" w:cs="Times New Roman" w:eastAsia="Times New Roman" w:hAnsi="Times New Roman"/>
          <w:sz w:val="20"/>
          <w:szCs w:val="20"/>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2025, 2024 and 2023, the Company had no pending or threatened litigation.</w:t>
      </w:r>
    </w:p>
    <w:p>
      <w:pPr>
        <w:sectPr>
          <w:pgSz w:w="12240" w:h="15840" w:orient="portrait"/>
          <w:cols w:equalWidth="0" w:num="1">
            <w:col w:w="10723"/>
          </w:cols>
          <w:pgMar w:left="757" w:top="974"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128</w:t>
      </w:r>
    </w:p>
    <w:p>
      <w:pPr>
        <w:sectPr>
          <w:pgSz w:w="12240" w:h="15840" w:orient="portrait"/>
          <w:cols w:equalWidth="0" w:num="1">
            <w:col w:w="10723"/>
          </w:cols>
          <w:pgMar w:left="757" w:top="974" w:right="760" w:bottom="246" w:gutter="0" w:footer="0" w:header="0"/>
          <w:type w:val="continuous"/>
        </w:sectPr>
      </w:pPr>
    </w:p>
    <w:bookmarkStart w:id="138" w:name="page139"/>
    <w:bookmarkEnd w:id="138"/>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License Agreements</w:t>
      </w:r>
    </w:p>
    <w:p>
      <w:pPr>
        <w:spacing w:after="0" w:line="118"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20"/>
          <w:szCs w:val="20"/>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Company paid Stanford a nonrefundable license royalty and reimbursed Stanford for past patent expenses, together totaling less than $0.1 million, and granted Stanford a specified number of shares of common stock of the Company. The Company is required to make milestone payments up to an aggregate of $5.0 million in respect of a specified number of licensed products that successfully satisfy certain clinical and regulatory milestones. The Company recorded the first milestone payment of $ 0.2 million during the year ended December 31, 2021. There were no milestone payments recorded for the years ended December 31, 2025, 2024 and 2023.</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In June 2016, the Company entered into a license agreement with Selexis SA, or Selexis, under which the Company obtained a</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worldwide, royalty-bearing, sublicensable license under certain patents, know-how and other intellectual property, to use Selexis</w:t>
      </w:r>
    </w:p>
    <w:p>
      <w:pPr>
        <w:spacing w:after="0" w:line="238" w:lineRule="auto"/>
        <w:rPr>
          <w:sz w:val="20"/>
          <w:szCs w:val="20"/>
          <w:color w:val="auto"/>
        </w:rPr>
      </w:pPr>
      <w:r>
        <w:rPr>
          <w:rFonts w:ascii="Times New Roman" w:cs="Times New Roman" w:eastAsia="Times New Roman" w:hAnsi="Times New Roman"/>
          <w:sz w:val="20"/>
          <w:szCs w:val="20"/>
          <w:color w:val="auto"/>
        </w:rPr>
        <w:t>generated cell lines to manufacture evorpacept, and to make, use and sell licensed product containing such compound in all fields of</w:t>
      </w:r>
    </w:p>
    <w:p>
      <w:pPr>
        <w:spacing w:after="0" w:line="238" w:lineRule="auto"/>
        <w:rPr>
          <w:sz w:val="20"/>
          <w:szCs w:val="20"/>
          <w:color w:val="auto"/>
        </w:rPr>
      </w:pPr>
      <w:r>
        <w:rPr>
          <w:rFonts w:ascii="Times New Roman" w:cs="Times New Roman" w:eastAsia="Times New Roman" w:hAnsi="Times New Roman"/>
          <w:sz w:val="20"/>
          <w:szCs w:val="20"/>
          <w:color w:val="auto"/>
        </w:rPr>
        <w:t>use. The Company paid Selexis a nominal one-time fee and will pay Selexis an annual maintenance fee. The Company also agreed to</w:t>
      </w:r>
    </w:p>
    <w:p>
      <w:pPr>
        <w:spacing w:after="0"/>
        <w:rPr>
          <w:sz w:val="20"/>
          <w:szCs w:val="20"/>
          <w:color w:val="auto"/>
        </w:rPr>
      </w:pPr>
      <w:r>
        <w:rPr>
          <w:rFonts w:ascii="Times New Roman" w:cs="Times New Roman" w:eastAsia="Times New Roman" w:hAnsi="Times New Roman"/>
          <w:sz w:val="20"/>
          <w:szCs w:val="20"/>
          <w:color w:val="auto"/>
        </w:rPr>
        <w:t>pay Selexis milestone payments up to an aggregate of 1.2 million Swiss Francs in respect of all licensed products developed and/or</w:t>
      </w:r>
    </w:p>
    <w:p>
      <w:pPr>
        <w:spacing w:after="0" w:line="238" w:lineRule="auto"/>
        <w:rPr>
          <w:sz w:val="20"/>
          <w:szCs w:val="20"/>
          <w:color w:val="auto"/>
        </w:rPr>
      </w:pPr>
      <w:r>
        <w:rPr>
          <w:rFonts w:ascii="Times New Roman" w:cs="Times New Roman" w:eastAsia="Times New Roman" w:hAnsi="Times New Roman"/>
          <w:sz w:val="20"/>
          <w:szCs w:val="20"/>
          <w:color w:val="auto"/>
        </w:rPr>
        <w:t>commercialized under the grant that successfully satisfies certain milestone events. The Company recorded a milestone payment of</w:t>
      </w:r>
    </w:p>
    <w:p>
      <w:pPr>
        <w:spacing w:after="0"/>
        <w:rPr>
          <w:sz w:val="20"/>
          <w:szCs w:val="20"/>
          <w:color w:val="auto"/>
        </w:rPr>
      </w:pPr>
      <w:r>
        <w:rPr>
          <w:rFonts w:ascii="Times New Roman" w:cs="Times New Roman" w:eastAsia="Times New Roman" w:hAnsi="Times New Roman"/>
          <w:sz w:val="19"/>
          <w:szCs w:val="19"/>
          <w:color w:val="auto"/>
        </w:rPr>
        <w:t>$0.1 million during the year ended December 31, 2021. There were no milestone payments recorded for the years ended December 31,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2024 and 2023.</w:t>
      </w:r>
    </w:p>
    <w:p>
      <w:pPr>
        <w:spacing w:after="0" w:line="90" w:lineRule="exact"/>
        <w:rPr>
          <w:sz w:val="20"/>
          <w:szCs w:val="20"/>
          <w:color w:val="auto"/>
        </w:rPr>
      </w:pPr>
    </w:p>
    <w:p>
      <w:pPr>
        <w:ind w:firstLine="487"/>
        <w:spacing w:after="0" w:line="243" w:lineRule="auto"/>
        <w:rPr>
          <w:sz w:val="20"/>
          <w:szCs w:val="20"/>
          <w:color w:val="auto"/>
        </w:rPr>
      </w:pPr>
      <w:r>
        <w:rPr>
          <w:rFonts w:ascii="Times New Roman" w:cs="Times New Roman" w:eastAsia="Times New Roman" w:hAnsi="Times New Roman"/>
          <w:sz w:val="20"/>
          <w:szCs w:val="20"/>
          <w:color w:val="auto"/>
        </w:rPr>
        <w:t>In March 2017, the Company entered into an agreement with Crystal Bioscience Inc. (now a subsidiary of OmniAb, Inc.), or Crystal, under which the Company obtained an assignment of certain patents, covering certain 6,53Į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 The Company agreed to pay Crystal milestone payments up to $11.1 million in respect of all licensed products developed under the assigned patents, that successfully satisfy certain clinical and regulatory milestones, each milestone being paid only once for all products. The Company recorded the first milestone payment of $0.3 million during the year ended December 31, 2022. There were no milestone payments recorded for the years ended December 31, 2025, 2024 and 2023.</w:t>
      </w:r>
    </w:p>
    <w:p>
      <w:pPr>
        <w:spacing w:after="0" w:line="84" w:lineRule="exact"/>
        <w:rPr>
          <w:sz w:val="20"/>
          <w:szCs w:val="20"/>
          <w:color w:val="auto"/>
        </w:rPr>
      </w:pPr>
    </w:p>
    <w:p>
      <w:pPr>
        <w:ind w:right="40" w:firstLine="487"/>
        <w:spacing w:after="0" w:line="244" w:lineRule="auto"/>
        <w:rPr>
          <w:sz w:val="20"/>
          <w:szCs w:val="20"/>
          <w:color w:val="auto"/>
        </w:rPr>
      </w:pPr>
      <w:r>
        <w:rPr>
          <w:rFonts w:ascii="Times New Roman" w:cs="Times New Roman" w:eastAsia="Times New Roman" w:hAnsi="Times New Roman"/>
          <w:sz w:val="20"/>
          <w:szCs w:val="20"/>
          <w:color w:val="auto"/>
        </w:rPr>
        <w:t>In October 2021, the Company entered into a stock purchase agreement with ScalmiBio, Inc. or ScalmiBio, with plans to develop new anti-cancer drug candidates based on ScalmiBio’s platform. Under the terms of the stock purchase agreement, the Company has agreed to pay up to $ 35.0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 The Company recorded the first milestone payment of $1.0 million during the year ended December 31, 2024 and the second milestone payment of $2.5 million during the year ended December 31, 2025.</w:t>
      </w:r>
    </w:p>
    <w:p>
      <w:pPr>
        <w:spacing w:after="0" w:line="82" w:lineRule="exact"/>
        <w:rPr>
          <w:sz w:val="20"/>
          <w:szCs w:val="20"/>
          <w:color w:val="auto"/>
        </w:rPr>
      </w:pPr>
    </w:p>
    <w:p>
      <w:pPr>
        <w:ind w:right="20" w:firstLine="487"/>
        <w:spacing w:after="0" w:line="244" w:lineRule="auto"/>
        <w:rPr>
          <w:sz w:val="20"/>
          <w:szCs w:val="20"/>
          <w:color w:val="auto"/>
        </w:rPr>
      </w:pPr>
      <w:r>
        <w:rPr>
          <w:rFonts w:ascii="Times New Roman" w:cs="Times New Roman" w:eastAsia="Times New Roman" w:hAnsi="Times New Roman"/>
          <w:sz w:val="20"/>
          <w:szCs w:val="20"/>
          <w:color w:val="auto"/>
        </w:rPr>
        <w:t>In January 2024, the Company entered into a license agreement with WuXi Biologics Ireland, Ltd., or WuXi, under which the Company obtained a worldwide, non-exclusive, non-transferrable, sublicensable license under certain patents, know-how, and other intellectual property, to use WuXi developed cell lines to manufacture, develop, use and sell licensed product containing such compound in all fields of use. The Company agreed to pay WuXi milestone payments up to an aggregate of $3.2 million in respect of all licensed products developed and/or commercialized under the assigned patents that successfully satisfies certain milestone events. The Company recorded the first milestone payment of $0.2 million during the year ended December 31, 2024. There was no milestone payments recorded for the year ended December 31, 2025.</w:t>
      </w:r>
    </w:p>
    <w:p>
      <w:pPr>
        <w:spacing w:after="0" w:line="20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b w:val="1"/>
          <w:bCs w:val="1"/>
          <w:i w:val="1"/>
          <w:iCs w:val="1"/>
          <w:color w:val="auto"/>
        </w:rPr>
        <w:t>Other Contractual Obligations and Other Commitments</w:t>
      </w:r>
    </w:p>
    <w:p>
      <w:pPr>
        <w:spacing w:after="0" w:line="118" w:lineRule="exact"/>
        <w:rPr>
          <w:sz w:val="20"/>
          <w:szCs w:val="20"/>
          <w:color w:val="auto"/>
        </w:rPr>
      </w:pPr>
    </w:p>
    <w:p>
      <w:pPr>
        <w:ind w:right="20" w:firstLine="487"/>
        <w:spacing w:after="0" w:line="274" w:lineRule="auto"/>
        <w:rPr>
          <w:sz w:val="20"/>
          <w:szCs w:val="20"/>
          <w:color w:val="auto"/>
        </w:rPr>
      </w:pPr>
      <w:r>
        <w:rPr>
          <w:rFonts w:ascii="Times New Roman" w:cs="Times New Roman" w:eastAsia="Times New Roman" w:hAnsi="Times New Roman"/>
          <w:sz w:val="20"/>
          <w:szCs w:val="20"/>
          <w:color w:val="auto"/>
        </w:rPr>
        <w:t>We have other contractual obligations and other commitments from manufacturing and service contracts, which are presented as follows as of December 31, 2025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7"/>
          </w:tcPr>
          <w:p>
            <w:pPr>
              <w:ind w:left="60"/>
              <w:spacing w:after="0"/>
              <w:rPr>
                <w:sz w:val="20"/>
                <w:szCs w:val="20"/>
                <w:color w:val="auto"/>
              </w:rPr>
            </w:pPr>
            <w:r>
              <w:rPr>
                <w:rFonts w:ascii="Times New Roman" w:cs="Times New Roman" w:eastAsia="Times New Roman" w:hAnsi="Times New Roman"/>
                <w:sz w:val="20"/>
                <w:szCs w:val="20"/>
                <w:b w:val="1"/>
                <w:bCs w:val="1"/>
                <w:color w:val="auto"/>
                <w:w w:val="98"/>
              </w:rPr>
              <w:t>December 31, 2025</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35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Manufacturing and service contracts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Total</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2026</w:t>
            </w:r>
          </w:p>
        </w:tc>
        <w:tc>
          <w:tcPr>
            <w:tcW w:w="2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2027-2028</w:t>
            </w:r>
          </w:p>
        </w:tc>
        <w:tc>
          <w:tcPr>
            <w:tcW w:w="2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2029-2030</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Thereafter</w:t>
            </w:r>
          </w:p>
        </w:tc>
        <w:tc>
          <w:tcPr>
            <w:tcW w:w="0" w:type="dxa"/>
            <w:vAlign w:val="bottom"/>
          </w:tcPr>
          <w:p>
            <w:pPr>
              <w:spacing w:after="0"/>
              <w:rPr>
                <w:sz w:val="1"/>
                <w:szCs w:val="1"/>
                <w:color w:val="auto"/>
              </w:rPr>
            </w:pPr>
          </w:p>
        </w:tc>
      </w:tr>
      <w:tr>
        <w:trPr>
          <w:trHeight w:val="223"/>
        </w:trPr>
        <w:tc>
          <w:tcPr>
            <w:tcW w:w="3520" w:type="dxa"/>
            <w:vAlign w:val="bottom"/>
            <w:gridSpan w:val="3"/>
            <w:vMerge w:val="continue"/>
          </w:tcPr>
          <w:p>
            <w:pPr>
              <w:spacing w:after="0"/>
              <w:rPr>
                <w:sz w:val="19"/>
                <w:szCs w:val="19"/>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1,247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860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line="224" w:lineRule="exact"/>
              <w:rPr>
                <w:sz w:val="20"/>
                <w:szCs w:val="20"/>
                <w:color w:val="auto"/>
              </w:rPr>
            </w:pPr>
            <w:r>
              <w:rPr>
                <w:rFonts w:ascii="Times New Roman" w:cs="Times New Roman" w:eastAsia="Times New Roman" w:hAnsi="Times New Roman"/>
                <w:sz w:val="20"/>
                <w:szCs w:val="20"/>
                <w:color w:val="auto"/>
              </w:rPr>
              <w:t>387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90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ind w:left="900"/>
              <w:spacing w:after="0" w:line="224" w:lineRule="exact"/>
              <w:rPr>
                <w:sz w:val="20"/>
                <w:szCs w:val="20"/>
                <w:color w:val="auto"/>
              </w:rPr>
            </w:pPr>
            <w:r>
              <w:rPr>
                <w:rFonts w:ascii="Times New Roman" w:cs="Times New Roman" w:eastAsia="Times New Roman" w:hAnsi="Times New Roman"/>
                <w:sz w:val="20"/>
                <w:szCs w:val="20"/>
                <w:color w:val="auto"/>
                <w:w w:val="99"/>
              </w:rPr>
              <w:t>—</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0"/>
              <w:spacing w:after="0" w:line="224" w:lineRule="exact"/>
              <w:rPr>
                <w:sz w:val="20"/>
                <w:szCs w:val="20"/>
                <w:color w:val="auto"/>
              </w:rPr>
            </w:pPr>
            <w:r>
              <w:rPr>
                <w:rFonts w:ascii="Times New Roman" w:cs="Times New Roman" w:eastAsia="Times New Roman" w:hAnsi="Times New Roman"/>
                <w:sz w:val="20"/>
                <w:szCs w:val="20"/>
                <w:color w:val="auto"/>
              </w:rPr>
              <w:t>Total</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1,247</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gridSpan w:val="2"/>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860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line="224" w:lineRule="exact"/>
              <w:rPr>
                <w:sz w:val="20"/>
                <w:szCs w:val="20"/>
                <w:color w:val="auto"/>
              </w:rPr>
            </w:pPr>
            <w:r>
              <w:rPr>
                <w:rFonts w:ascii="Times New Roman" w:cs="Times New Roman" w:eastAsia="Times New Roman" w:hAnsi="Times New Roman"/>
                <w:sz w:val="20"/>
                <w:szCs w:val="20"/>
                <w:color w:val="auto"/>
              </w:rPr>
              <w:t>387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ind w:left="900"/>
              <w:spacing w:after="0" w:line="224"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ind w:left="900"/>
              <w:spacing w:after="0" w:line="224"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-505460</wp:posOffset>
            </wp:positionV>
            <wp:extent cx="459359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extLst>
                    </a:blip>
                    <a:srcRect/>
                    <a:stretch>
                      <a:fillRect/>
                    </a:stretch>
                  </pic:blipFill>
                  <pic:spPr bwMode="auto">
                    <a:xfrm>
                      <a:off x="0" y="0"/>
                      <a:ext cx="4593590" cy="38100"/>
                    </a:xfrm>
                    <a:prstGeom prst="rect">
                      <a:avLst/>
                    </a:prstGeom>
                    <a:noFill/>
                  </pic:spPr>
                </pic:pic>
              </a:graphicData>
            </a:graphic>
          </wp:anchor>
        </w:drawing>
      </w: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2240" w:h="15840" w:orient="portrait"/>
          <w:cols w:equalWidth="0" w:num="1">
            <w:col w:w="10720"/>
          </w:cols>
          <w:pgMar w:left="760" w:top="978" w:right="760" w:bottom="246" w:gutter="0" w:footer="0" w:header="0"/>
          <w:type w:val="continuous"/>
        </w:sectPr>
      </w:pPr>
    </w:p>
    <w:bookmarkStart w:id="139" w:name="page140"/>
    <w:bookmarkEnd w:id="139"/>
    <w:p>
      <w:pPr>
        <w:ind w:left="3" w:firstLine="486"/>
        <w:spacing w:after="0" w:line="243" w:lineRule="auto"/>
        <w:rPr>
          <w:sz w:val="20"/>
          <w:szCs w:val="20"/>
          <w:color w:val="auto"/>
        </w:rPr>
      </w:pPr>
      <w:r>
        <w:rPr>
          <w:rFonts w:ascii="Times New Roman" w:cs="Times New Roman" w:eastAsia="Times New Roman" w:hAnsi="Times New Roman"/>
          <w:sz w:val="20"/>
          <w:szCs w:val="20"/>
          <w:color w:val="auto"/>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$0.3 million. In addition, the Company has commitments with two other pharmaceutical contract manufacturers, including certain future purchase obligations of approximately $ 0.8 million. These amounts are based on non-cancellable commitments and forecasts that include estimates of future market demand, quantity discounts and manufacturing efficiencies that may impact timing of purchase.</w:t>
      </w:r>
    </w:p>
    <w:p>
      <w:pPr>
        <w:spacing w:after="0" w:line="84" w:lineRule="exact"/>
        <w:rPr>
          <w:sz w:val="20"/>
          <w:szCs w:val="20"/>
          <w:color w:val="auto"/>
        </w:rPr>
      </w:pPr>
    </w:p>
    <w:p>
      <w:pPr>
        <w:ind w:left="3" w:right="40" w:firstLine="487"/>
        <w:spacing w:after="0" w:line="250" w:lineRule="auto"/>
        <w:rPr>
          <w:sz w:val="20"/>
          <w:szCs w:val="20"/>
          <w:color w:val="auto"/>
        </w:rPr>
      </w:pPr>
      <w:r>
        <w:rPr>
          <w:rFonts w:ascii="Times New Roman" w:cs="Times New Roman" w:eastAsia="Times New Roman" w:hAnsi="Times New Roman"/>
          <w:sz w:val="20"/>
          <w:szCs w:val="20"/>
          <w:color w:val="auto"/>
        </w:rPr>
        <w:t>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w:t>
      </w:r>
    </w:p>
    <w:p>
      <w:pPr>
        <w:spacing w:after="0" w:line="309" w:lineRule="exact"/>
        <w:rPr>
          <w:sz w:val="20"/>
          <w:szCs w:val="20"/>
          <w:color w:val="auto"/>
        </w:rPr>
      </w:pPr>
    </w:p>
    <w:p>
      <w:pPr>
        <w:ind w:left="483" w:right="8100" w:hanging="483"/>
        <w:spacing w:after="0" w:line="384" w:lineRule="auto"/>
        <w:tabs>
          <w:tab w:leader="none" w:pos="377"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SUBSEQUENT EVENTS </w:t>
      </w:r>
      <w:r>
        <w:rPr>
          <w:rFonts w:ascii="Times New Roman" w:cs="Times New Roman" w:eastAsia="Times New Roman" w:hAnsi="Times New Roman"/>
          <w:sz w:val="19"/>
          <w:szCs w:val="19"/>
          <w:i w:val="1"/>
          <w:iCs w:val="1"/>
          <w:color w:val="auto"/>
        </w:rPr>
        <w:t>February 2026 Offering</w:t>
      </w:r>
    </w:p>
    <w:p>
      <w:pPr>
        <w:ind w:left="3" w:right="200" w:firstLine="486"/>
        <w:spacing w:after="0" w:line="250" w:lineRule="auto"/>
        <w:rPr>
          <w:sz w:val="20"/>
          <w:szCs w:val="20"/>
          <w:color w:val="auto"/>
        </w:rPr>
      </w:pPr>
      <w:r>
        <w:rPr>
          <w:rFonts w:ascii="Times New Roman" w:cs="Times New Roman" w:eastAsia="Times New Roman" w:hAnsi="Times New Roman"/>
          <w:sz w:val="20"/>
          <w:szCs w:val="20"/>
          <w:color w:val="auto"/>
        </w:rPr>
        <w:t>On February 2, 2026, the Company completed a registered offering and issued an aggregate of 76,979,112 shares of common stock at an offering price of $1.57 per share and pre-funded warrants to purchase 18,574,120 shares of common stock at an offering price of $1.569 per pre-funded warrant. The Company received net proceeds of approximately $140.4 million, after deducting underwriting discounts and commissions of $9.0 million and other offering-related expenses of $0.6 million.</w:t>
      </w:r>
    </w:p>
    <w:p>
      <w:pPr>
        <w:spacing w:after="0" w:line="77"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i w:val="1"/>
          <w:iCs w:val="1"/>
          <w:color w:val="auto"/>
        </w:rPr>
        <w:t>Appointment of Chief Medical Officer</w:t>
      </w:r>
    </w:p>
    <w:p>
      <w:pPr>
        <w:spacing w:after="0" w:line="116" w:lineRule="exact"/>
        <w:rPr>
          <w:sz w:val="20"/>
          <w:szCs w:val="20"/>
          <w:color w:val="auto"/>
        </w:rPr>
      </w:pPr>
    </w:p>
    <w:p>
      <w:pPr>
        <w:ind w:left="3" w:right="380" w:firstLine="486"/>
        <w:spacing w:after="0" w:line="274" w:lineRule="auto"/>
        <w:rPr>
          <w:sz w:val="20"/>
          <w:szCs w:val="20"/>
          <w:color w:val="auto"/>
        </w:rPr>
      </w:pPr>
      <w:r>
        <w:rPr>
          <w:rFonts w:ascii="Times New Roman" w:cs="Times New Roman" w:eastAsia="Times New Roman" w:hAnsi="Times New Roman"/>
          <w:sz w:val="20"/>
          <w:szCs w:val="20"/>
          <w:color w:val="auto"/>
        </w:rPr>
        <w:t>On February 25, 2026, the Board of Directors appointed Barbara Klencke, M.D. to the office of Chief Medical Officer on a permanent basis. She has served as interim Chief Medical Officer since September 2025.</w:t>
      </w:r>
    </w:p>
    <w:p>
      <w:pPr>
        <w:sectPr>
          <w:pgSz w:w="12240" w:h="15840" w:orient="portrait"/>
          <w:cols w:equalWidth="0" w:num="1">
            <w:col w:w="10663"/>
          </w:cols>
          <w:pgMar w:left="757" w:top="1206" w:right="82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2"/>
        <w:spacing w:after="0"/>
        <w:rPr>
          <w:sz w:val="20"/>
          <w:szCs w:val="20"/>
          <w:color w:val="auto"/>
        </w:rPr>
      </w:pPr>
      <w:r>
        <w:rPr>
          <w:rFonts w:ascii="Times New Roman" w:cs="Times New Roman" w:eastAsia="Times New Roman" w:hAnsi="Times New Roman"/>
          <w:sz w:val="18"/>
          <w:szCs w:val="18"/>
          <w:color w:val="auto"/>
        </w:rPr>
        <w:t>130</w:t>
      </w:r>
    </w:p>
    <w:p>
      <w:pPr>
        <w:sectPr>
          <w:pgSz w:w="12240" w:h="15840" w:orient="portrait"/>
          <w:cols w:equalWidth="0" w:num="1">
            <w:col w:w="10663"/>
          </w:cols>
          <w:pgMar w:left="757" w:top="1206" w:right="820" w:bottom="246"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None.</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12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20"/>
          <w:szCs w:val="20"/>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spacing w:after="0" w:line="69"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20"/>
          <w:szCs w:val="20"/>
          <w:color w:val="auto"/>
        </w:rPr>
        <w:t>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December 31, 2025.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Limitations on the Effectiveness of Controls</w:t>
      </w:r>
    </w:p>
    <w:p>
      <w:pPr>
        <w:spacing w:after="0" w:line="122" w:lineRule="exact"/>
        <w:rPr>
          <w:sz w:val="20"/>
          <w:szCs w:val="20"/>
          <w:color w:val="auto"/>
        </w:rPr>
      </w:pPr>
    </w:p>
    <w:p>
      <w:pPr>
        <w:ind w:right="20" w:firstLine="486"/>
        <w:spacing w:after="0" w:line="244" w:lineRule="auto"/>
        <w:rPr>
          <w:sz w:val="20"/>
          <w:szCs w:val="20"/>
          <w:color w:val="auto"/>
        </w:rPr>
      </w:pPr>
      <w:r>
        <w:rPr>
          <w:rFonts w:ascii="Times New Roman" w:cs="Times New Roman" w:eastAsia="Times New Roman" w:hAnsi="Times New Roman"/>
          <w:sz w:val="20"/>
          <w:szCs w:val="20"/>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122" w:lineRule="exact"/>
        <w:rPr>
          <w:sz w:val="20"/>
          <w:szCs w:val="20"/>
          <w:color w:val="auto"/>
        </w:rPr>
      </w:pPr>
    </w:p>
    <w:p>
      <w:pPr>
        <w:ind w:right="20" w:firstLine="486"/>
        <w:spacing w:after="0" w:line="247"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and principal financial officers to provide reasonable assurance regarding the reliability of financial reporting and the preparation of our financial statements for external reporting purposes in accordance with U.S. generally accepted accounting principles.</w:t>
      </w:r>
    </w:p>
    <w:p>
      <w:pPr>
        <w:spacing w:after="0" w:line="78" w:lineRule="exact"/>
        <w:rPr>
          <w:sz w:val="20"/>
          <w:szCs w:val="20"/>
          <w:color w:val="auto"/>
        </w:rPr>
      </w:pPr>
    </w:p>
    <w:p>
      <w:pPr>
        <w:ind w:right="340" w:firstLine="486"/>
        <w:spacing w:after="0" w:line="267" w:lineRule="auto"/>
        <w:rPr>
          <w:sz w:val="20"/>
          <w:szCs w:val="20"/>
          <w:color w:val="auto"/>
        </w:rPr>
      </w:pPr>
      <w:r>
        <w:rPr>
          <w:rFonts w:ascii="Times New Roman" w:cs="Times New Roman" w:eastAsia="Times New Roman" w:hAnsi="Times New Roman"/>
          <w:sz w:val="19"/>
          <w:szCs w:val="19"/>
          <w:color w:val="auto"/>
        </w:rPr>
        <w:t>As of the end of our 2025 fiscal year, management conducted an assessment of the effectiveness of our internal control over financial reporting based on the framework established in the original Internal Control – Integrated Framework issued by the Committee of Sponsoring Organizations of the Treadway Commission (2013 framework) (COSO). Based on this assessment, management has determined that our internal control over financial reporting as of December 31, 2025 was effective.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122" w:lineRule="exact"/>
        <w:rPr>
          <w:sz w:val="20"/>
          <w:szCs w:val="20"/>
          <w:color w:val="auto"/>
        </w:rPr>
      </w:pPr>
    </w:p>
    <w:p>
      <w:pPr>
        <w:ind w:right="700" w:firstLine="486"/>
        <w:spacing w:after="0" w:line="274"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during the quarter ended December 31, 2025 that materially affected, or are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22" w:lineRule="exact"/>
        <w:rPr>
          <w:sz w:val="20"/>
          <w:szCs w:val="20"/>
          <w:color w:val="auto"/>
        </w:rPr>
      </w:pPr>
    </w:p>
    <w:p>
      <w:pPr>
        <w:ind w:right="200" w:firstLine="486"/>
        <w:spacing w:after="0" w:line="274" w:lineRule="auto"/>
        <w:rPr>
          <w:sz w:val="20"/>
          <w:szCs w:val="20"/>
          <w:color w:val="auto"/>
        </w:rPr>
      </w:pPr>
      <w:r>
        <w:rPr>
          <w:rFonts w:ascii="Times New Roman" w:cs="Times New Roman" w:eastAsia="Times New Roman" w:hAnsi="Times New Roman"/>
          <w:sz w:val="20"/>
          <w:szCs w:val="20"/>
          <w:color w:val="auto"/>
        </w:rPr>
        <w:t>During our last fiscal quarter, none of our officers or directors, as defined in Rule 16a-1(f), adopted and/or terminated a “Rule 10b5-1 trading arrangement” as defined in Regulation S-K Item 408.</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10680"/>
          </w:cols>
          <w:pgMar w:left="760" w:top="974" w:right="80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131</w:t>
      </w:r>
    </w:p>
    <w:p>
      <w:pPr>
        <w:sectPr>
          <w:pgSz w:w="12240" w:h="15840" w:orient="portrait"/>
          <w:cols w:equalWidth="0" w:num="1">
            <w:col w:w="10680"/>
          </w:cols>
          <w:pgMar w:left="760" w:top="974" w:right="800" w:bottom="246" w:gutter="0" w:footer="0" w:header="0"/>
          <w:type w:val="continuous"/>
        </w:sectPr>
      </w:pPr>
    </w:p>
    <w:bookmarkStart w:id="141" w:name="page142"/>
    <w:bookmarkEnd w:id="14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1" w:lineRule="exact"/>
        <w:rPr>
          <w:sz w:val="20"/>
          <w:szCs w:val="20"/>
          <w:color w:val="auto"/>
        </w:rPr>
      </w:pPr>
    </w:p>
    <w:p>
      <w:pPr>
        <w:ind w:firstLine="487"/>
        <w:spacing w:after="0" w:line="256" w:lineRule="auto"/>
        <w:rPr>
          <w:sz w:val="20"/>
          <w:szCs w:val="20"/>
          <w:color w:val="auto"/>
        </w:rPr>
      </w:pPr>
      <w:r>
        <w:rPr>
          <w:rFonts w:ascii="Times New Roman" w:cs="Times New Roman" w:eastAsia="Times New Roman" w:hAnsi="Times New Roman"/>
          <w:sz w:val="20"/>
          <w:szCs w:val="20"/>
          <w:color w:val="auto"/>
        </w:rPr>
        <w:t>Certain information required by Part III is omitted from this Annual Report on Form 10-K and is incorporated herein by reference to our definitive Proxy Statement for our next Annual Meeting of Stockholders (the “Proxy Statement”), which we intend to file pursuant to Regulation 14A of the Securities Exchange Act of 1934, as amended, within 120 days after December 31, 2025.</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2" w:lineRule="exact"/>
        <w:rPr>
          <w:sz w:val="20"/>
          <w:szCs w:val="20"/>
          <w:color w:val="auto"/>
        </w:rPr>
      </w:pPr>
    </w:p>
    <w:p>
      <w:pPr>
        <w:ind w:right="120" w:firstLine="487"/>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concerning our directors, executive officers, corporate governance, Section 16 reporting compliance and code of business conduct and ethics is incorporated by reference to the Proxy Statement.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The information required by this Item regarding executive compensation is incorporated by reference to the Proxy Statement.</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122" w:lineRule="exact"/>
        <w:rPr>
          <w:sz w:val="20"/>
          <w:szCs w:val="20"/>
          <w:color w:val="auto"/>
        </w:rPr>
      </w:pPr>
    </w:p>
    <w:p>
      <w:pPr>
        <w:ind w:right="220" w:firstLine="487"/>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regarding security ownership of certain beneficial owners and management and related stockholder matters is incorporated by reference to the Proxy Statement.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122" w:lineRule="exact"/>
        <w:rPr>
          <w:sz w:val="20"/>
          <w:szCs w:val="20"/>
          <w:color w:val="auto"/>
        </w:rPr>
      </w:pPr>
    </w:p>
    <w:p>
      <w:pPr>
        <w:ind w:firstLine="487"/>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regarding certain relationships and related party transactions and director independence is incorporated by reference to the Proxy Statement.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color w:val="auto"/>
        </w:rPr>
        <w:t>Our independent registered public accounting firm is KPMG LLP, Auditor Firm ID: 185.</w:t>
      </w:r>
    </w:p>
    <w:p>
      <w:pPr>
        <w:spacing w:after="0" w:line="118" w:lineRule="exact"/>
        <w:rPr>
          <w:sz w:val="20"/>
          <w:szCs w:val="20"/>
          <w:color w:val="auto"/>
        </w:rPr>
      </w:pPr>
    </w:p>
    <w:p>
      <w:pPr>
        <w:ind w:firstLine="487"/>
        <w:spacing w:after="0" w:line="274" w:lineRule="auto"/>
        <w:rPr>
          <w:sz w:val="20"/>
          <w:szCs w:val="20"/>
          <w:color w:val="auto"/>
        </w:rPr>
      </w:pPr>
      <w:r>
        <w:rPr>
          <w:rFonts w:ascii="Times New Roman" w:cs="Times New Roman" w:eastAsia="Times New Roman" w:hAnsi="Times New Roman"/>
          <w:sz w:val="20"/>
          <w:szCs w:val="20"/>
          <w:color w:val="auto"/>
        </w:rPr>
        <w:t>The information required by this Item regarding principal accountant fees and services is incorporated by reference to the Proxy Statement.</w:t>
      </w:r>
    </w:p>
    <w:p>
      <w:pPr>
        <w:sectPr>
          <w:pgSz w:w="12240" w:h="15840" w:orient="portrait"/>
          <w:cols w:equalWidth="0" w:num="1">
            <w:col w:w="10660"/>
          </w:cols>
          <w:pgMar w:left="760" w:top="974" w:right="82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132</w:t>
      </w:r>
    </w:p>
    <w:p>
      <w:pPr>
        <w:sectPr>
          <w:pgSz w:w="12240" w:h="15840" w:orient="portrait"/>
          <w:cols w:equalWidth="0" w:num="1">
            <w:col w:w="10660"/>
          </w:cols>
          <w:pgMar w:left="760" w:top="974" w:right="820" w:bottom="246" w:gutter="0" w:footer="0" w:header="0"/>
          <w:type w:val="continuous"/>
        </w:sectPr>
      </w:pPr>
    </w:p>
    <w:bookmarkStart w:id="142" w:name="page143"/>
    <w:bookmarkEnd w:id="142"/>
    <w:p>
      <w:pPr>
        <w:jc w:val="center"/>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22" w:lineRule="exact"/>
        <w:rPr>
          <w:sz w:val="20"/>
          <w:szCs w:val="20"/>
          <w:color w:val="auto"/>
        </w:rPr>
      </w:pPr>
    </w:p>
    <w:p>
      <w:pPr>
        <w:ind w:left="960" w:hanging="477"/>
        <w:spacing w:after="0"/>
        <w:tabs>
          <w:tab w:leader="none" w:pos="9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documents are filed as part of this Annual Report on Form 10-K:</w:t>
      </w:r>
    </w:p>
    <w:p>
      <w:pPr>
        <w:spacing w:after="0" w:line="157" w:lineRule="exact"/>
        <w:rPr>
          <w:sz w:val="20"/>
          <w:szCs w:val="20"/>
          <w:color w:val="auto"/>
        </w:rPr>
      </w:pPr>
    </w:p>
    <w:p>
      <w:pPr>
        <w:ind w:left="1460" w:hanging="491"/>
        <w:spacing w:after="0"/>
        <w:tabs>
          <w:tab w:leader="none" w:pos="14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w:t>
      </w:r>
    </w:p>
    <w:p>
      <w:pPr>
        <w:spacing w:after="0" w:line="118" w:lineRule="exact"/>
        <w:rPr>
          <w:sz w:val="20"/>
          <w:szCs w:val="20"/>
          <w:color w:val="auto"/>
        </w:rPr>
      </w:pPr>
    </w:p>
    <w:p>
      <w:pPr>
        <w:ind w:left="960"/>
        <w:spacing w:after="0" w:line="274" w:lineRule="auto"/>
        <w:rPr>
          <w:sz w:val="20"/>
          <w:szCs w:val="20"/>
          <w:color w:val="auto"/>
        </w:rPr>
      </w:pPr>
      <w:r>
        <w:rPr>
          <w:rFonts w:ascii="Times New Roman" w:cs="Times New Roman" w:eastAsia="Times New Roman" w:hAnsi="Times New Roman"/>
          <w:sz w:val="20"/>
          <w:szCs w:val="20"/>
          <w:color w:val="auto"/>
        </w:rPr>
        <w:t>The financial statements filed as part of this Annual Report on Form 10-K are listed in the “Index to Financial Statements” under Part II, Item 8 of this Annual Report on Form 10-K.</w:t>
      </w:r>
    </w:p>
    <w:p>
      <w:pPr>
        <w:spacing w:after="0" w:line="91" w:lineRule="exact"/>
        <w:rPr>
          <w:sz w:val="20"/>
          <w:szCs w:val="20"/>
          <w:color w:val="auto"/>
        </w:rPr>
      </w:pPr>
    </w:p>
    <w:p>
      <w:pPr>
        <w:ind w:left="1460" w:hanging="491"/>
        <w:spacing w:after="0"/>
        <w:tabs>
          <w:tab w:leader="none" w:pos="14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w:t>
      </w:r>
    </w:p>
    <w:p>
      <w:pPr>
        <w:spacing w:after="0" w:line="118" w:lineRule="exact"/>
        <w:rPr>
          <w:sz w:val="20"/>
          <w:szCs w:val="20"/>
          <w:color w:val="auto"/>
        </w:rPr>
      </w:pPr>
    </w:p>
    <w:p>
      <w:pPr>
        <w:ind w:left="960" w:right="460"/>
        <w:spacing w:after="0" w:line="302" w:lineRule="auto"/>
        <w:rPr>
          <w:sz w:val="20"/>
          <w:szCs w:val="20"/>
          <w:color w:val="auto"/>
        </w:rPr>
      </w:pPr>
      <w:r>
        <w:rPr>
          <w:rFonts w:ascii="Times New Roman" w:cs="Times New Roman" w:eastAsia="Times New Roman" w:hAnsi="Times New Roman"/>
          <w:sz w:val="19"/>
          <w:szCs w:val="19"/>
          <w:color w:val="auto"/>
        </w:rPr>
        <w:t>Financial statement schedules have been omitted as the information required is not applicable or the information is presented in the financial statements or related notes included in Part II, Item 8 of this Annual Report on Form 10-K.</w:t>
      </w:r>
    </w:p>
    <w:p>
      <w:pPr>
        <w:spacing w:after="0" w:line="66" w:lineRule="exact"/>
        <w:rPr>
          <w:sz w:val="20"/>
          <w:szCs w:val="20"/>
          <w:color w:val="auto"/>
        </w:rPr>
      </w:pPr>
    </w:p>
    <w:p>
      <w:pPr>
        <w:ind w:left="1460" w:hanging="491"/>
        <w:spacing w:after="0"/>
        <w:tabs>
          <w:tab w:leader="none" w:pos="14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118" w:lineRule="exact"/>
        <w:rPr>
          <w:sz w:val="20"/>
          <w:szCs w:val="20"/>
          <w:color w:val="auto"/>
        </w:rPr>
      </w:pPr>
    </w:p>
    <w:p>
      <w:pPr>
        <w:ind w:left="980" w:right="60" w:hanging="13"/>
        <w:spacing w:after="0" w:line="253" w:lineRule="auto"/>
        <w:rPr>
          <w:sz w:val="20"/>
          <w:szCs w:val="20"/>
          <w:color w:val="auto"/>
        </w:rPr>
      </w:pPr>
      <w:r>
        <w:rPr>
          <w:rFonts w:ascii="Times New Roman" w:cs="Times New Roman" w:eastAsia="Times New Roman" w:hAnsi="Times New Roman"/>
          <w:sz w:val="20"/>
          <w:szCs w:val="20"/>
          <w:color w:val="auto"/>
        </w:rPr>
        <w:t>The exhibits listed below are filed as part of this Annual Report on Form 10-K, or are incorporated herein by reference, in each case as indicated below.</w:t>
      </w:r>
    </w:p>
    <w:p>
      <w:pPr>
        <w:jc w:val="center"/>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5"/>
                <w:szCs w:val="15"/>
                <w:color w:val="auto"/>
              </w:rPr>
            </w:pPr>
          </w:p>
        </w:tc>
        <w:tc>
          <w:tcPr>
            <w:tcW w:w="3660" w:type="dxa"/>
            <w:vAlign w:val="bottom"/>
            <w:vMerge w:val="restart"/>
          </w:tcPr>
          <w:p>
            <w:pPr>
              <w:ind w:left="122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10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5"/>
                <w:szCs w:val="15"/>
                <w:color w:val="auto"/>
              </w:rPr>
            </w:pPr>
          </w:p>
        </w:tc>
        <w:tc>
          <w:tcPr>
            <w:tcW w:w="120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0" w:type="dxa"/>
            <w:vAlign w:val="bottom"/>
          </w:tcPr>
          <w:p>
            <w:pPr>
              <w:spacing w:after="0"/>
              <w:rPr>
                <w:sz w:val="15"/>
                <w:szCs w:val="15"/>
                <w:color w:val="auto"/>
              </w:rPr>
            </w:pPr>
          </w:p>
        </w:tc>
        <w:tc>
          <w:tcPr>
            <w:tcW w:w="86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5"/>
                <w:szCs w:val="15"/>
                <w:color w:val="auto"/>
              </w:rPr>
            </w:pPr>
          </w:p>
        </w:tc>
        <w:tc>
          <w:tcPr>
            <w:tcW w:w="15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8"/>
              </w:rPr>
              <w:t>FILING</w:t>
            </w:r>
          </w:p>
        </w:tc>
        <w:tc>
          <w:tcPr>
            <w:tcW w:w="120" w:type="dxa"/>
            <w:vAlign w:val="bottom"/>
          </w:tcPr>
          <w:p>
            <w:pPr>
              <w:spacing w:after="0"/>
              <w:rPr>
                <w:sz w:val="15"/>
                <w:szCs w:val="15"/>
                <w:color w:val="auto"/>
              </w:rPr>
            </w:pPr>
          </w:p>
        </w:tc>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FILED</w:t>
            </w:r>
          </w:p>
        </w:tc>
        <w:tc>
          <w:tcPr>
            <w:tcW w:w="0" w:type="dxa"/>
            <w:vAlign w:val="bottom"/>
          </w:tcPr>
          <w:p>
            <w:pPr>
              <w:spacing w:after="0"/>
              <w:rPr>
                <w:sz w:val="1"/>
                <w:szCs w:val="1"/>
                <w:color w:val="auto"/>
              </w:rPr>
            </w:pPr>
          </w:p>
        </w:tc>
      </w:tr>
      <w:tr>
        <w:trPr>
          <w:trHeight w:val="202"/>
        </w:trPr>
        <w:tc>
          <w:tcPr>
            <w:tcW w:w="9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33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Certificate of</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21, 2020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Incorporation of the Registrant.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Bylaws of the</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20,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Registrant.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Investors’ Rights</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333-239490</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26, 2020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Agreement among the Registrant and certain</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of its stockholders, dated April 1, 2020.</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Specimen common stock certificate of the</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333-239490</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4.2</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26, 2020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Registrant.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Description of Securities.</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7, 2024</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Form of Pre-Funded Warrant.</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6,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Form of Pre-Funded Warrant.</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4.1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30, 2026</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Loan and Security Agreement, dated as of</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October 31, 2022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October 27, 2022, among Oxford Finance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LLC, as collateral agent, the lenders from</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time to time party thereto, ALX Oncology</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Inc., Alexo Therapeutics International, and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w w:val="99"/>
              </w:rPr>
              <w:t>Sirpant Therapeutics, each as a borrower, and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ALX Oncology Holdings Inc., as guarantor.</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Consent and First Amendment to Loan and</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10.1.1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9,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Security Agreement, dated as of December</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980" w:type="dxa"/>
            <w:vAlign w:val="bottom"/>
          </w:tcPr>
          <w:p>
            <w:pPr>
              <w:spacing w:after="0"/>
              <w:rPr>
                <w:sz w:val="23"/>
                <w:szCs w:val="23"/>
                <w:color w:val="auto"/>
              </w:rPr>
            </w:pP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22, 2022.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Second Amendment to Loan and Security</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August 10,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Agreement, dated as of May 31, 2023.</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Third Amendment to Loan and Security</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26,</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Agreement, dated as of December 22, 2023,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0" w:type="dxa"/>
            <w:vAlign w:val="bottom"/>
            <w:gridSpan w:val="2"/>
          </w:tcPr>
          <w:p>
            <w:pPr>
              <w:jc w:val="center"/>
              <w:ind w:left="21"/>
              <w:spacing w:after="0" w:line="229" w:lineRule="exact"/>
              <w:rPr>
                <w:sz w:val="20"/>
                <w:szCs w:val="20"/>
                <w:color w:val="auto"/>
              </w:rPr>
            </w:pPr>
            <w:r>
              <w:rPr>
                <w:rFonts w:ascii="Times New Roman" w:cs="Times New Roman" w:eastAsia="Times New Roman" w:hAnsi="Times New Roman"/>
                <w:sz w:val="20"/>
                <w:szCs w:val="20"/>
                <w:color w:val="auto"/>
                <w:w w:val="99"/>
              </w:rPr>
              <w:t>2023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among Oxford Finance LLC, as collateral</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agent, the lenders party thereto, ALX</w:t>
            </w: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-5277485</wp:posOffset>
            </wp:positionV>
            <wp:extent cx="300228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extLst>
                    </a:blip>
                    <a:srcRect/>
                    <a:stretch>
                      <a:fillRect/>
                    </a:stretch>
                  </pic:blipFill>
                  <pic:spPr bwMode="auto">
                    <a:xfrm>
                      <a:off x="0" y="0"/>
                      <a:ext cx="3002280" cy="25400"/>
                    </a:xfrm>
                    <a:prstGeom prst="rect">
                      <a:avLst/>
                    </a:prstGeom>
                    <a:noFill/>
                  </pic:spPr>
                </pic:pic>
              </a:graphicData>
            </a:graphic>
          </wp:anchor>
        </w:drawing>
      </w:r>
    </w:p>
    <w:p>
      <w:pPr>
        <w:ind w:left="1100"/>
        <w:spacing w:after="0" w:line="238" w:lineRule="auto"/>
        <w:rPr>
          <w:sz w:val="20"/>
          <w:szCs w:val="20"/>
          <w:color w:val="auto"/>
        </w:rPr>
      </w:pPr>
      <w:r>
        <w:rPr>
          <w:rFonts w:ascii="Times New Roman" w:cs="Times New Roman" w:eastAsia="Times New Roman" w:hAnsi="Times New Roman"/>
          <w:sz w:val="20"/>
          <w:szCs w:val="20"/>
          <w:color w:val="auto"/>
        </w:rPr>
        <w:t>Oncology Inc., as borrower, and ALX</w:t>
      </w:r>
    </w:p>
    <w:p>
      <w:pPr>
        <w:ind w:left="1100"/>
        <w:spacing w:after="0"/>
        <w:rPr>
          <w:sz w:val="20"/>
          <w:szCs w:val="20"/>
          <w:color w:val="auto"/>
        </w:rPr>
      </w:pPr>
      <w:r>
        <w:rPr>
          <w:rFonts w:ascii="Times New Roman" w:cs="Times New Roman" w:eastAsia="Times New Roman" w:hAnsi="Times New Roman"/>
          <w:sz w:val="20"/>
          <w:szCs w:val="20"/>
          <w:color w:val="auto"/>
        </w:rPr>
        <w:t>Oncology Holdings Inc., as guarantor.</w:t>
      </w:r>
    </w:p>
    <w:p>
      <w:pPr>
        <w:sectPr>
          <w:pgSz w:w="12240" w:h="15840" w:orient="portrait"/>
          <w:cols w:equalWidth="0" w:num="1">
            <w:col w:w="10720"/>
          </w:cols>
          <w:pgMar w:left="760" w:top="974" w:right="760" w:bottom="246"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2240" w:h="15840" w:orient="portrait"/>
          <w:cols w:equalWidth="0" w:num="1">
            <w:col w:w="10720"/>
          </w:cols>
          <w:pgMar w:left="760" w:top="974" w:right="760" w:bottom="246" w:gutter="0" w:footer="0" w:header="0"/>
          <w:type w:val="continuous"/>
        </w:sectPr>
      </w:pPr>
    </w:p>
    <w:bookmarkStart w:id="143" w:name="page144"/>
    <w:bookmarkEnd w:id="143"/>
    <w:tbl>
      <w:tblPr>
        <w:tblLayout w:type="fixed"/>
        <w:tblInd w:w="0"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3"/>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8"/>
              </w:rPr>
              <w:t>FILING</w:t>
            </w:r>
          </w:p>
        </w:tc>
        <w:tc>
          <w:tcPr>
            <w:tcW w:w="120" w:type="dxa"/>
            <w:vAlign w:val="bottom"/>
          </w:tcPr>
          <w:p>
            <w:pPr>
              <w:spacing w:after="0"/>
              <w:rPr>
                <w:sz w:val="15"/>
                <w:szCs w:val="15"/>
                <w:color w:val="auto"/>
              </w:rPr>
            </w:pPr>
          </w:p>
        </w:tc>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FILED</w:t>
            </w:r>
          </w:p>
        </w:tc>
      </w:tr>
      <w:tr>
        <w:trPr>
          <w:trHeight w:val="202"/>
        </w:trPr>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36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00" w:type="dxa"/>
            <w:vAlign w:val="bottom"/>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3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Sales Agreement, dated December 17, 2021,</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December 17,</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by and among ALX Oncology Holdings Inc.,</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0" w:type="dxa"/>
            <w:vAlign w:val="bottom"/>
            <w:gridSpan w:val="2"/>
          </w:tcPr>
          <w:p>
            <w:pPr>
              <w:jc w:val="center"/>
              <w:ind w:left="21"/>
              <w:spacing w:after="0" w:line="229" w:lineRule="exact"/>
              <w:rPr>
                <w:sz w:val="20"/>
                <w:szCs w:val="20"/>
                <w:color w:val="auto"/>
              </w:rPr>
            </w:pPr>
            <w:r>
              <w:rPr>
                <w:rFonts w:ascii="Times New Roman" w:cs="Times New Roman" w:eastAsia="Times New Roman" w:hAnsi="Times New Roman"/>
                <w:sz w:val="20"/>
                <w:szCs w:val="20"/>
                <w:color w:val="auto"/>
                <w:w w:val="99"/>
              </w:rPr>
              <w:t>2021</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Cantor Fitzgerald &amp; Co., and Credit Suisse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Securities (USA) LLC.</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Amendment No. 1 to the Sales Agreement</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November 13,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with Cantor and Credit Suisse, dated August</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0" w:type="dxa"/>
            <w:vAlign w:val="bottom"/>
            <w:gridSpan w:val="2"/>
          </w:tcPr>
          <w:p>
            <w:pPr>
              <w:jc w:val="center"/>
              <w:ind w:left="21"/>
              <w:spacing w:after="0" w:line="229" w:lineRule="exact"/>
              <w:rPr>
                <w:sz w:val="20"/>
                <w:szCs w:val="20"/>
                <w:color w:val="auto"/>
              </w:rPr>
            </w:pPr>
            <w:r>
              <w:rPr>
                <w:rFonts w:ascii="Times New Roman" w:cs="Times New Roman" w:eastAsia="Times New Roman" w:hAnsi="Times New Roman"/>
                <w:sz w:val="20"/>
                <w:szCs w:val="20"/>
                <w:color w:val="auto"/>
                <w:w w:val="99"/>
              </w:rPr>
              <w:t>2023</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37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25, 2023.</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Form of Indemnification Agreement between</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333-239490</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26, 2020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the Registrant and each of its directors and</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executive officers.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Amended and Restated 2020 Equity</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S-1/A</w:t>
            </w:r>
          </w:p>
        </w:tc>
        <w:tc>
          <w:tcPr>
            <w:tcW w:w="13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333-239490</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10.2</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13, 2020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Incentive Plan and forms of agreements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thereunder.</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20"/>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10.5+</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2025 Inducement Equity Incentive Plan and</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January 21, 2026</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forms of agreement thereunder.</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2020 Employee Stock Purchase Plan.</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S-1/A</w:t>
            </w:r>
          </w:p>
        </w:tc>
        <w:tc>
          <w:tcPr>
            <w:tcW w:w="13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333-239490</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10.3</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13, 2020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Confirmatory Employment Letter between</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8-K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September 6,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the Registrant and Jason Lettmann.</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Confirmatory Offer Letter between the</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10.8</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6, 2025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Registrant and Harish Shantharam.</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Confirmatory Offer Letter between the</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10.6</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February 28, 2022</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Registrant and Shelly Pinto.</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Offer Letter between the Registrant and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Barbara Klencke.</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Executive Incentive Compensation Plan.</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S-1/A</w:t>
            </w:r>
          </w:p>
        </w:tc>
        <w:tc>
          <w:tcPr>
            <w:tcW w:w="13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333-239490</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10.9</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July 13, 2020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Form of Change in Control and Severance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Agreement.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Exclusive (Equity) Agreement between the</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S-1</w:t>
            </w:r>
          </w:p>
        </w:tc>
        <w:tc>
          <w:tcPr>
            <w:tcW w:w="130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9"/>
              </w:rPr>
              <w:t>333-239490</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rPr>
              <w:t>10.12</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June 26, 2020</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Registrant and The Board of Trustees of the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Leland Stanford Junior University, effective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as of March 24, 2015, as amended on April</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24, 2015 and May 15, 2015.</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Outside Director Compensation Policy.</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10-Q</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10.3</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May 8, 2025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Insider Trading Policy.</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19.1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6, 2025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List of subsidiaries of Registrant.</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001-39386</w:t>
            </w:r>
          </w:p>
        </w:tc>
        <w:tc>
          <w:tcPr>
            <w:tcW w:w="960" w:type="dxa"/>
            <w:vAlign w:val="bottom"/>
            <w:gridSpan w:val="2"/>
          </w:tcPr>
          <w:p>
            <w:pPr>
              <w:jc w:val="center"/>
              <w:ind w:left="1"/>
              <w:spacing w:after="0"/>
              <w:rPr>
                <w:sz w:val="20"/>
                <w:szCs w:val="20"/>
                <w:color w:val="auto"/>
              </w:rPr>
            </w:pPr>
            <w:r>
              <w:rPr>
                <w:rFonts w:ascii="Times New Roman" w:cs="Times New Roman" w:eastAsia="Times New Roman" w:hAnsi="Times New Roman"/>
                <w:sz w:val="20"/>
                <w:szCs w:val="20"/>
                <w:color w:val="auto"/>
                <w:w w:val="97"/>
              </w:rPr>
              <w:t>21.1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6, 2025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Consent of KPMG LLP, Independent</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Registered Public Accounting Firm.</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24.1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Power of Attorney.</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Pursuant to Rules 13a-14(a) and 15d-14(a)</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under the Securities Exchange Act of 1934,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as Adopted Pursuant to Section 302 of the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Sarbanes-Oxley Act of 2002.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-8213090</wp:posOffset>
            </wp:positionV>
            <wp:extent cx="300228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extLst>
                    </a:blip>
                    <a:srcRect/>
                    <a:stretch>
                      <a:fillRect/>
                    </a:stretch>
                  </pic:blipFill>
                  <pic:spPr bwMode="auto">
                    <a:xfrm>
                      <a:off x="0" y="0"/>
                      <a:ext cx="3002280" cy="25400"/>
                    </a:xfrm>
                    <a:prstGeom prst="rect">
                      <a:avLst/>
                    </a:prstGeom>
                    <a:noFill/>
                  </pic:spPr>
                </pic:pic>
              </a:graphicData>
            </a:graphic>
          </wp:anchor>
        </w:drawing>
      </w:r>
    </w:p>
    <w:p>
      <w:pPr>
        <w:sectPr>
          <w:pgSz w:w="12240" w:h="15840" w:orient="portrait"/>
          <w:cols w:equalWidth="0" w:num="1">
            <w:col w:w="10720"/>
          </w:cols>
          <w:pgMar w:left="760"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2240" w:h="15840" w:orient="portrait"/>
          <w:cols w:equalWidth="0" w:num="1">
            <w:col w:w="10720"/>
          </w:cols>
          <w:pgMar w:left="760" w:top="978" w:right="760" w:bottom="246" w:gutter="0" w:footer="0" w:header="0"/>
          <w:type w:val="continuous"/>
        </w:sectPr>
      </w:pPr>
    </w:p>
    <w:bookmarkStart w:id="144" w:name="page145"/>
    <w:bookmarkEnd w:id="144"/>
    <w:tbl>
      <w:tblPr>
        <w:tblLayout w:type="fixed"/>
        <w:tblInd w:w="3" w:type="dxa"/>
        <w:tblCellMar>
          <w:top w:w="0" w:type="dxa"/>
          <w:left w:w="0" w:type="dxa"/>
          <w:bottom w:w="0" w:type="dxa"/>
          <w:right w:w="0" w:type="dxa"/>
        </w:tblCellMar>
      </w:tblPr>
      <w:tr>
        <w:trPr>
          <w:trHeight w:val="193"/>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6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3"/>
        </w:trPr>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w w:val="98"/>
              </w:rPr>
              <w:t>FILING</w:t>
            </w:r>
          </w:p>
        </w:tc>
        <w:tc>
          <w:tcPr>
            <w:tcW w:w="120" w:type="dxa"/>
            <w:vAlign w:val="bottom"/>
          </w:tcPr>
          <w:p>
            <w:pPr>
              <w:spacing w:after="0"/>
              <w:rPr>
                <w:sz w:val="15"/>
                <w:szCs w:val="15"/>
                <w:color w:val="auto"/>
              </w:rPr>
            </w:pPr>
          </w:p>
        </w:tc>
        <w:tc>
          <w:tcPr>
            <w:tcW w:w="1060" w:type="dxa"/>
            <w:vAlign w:val="bottom"/>
          </w:tcPr>
          <w:p>
            <w:pPr>
              <w:jc w:val="center"/>
              <w:spacing w:after="0" w:line="183" w:lineRule="exact"/>
              <w:rPr>
                <w:sz w:val="20"/>
                <w:szCs w:val="20"/>
                <w:color w:val="auto"/>
              </w:rPr>
            </w:pPr>
            <w:r>
              <w:rPr>
                <w:rFonts w:ascii="Times New Roman" w:cs="Times New Roman" w:eastAsia="Times New Roman" w:hAnsi="Times New Roman"/>
                <w:sz w:val="16"/>
                <w:szCs w:val="16"/>
                <w:b w:val="1"/>
                <w:bCs w:val="1"/>
                <w:color w:val="auto"/>
              </w:rPr>
              <w:t>FILED</w:t>
            </w:r>
          </w:p>
        </w:tc>
      </w:tr>
      <w:tr>
        <w:trPr>
          <w:trHeight w:val="202"/>
        </w:trPr>
        <w:tc>
          <w:tcPr>
            <w:tcW w:w="9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20" w:type="dxa"/>
            <w:vAlign w:val="bottom"/>
          </w:tcPr>
          <w:p>
            <w:pPr>
              <w:spacing w:after="0"/>
              <w:rPr>
                <w:sz w:val="17"/>
                <w:szCs w:val="17"/>
                <w:color w:val="auto"/>
              </w:rPr>
            </w:pPr>
          </w:p>
        </w:tc>
        <w:tc>
          <w:tcPr>
            <w:tcW w:w="36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6"/>
                <w:szCs w:val="16"/>
                <w:b w:val="1"/>
                <w:bCs w:val="1"/>
                <w:color w:val="auto"/>
              </w:rPr>
              <w:t>EXHIBIT TITLE</w:t>
            </w:r>
          </w:p>
        </w:tc>
        <w:tc>
          <w:tcPr>
            <w:tcW w:w="1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 NO.</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EXHIBIT</w:t>
            </w:r>
          </w:p>
        </w:tc>
        <w:tc>
          <w:tcPr>
            <w:tcW w:w="10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DATE</w:t>
            </w:r>
          </w:p>
        </w:tc>
        <w:tc>
          <w:tcPr>
            <w:tcW w:w="1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r>
      <w:tr>
        <w:trPr>
          <w:trHeight w:val="336"/>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Pursuant to Rules 13a-14(a) and 15d-14(a)</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under the Securities Exchange Act of 1934,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as Adopted Pursuant to Section 302 of the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Sarbanes-Oxley Act of 2002.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Executive Officer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Pursuant to 18 U.S.C. Section 1350, as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Adopted Pursuant to Section 906 of the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Sarbanes-Oxley Act of 2002.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32.2*</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Principal Financial Officer</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Pursuant to 18 U.S.C. Section 1350, as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Adopted Pursuant to Section 906 of the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Sarbanes-Oxley Act of 2002.</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65"/>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Compensation Recovery Policy.</w:t>
            </w:r>
          </w:p>
        </w:tc>
        <w:tc>
          <w:tcPr>
            <w:tcW w:w="10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10-K</w:t>
            </w: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20"/>
                <w:szCs w:val="20"/>
                <w:color w:val="auto"/>
              </w:rPr>
              <w:t>001-39386</w:t>
            </w:r>
          </w:p>
        </w:tc>
        <w:tc>
          <w:tcPr>
            <w:tcW w:w="96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97.1</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7, 2024</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Inline XBRL Instance Document. - the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Instance Document does not appear in the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Interactive Data File because its XBRL tags</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are embedded within the Inline XBRL</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document</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Schema</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28"/>
        </w:trPr>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Document With Embedded Linkbase</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Documents.</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329"/>
        </w:trPr>
        <w:tc>
          <w:tcPr>
            <w:tcW w:w="98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12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6"/>
              </w:rPr>
              <w:t>X</w:t>
            </w:r>
          </w:p>
        </w:tc>
      </w:tr>
      <w:tr>
        <w:trPr>
          <w:trHeight w:val="265"/>
        </w:trPr>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20"/>
                <w:szCs w:val="20"/>
                <w:color w:val="auto"/>
              </w:rPr>
              <w:t>as Inline XBRL and included in exhibit 101)</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294640</wp:posOffset>
                </wp:positionV>
                <wp:extent cx="90805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8050" cy="4763"/>
                        </a:xfrm>
                        <a:prstGeom prst="line">
                          <a:avLst/>
                        </a:prstGeom>
                        <a:solidFill>
                          <a:srgbClr val="FFFFFF"/>
                        </a:solidFill>
                        <a:ln w="6311">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2pt" to="71.5pt,23.2pt" o:allowincell="f" strokecolor="#000000" strokeweight="0.4969pt"/>
            </w:pict>
          </mc:Fallback>
        </mc:AlternateContent>
        <w:drawing>
          <wp:anchor simplePos="0" relativeHeight="251657728" behindDoc="1" locked="0" layoutInCell="0" allowOverlap="1">
            <wp:simplePos x="0" y="0"/>
            <wp:positionH relativeFrom="column">
              <wp:posOffset>3074670</wp:posOffset>
            </wp:positionH>
            <wp:positionV relativeFrom="paragraph">
              <wp:posOffset>-4354830</wp:posOffset>
            </wp:positionV>
            <wp:extent cx="300228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6">
                      <a:extLst>
                        <a:ext uri="{28A0092B-C50C-407E-A947-70E740481C1C}"/>
                      </a:extLst>
                    </a:blip>
                    <a:srcRect/>
                    <a:stretch>
                      <a:fillRect/>
                    </a:stretch>
                  </pic:blipFill>
                  <pic:spPr bwMode="auto">
                    <a:xfrm>
                      <a:off x="0" y="0"/>
                      <a:ext cx="3002280" cy="2540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3" w:right="180" w:hanging="3"/>
        <w:spacing w:after="0" w:line="239" w:lineRule="auto"/>
        <w:tabs>
          <w:tab w:leader="none" w:pos="15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confidential information contained in this document, marked by [***], has been omitted pursuant to Item 601(b)(10)(iv) of Regulation S-K because it is both (i) not material and (ii) the type of information that the registrant treats as private or confidential. ^ Certain exhibits and schedules have been omitted in accordance with Item 601(a)(5) of Regulation S-K. The registrant agrees to furnish supplementally a copy of any omitted exhibit or schedule to the SEC upon its request.</w:t>
      </w:r>
    </w:p>
    <w:p>
      <w:pPr>
        <w:spacing w:after="0" w:line="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color w:val="auto"/>
        </w:rPr>
        <w:t>+ Indicates management contract or compensatory plan.</w:t>
      </w:r>
    </w:p>
    <w:p>
      <w:pPr>
        <w:spacing w:after="0" w:line="90" w:lineRule="exact"/>
        <w:rPr>
          <w:sz w:val="20"/>
          <w:szCs w:val="20"/>
          <w:color w:val="auto"/>
        </w:rPr>
      </w:pPr>
    </w:p>
    <w:p>
      <w:pPr>
        <w:ind w:left="3" w:right="40" w:hanging="3"/>
        <w:spacing w:after="0" w:line="226" w:lineRule="auto"/>
        <w:tabs>
          <w:tab w:leader="none" w:pos="152"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certifications attached as Exhibit 32.1 and 32.2 that accompany this Annual Report on Form 10-K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1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0"/>
          <w:szCs w:val="20"/>
          <w:b w:val="1"/>
          <w:bCs w:val="1"/>
          <w:color w:val="auto"/>
        </w:rPr>
        <w:t>Item 16. Form 10-K Summary</w:t>
      </w:r>
    </w:p>
    <w:p>
      <w:pPr>
        <w:spacing w:after="0" w:line="122" w:lineRule="exact"/>
        <w:rPr>
          <w:sz w:val="20"/>
          <w:szCs w:val="20"/>
          <w:color w:val="auto"/>
        </w:rPr>
      </w:pPr>
    </w:p>
    <w:p>
      <w:pPr>
        <w:ind w:left="483"/>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10723"/>
          </w:cols>
          <w:pgMar w:left="757" w:top="978"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135</w:t>
      </w:r>
    </w:p>
    <w:p>
      <w:pPr>
        <w:sectPr>
          <w:pgSz w:w="12240" w:h="15840" w:orient="portrait"/>
          <w:cols w:equalWidth="0" w:num="1">
            <w:col w:w="10723"/>
          </w:cols>
          <w:pgMar w:left="757" w:top="978" w:right="760" w:bottom="246"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1" w:lineRule="exact"/>
        <w:rPr>
          <w:sz w:val="20"/>
          <w:szCs w:val="20"/>
          <w:color w:val="auto"/>
        </w:rPr>
      </w:pPr>
    </w:p>
    <w:p>
      <w:pPr>
        <w:ind w:right="200" w:firstLine="487"/>
        <w:spacing w:after="0" w:line="274"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20"/>
          <w:szCs w:val="20"/>
          <w:color w:val="auto"/>
        </w:rPr>
        <w:t>ALX ONCOLOGY HOLDINGS INC.</w:t>
      </w:r>
    </w:p>
    <w:p>
      <w:pPr>
        <w:spacing w:after="0" w:line="257" w:lineRule="exact"/>
        <w:rPr>
          <w:sz w:val="20"/>
          <w:szCs w:val="20"/>
          <w:color w:val="auto"/>
        </w:rPr>
      </w:pPr>
    </w:p>
    <w:p>
      <w:pPr>
        <w:spacing w:after="0"/>
        <w:tabs>
          <w:tab w:leader="none" w:pos="6420" w:val="left"/>
          <w:tab w:leader="none" w:pos="8020" w:val="left"/>
        </w:tabs>
        <w:rPr>
          <w:sz w:val="20"/>
          <w:szCs w:val="20"/>
          <w:color w:val="auto"/>
        </w:rPr>
      </w:pPr>
      <w:r>
        <w:rPr>
          <w:rFonts w:ascii="Times New Roman" w:cs="Times New Roman" w:eastAsia="Times New Roman" w:hAnsi="Times New Roman"/>
          <w:sz w:val="20"/>
          <w:szCs w:val="20"/>
          <w:color w:val="auto"/>
        </w:rPr>
        <w:t>Date: March 9,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Jason Lettmann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4356735</wp:posOffset>
                </wp:positionH>
                <wp:positionV relativeFrom="paragraph">
                  <wp:posOffset>12700</wp:posOffset>
                </wp:positionV>
                <wp:extent cx="2452370"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52370" cy="4763"/>
                        </a:xfrm>
                        <a:prstGeom prst="line">
                          <a:avLst/>
                        </a:prstGeom>
                        <a:solidFill>
                          <a:srgbClr val="FFFFFF"/>
                        </a:solidFill>
                        <a:ln w="3149">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3.05pt,1pt" to="536.15pt,1pt" o:allowincell="f" strokecolor="#000000" strokeweight="0.248pt"/>
            </w:pict>
          </mc:Fallback>
        </mc:AlternateContent>
      </w:r>
    </w:p>
    <w:p>
      <w:pPr>
        <w:spacing w:after="0" w:line="15"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20"/>
          <w:szCs w:val="20"/>
          <w:b w:val="1"/>
          <w:bCs w:val="1"/>
          <w:color w:val="auto"/>
        </w:rPr>
        <w:t>Jason Lettmann</w:t>
      </w:r>
    </w:p>
    <w:p>
      <w:pPr>
        <w:spacing w:after="0" w:line="2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20"/>
          <w:szCs w:val="20"/>
          <w:b w:val="1"/>
          <w:bCs w:val="1"/>
          <w:color w:val="auto"/>
        </w:rPr>
        <w:t>Chief Executive Officer</w:t>
      </w:r>
    </w:p>
    <w:p>
      <w:pPr>
        <w:spacing w:after="0" w:line="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20"/>
          <w:szCs w:val="20"/>
          <w:b w:val="1"/>
          <w:bCs w:val="1"/>
          <w:color w:val="auto"/>
        </w:rPr>
        <w:t>(Principal Executive Officer)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18" w:lineRule="exact"/>
        <w:rPr>
          <w:sz w:val="20"/>
          <w:szCs w:val="20"/>
          <w:color w:val="auto"/>
        </w:rPr>
      </w:pPr>
    </w:p>
    <w:p>
      <w:pPr>
        <w:ind w:right="160" w:firstLine="487"/>
        <w:spacing w:after="0" w:line="222" w:lineRule="auto"/>
        <w:rPr>
          <w:sz w:val="20"/>
          <w:szCs w:val="20"/>
          <w:color w:val="auto"/>
        </w:rPr>
      </w:pPr>
      <w:r>
        <w:rPr>
          <w:rFonts w:ascii="Times New Roman" w:cs="Times New Roman" w:eastAsia="Times New Roman" w:hAnsi="Times New Roman"/>
          <w:sz w:val="20"/>
          <w:szCs w:val="20"/>
          <w:color w:val="auto"/>
        </w:rPr>
        <w:t>KNOW ALL PERSONS BY THESE PRESENTS, that each person whose signature appears below constitutes and appoints Jason Lettmann and Harish Shantharam,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their substitute or substitutes, may lawfully do or cause to be done by virtue hereof.</w:t>
      </w:r>
    </w:p>
    <w:p>
      <w:pPr>
        <w:spacing w:after="0" w:line="188" w:lineRule="exact"/>
        <w:rPr>
          <w:sz w:val="20"/>
          <w:szCs w:val="20"/>
          <w:color w:val="auto"/>
        </w:rPr>
      </w:pPr>
    </w:p>
    <w:p>
      <w:pPr>
        <w:ind w:right="600" w:firstLine="487"/>
        <w:spacing w:after="0" w:line="25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120" w:type="dxa"/>
            <w:vAlign w:val="bottom"/>
          </w:tcPr>
          <w:p>
            <w:pPr>
              <w:spacing w:after="0"/>
              <w:rPr>
                <w:sz w:val="17"/>
                <w:szCs w:val="17"/>
                <w:color w:val="auto"/>
              </w:rPr>
            </w:pPr>
          </w:p>
        </w:tc>
        <w:tc>
          <w:tcPr>
            <w:tcW w:w="5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Title</w:t>
            </w:r>
          </w:p>
        </w:tc>
        <w:tc>
          <w:tcPr>
            <w:tcW w:w="120" w:type="dxa"/>
            <w:vAlign w:val="bottom"/>
          </w:tcPr>
          <w:p>
            <w:pPr>
              <w:spacing w:after="0"/>
              <w:rPr>
                <w:sz w:val="17"/>
                <w:szCs w:val="17"/>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308"/>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Jason Lettmann</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Executive Officer and Director</w:t>
            </w:r>
          </w:p>
        </w:tc>
        <w:tc>
          <w:tcPr>
            <w:tcW w:w="120" w:type="dxa"/>
            <w:vAlign w:val="bottom"/>
          </w:tcPr>
          <w:p>
            <w:pPr>
              <w:spacing w:after="0"/>
              <w:rPr>
                <w:sz w:val="24"/>
                <w:szCs w:val="24"/>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53"/>
        </w:trPr>
        <w:tc>
          <w:tcPr>
            <w:tcW w:w="35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i w:val="1"/>
                <w:iCs w:val="1"/>
                <w:color w:val="auto"/>
                <w:w w:val="99"/>
              </w:rPr>
              <w:t>Principal Executive Officer</w:t>
            </w:r>
            <w:r>
              <w:rPr>
                <w:rFonts w:ascii="Times New Roman" w:cs="Times New Roman" w:eastAsia="Times New Roman" w:hAnsi="Times New Roman"/>
                <w:sz w:val="20"/>
                <w:szCs w:val="20"/>
                <w:color w:val="auto"/>
                <w:w w:val="99"/>
              </w:rPr>
              <w:t>)</w:t>
            </w:r>
          </w:p>
        </w:tc>
        <w:tc>
          <w:tcPr>
            <w:tcW w:w="12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Jason Lettmann</w:t>
            </w:r>
          </w:p>
        </w:tc>
        <w:tc>
          <w:tcPr>
            <w:tcW w:w="1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Harish Shantharam</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Chief Financial Officer</w:t>
            </w:r>
          </w:p>
        </w:tc>
        <w:tc>
          <w:tcPr>
            <w:tcW w:w="120" w:type="dxa"/>
            <w:vAlign w:val="bottom"/>
          </w:tcPr>
          <w:p>
            <w:pPr>
              <w:spacing w:after="0"/>
              <w:rPr>
                <w:sz w:val="24"/>
                <w:szCs w:val="24"/>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53"/>
        </w:trPr>
        <w:tc>
          <w:tcPr>
            <w:tcW w:w="35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i w:val="1"/>
                <w:iCs w:val="1"/>
                <w:color w:val="auto"/>
                <w:w w:val="99"/>
              </w:rPr>
              <w:t>Principal Financial Officer</w:t>
            </w:r>
            <w:r>
              <w:rPr>
                <w:rFonts w:ascii="Times New Roman" w:cs="Times New Roman" w:eastAsia="Times New Roman" w:hAnsi="Times New Roman"/>
                <w:sz w:val="20"/>
                <w:szCs w:val="20"/>
                <w:color w:val="auto"/>
                <w:w w:val="99"/>
              </w:rPr>
              <w:t>)</w:t>
            </w:r>
          </w:p>
        </w:tc>
        <w:tc>
          <w:tcPr>
            <w:tcW w:w="12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Harish Shantharam</w:t>
            </w:r>
          </w:p>
        </w:tc>
        <w:tc>
          <w:tcPr>
            <w:tcW w:w="1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/s/ Shelly Pinto</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Senior Vice President, Finance and Chief Accounting Officer</w:t>
            </w:r>
          </w:p>
        </w:tc>
        <w:tc>
          <w:tcPr>
            <w:tcW w:w="120" w:type="dxa"/>
            <w:vAlign w:val="bottom"/>
          </w:tcPr>
          <w:p>
            <w:pPr>
              <w:spacing w:after="0"/>
              <w:rPr>
                <w:sz w:val="24"/>
                <w:szCs w:val="24"/>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51"/>
        </w:trPr>
        <w:tc>
          <w:tcPr>
            <w:tcW w:w="352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i w:val="1"/>
                <w:iCs w:val="1"/>
                <w:color w:val="auto"/>
                <w:w w:val="98"/>
              </w:rPr>
              <w:t>(Principal Accounting Officer)</w:t>
            </w:r>
          </w:p>
        </w:tc>
        <w:tc>
          <w:tcPr>
            <w:tcW w:w="12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Shelly Pinto</w:t>
            </w:r>
          </w:p>
        </w:tc>
        <w:tc>
          <w:tcPr>
            <w:tcW w:w="1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Corey Goodman</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Chairman of the Board of Directors</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58"/>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Corey Goodman, Ph.D.</w:t>
            </w:r>
          </w:p>
        </w:tc>
        <w:tc>
          <w:tcPr>
            <w:tcW w:w="1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Daniel Curran</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63"/>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Daniel Curran, M.D.</w:t>
            </w:r>
          </w:p>
        </w:tc>
        <w:tc>
          <w:tcPr>
            <w:tcW w:w="1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Scott Garland</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68"/>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Scott Garland</w:t>
            </w:r>
          </w:p>
        </w:tc>
        <w:tc>
          <w:tcPr>
            <w:tcW w:w="120" w:type="dxa"/>
            <w:vAlign w:val="bottom"/>
          </w:tcPr>
          <w:p>
            <w:pPr>
              <w:spacing w:after="0"/>
              <w:rPr>
                <w:sz w:val="23"/>
                <w:szCs w:val="23"/>
                <w:color w:val="auto"/>
              </w:rPr>
            </w:pPr>
          </w:p>
        </w:tc>
        <w:tc>
          <w:tcPr>
            <w:tcW w:w="5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Rekha Hemrajani</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63"/>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Rekha Hemrajani</w:t>
            </w:r>
          </w:p>
        </w:tc>
        <w:tc>
          <w:tcPr>
            <w:tcW w:w="1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Alan Sandler</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63"/>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Alan Sandler, M.D.</w:t>
            </w:r>
          </w:p>
        </w:tc>
        <w:tc>
          <w:tcPr>
            <w:tcW w:w="1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Chris H. Takimoto</w:t>
            </w:r>
          </w:p>
        </w:tc>
        <w:tc>
          <w:tcPr>
            <w:tcW w:w="12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12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March 9, 2026</w:t>
            </w:r>
          </w:p>
        </w:tc>
        <w:tc>
          <w:tcPr>
            <w:tcW w:w="0" w:type="dxa"/>
            <w:vAlign w:val="bottom"/>
          </w:tcPr>
          <w:p>
            <w:pPr>
              <w:spacing w:after="0"/>
              <w:rPr>
                <w:sz w:val="1"/>
                <w:szCs w:val="1"/>
                <w:color w:val="auto"/>
              </w:rPr>
            </w:pPr>
          </w:p>
        </w:tc>
      </w:tr>
      <w:tr>
        <w:trPr>
          <w:trHeight w:val="263"/>
        </w:trPr>
        <w:tc>
          <w:tcPr>
            <w:tcW w:w="3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Chris H. Takimoto, M.D., Ph.D., FACP</w:t>
            </w:r>
          </w:p>
        </w:tc>
        <w:tc>
          <w:tcPr>
            <w:tcW w:w="120" w:type="dxa"/>
            <w:vAlign w:val="bottom"/>
          </w:tcPr>
          <w:p>
            <w:pPr>
              <w:spacing w:after="0"/>
              <w:rPr>
                <w:sz w:val="22"/>
                <w:szCs w:val="22"/>
                <w:color w:val="auto"/>
              </w:rPr>
            </w:pP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720"/>
          </w:cols>
          <w:pgMar w:left="760" w:top="974" w:right="760" w:bottom="24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2240" w:h="15840" w:orient="portrait"/>
          <w:cols w:equalWidth="0" w:num="1">
            <w:col w:w="10720"/>
          </w:cols>
          <w:pgMar w:left="760" w:top="974" w:right="760" w:bottom="246" w:gutter="0" w:footer="0" w:header="0"/>
          <w:type w:val="continuous"/>
        </w:sectPr>
      </w:pPr>
    </w:p>
    <w:bookmarkStart w:id="146" w:name="page147"/>
    <w:bookmarkEnd w:id="1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wp:posOffset>
            </wp:positionH>
            <wp:positionV relativeFrom="page">
              <wp:posOffset>0</wp:posOffset>
            </wp:positionV>
            <wp:extent cx="7719060" cy="21056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7">
                      <a:extLst>
                        <a:ext uri="{28A0092B-C50C-407E-A947-70E740481C1C}"/>
                      </a:extLst>
                    </a:blip>
                    <a:srcRect/>
                    <a:stretch>
                      <a:fillRect/>
                    </a:stretch>
                  </pic:blipFill>
                  <pic:spPr bwMode="auto">
                    <a:xfrm>
                      <a:off x="0" y="0"/>
                      <a:ext cx="7719060" cy="210566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61"/>
          <w:szCs w:val="61"/>
          <w:color w:val="FFFFFF"/>
        </w:rPr>
        <w:t>Corporate Directory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-518795</wp:posOffset>
                </wp:positionH>
                <wp:positionV relativeFrom="paragraph">
                  <wp:posOffset>391795</wp:posOffset>
                </wp:positionV>
                <wp:extent cx="5947410" cy="23431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7410" cy="234315"/>
                        </a:xfrm>
                        <a:prstGeom prst="rect">
                          <a:avLst/>
                        </a:prstGeom>
                        <a:solidFill>
                          <a:srgbClr val="95D6D3"/>
                        </a:solidFill>
                      </wps:spPr>
                      <wps:bodyPr/>
                    </wps:wsp>
                  </a:graphicData>
                </a:graphic>
              </wp:anchor>
            </w:drawing>
          </mc:Choice>
          <mc:Fallback>
            <w:pict>
              <v:rect id="Shape 52" o:spid="_x0000_s1077" style="position:absolute;margin-left:-40.8499pt;margin-top:30.85pt;width:468.3pt;height:18.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95D6D3" stroked="f"/>
            </w:pict>
          </mc:Fallback>
        </mc:AlternateContent>
      </w:r>
    </w:p>
    <w:p>
      <w:pPr>
        <w:sectPr>
          <w:pgSz w:w="12240" w:h="15840" w:orient="portrait"/>
          <w:cols w:equalWidth="0" w:num="1">
            <w:col w:w="10800"/>
          </w:cols>
          <w:pgMar w:left="860" w:top="1440" w:right="5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56"/>
        </w:trPr>
        <w:tc>
          <w:tcPr>
            <w:tcW w:w="3060" w:type="dxa"/>
            <w:vAlign w:val="bottom"/>
          </w:tcPr>
          <w:p>
            <w:pPr>
              <w:spacing w:after="0"/>
              <w:rPr>
                <w:sz w:val="20"/>
                <w:szCs w:val="20"/>
                <w:color w:val="auto"/>
              </w:rPr>
            </w:pPr>
            <w:r>
              <w:rPr>
                <w:rFonts w:ascii="Arial" w:cs="Arial" w:eastAsia="Arial" w:hAnsi="Arial"/>
                <w:sz w:val="30"/>
                <w:szCs w:val="30"/>
                <w:color w:val="4BA6AB"/>
              </w:rPr>
              <w:t>Senior Leadership</w:t>
            </w:r>
          </w:p>
        </w:tc>
        <w:tc>
          <w:tcPr>
            <w:tcW w:w="4020" w:type="dxa"/>
            <w:vAlign w:val="bottom"/>
          </w:tcPr>
          <w:p>
            <w:pPr>
              <w:ind w:left="620"/>
              <w:spacing w:after="0"/>
              <w:rPr>
                <w:sz w:val="20"/>
                <w:szCs w:val="20"/>
                <w:color w:val="auto"/>
              </w:rPr>
            </w:pPr>
            <w:r>
              <w:rPr>
                <w:rFonts w:ascii="Arial" w:cs="Arial" w:eastAsia="Arial" w:hAnsi="Arial"/>
                <w:sz w:val="30"/>
                <w:szCs w:val="30"/>
                <w:color w:val="4BA6AB"/>
              </w:rPr>
              <w:t>Board of Directors</w:t>
            </w:r>
          </w:p>
        </w:tc>
        <w:tc>
          <w:tcPr>
            <w:tcW w:w="3560" w:type="dxa"/>
            <w:vAlign w:val="bottom"/>
          </w:tcPr>
          <w:p>
            <w:pPr>
              <w:ind w:left="280"/>
              <w:spacing w:after="0"/>
              <w:rPr>
                <w:sz w:val="20"/>
                <w:szCs w:val="20"/>
                <w:color w:val="auto"/>
              </w:rPr>
            </w:pPr>
            <w:r>
              <w:rPr>
                <w:rFonts w:ascii="Arial" w:cs="Arial" w:eastAsia="Arial" w:hAnsi="Arial"/>
                <w:sz w:val="30"/>
                <w:szCs w:val="30"/>
                <w:color w:val="4BA6AB"/>
              </w:rPr>
              <w:t>Corporate Headquarters</w:t>
            </w:r>
          </w:p>
        </w:tc>
        <w:tc>
          <w:tcPr>
            <w:tcW w:w="0" w:type="dxa"/>
            <w:vAlign w:val="bottom"/>
          </w:tcPr>
          <w:p>
            <w:pPr>
              <w:spacing w:after="0"/>
              <w:rPr>
                <w:sz w:val="1"/>
                <w:szCs w:val="1"/>
                <w:color w:val="auto"/>
              </w:rPr>
            </w:pPr>
          </w:p>
        </w:tc>
      </w:tr>
      <w:tr>
        <w:trPr>
          <w:trHeight w:val="495"/>
        </w:trPr>
        <w:tc>
          <w:tcPr>
            <w:tcW w:w="3060" w:type="dxa"/>
            <w:vAlign w:val="bottom"/>
          </w:tcPr>
          <w:p>
            <w:pPr>
              <w:spacing w:after="0"/>
              <w:rPr>
                <w:sz w:val="20"/>
                <w:szCs w:val="20"/>
                <w:color w:val="auto"/>
              </w:rPr>
            </w:pPr>
            <w:r>
              <w:rPr>
                <w:rFonts w:ascii="Arial" w:cs="Arial" w:eastAsia="Arial" w:hAnsi="Arial"/>
                <w:sz w:val="30"/>
                <w:szCs w:val="30"/>
                <w:color w:val="4BA6AB"/>
              </w:rPr>
              <w:t>Team</w:t>
            </w:r>
          </w:p>
        </w:tc>
        <w:tc>
          <w:tcPr>
            <w:tcW w:w="4020" w:type="dxa"/>
            <w:vAlign w:val="bottom"/>
          </w:tcPr>
          <w:p>
            <w:pPr>
              <w:ind w:left="620"/>
              <w:spacing w:after="0"/>
              <w:rPr>
                <w:sz w:val="20"/>
                <w:szCs w:val="20"/>
                <w:color w:val="auto"/>
              </w:rPr>
            </w:pPr>
            <w:r>
              <w:rPr>
                <w:rFonts w:ascii="Arial" w:cs="Arial" w:eastAsia="Arial" w:hAnsi="Arial"/>
                <w:sz w:val="18"/>
                <w:szCs w:val="18"/>
                <w:color w:val="000001"/>
              </w:rPr>
              <w:t>Corey Goodman, Ph.D.</w:t>
            </w:r>
          </w:p>
        </w:tc>
        <w:tc>
          <w:tcPr>
            <w:tcW w:w="3560" w:type="dxa"/>
            <w:vAlign w:val="bottom"/>
          </w:tcPr>
          <w:p>
            <w:pPr>
              <w:ind w:left="280"/>
              <w:spacing w:after="0"/>
              <w:rPr>
                <w:sz w:val="20"/>
                <w:szCs w:val="20"/>
                <w:color w:val="auto"/>
              </w:rPr>
            </w:pPr>
            <w:r>
              <w:rPr>
                <w:rFonts w:ascii="Arial" w:cs="Arial" w:eastAsia="Arial" w:hAnsi="Arial"/>
                <w:sz w:val="18"/>
                <w:szCs w:val="18"/>
                <w:color w:val="000001"/>
              </w:rPr>
              <w:t>ALX Oncology Holdings Inc.</w:t>
            </w:r>
          </w:p>
        </w:tc>
        <w:tc>
          <w:tcPr>
            <w:tcW w:w="0" w:type="dxa"/>
            <w:vAlign w:val="bottom"/>
          </w:tcPr>
          <w:p>
            <w:pPr>
              <w:spacing w:after="0"/>
              <w:rPr>
                <w:sz w:val="1"/>
                <w:szCs w:val="1"/>
                <w:color w:val="auto"/>
              </w:rPr>
            </w:pPr>
          </w:p>
        </w:tc>
      </w:tr>
      <w:tr>
        <w:trPr>
          <w:trHeight w:val="225"/>
        </w:trPr>
        <w:tc>
          <w:tcPr>
            <w:tcW w:w="3060" w:type="dxa"/>
            <w:vAlign w:val="bottom"/>
            <w:vMerge w:val="restart"/>
          </w:tcPr>
          <w:p>
            <w:pPr>
              <w:spacing w:after="0"/>
              <w:rPr>
                <w:sz w:val="20"/>
                <w:szCs w:val="20"/>
                <w:color w:val="auto"/>
              </w:rPr>
            </w:pPr>
            <w:r>
              <w:rPr>
                <w:rFonts w:ascii="Arial" w:cs="Arial" w:eastAsia="Arial" w:hAnsi="Arial"/>
                <w:sz w:val="18"/>
                <w:szCs w:val="18"/>
                <w:color w:val="000001"/>
              </w:rPr>
              <w:t>Jason Lettmann</w:t>
            </w:r>
          </w:p>
        </w:tc>
        <w:tc>
          <w:tcPr>
            <w:tcW w:w="4020" w:type="dxa"/>
            <w:vAlign w:val="bottom"/>
          </w:tcPr>
          <w:p>
            <w:pPr>
              <w:ind w:left="620"/>
              <w:spacing w:after="0"/>
              <w:rPr>
                <w:sz w:val="20"/>
                <w:szCs w:val="20"/>
                <w:color w:val="auto"/>
              </w:rPr>
            </w:pPr>
            <w:r>
              <w:rPr>
                <w:rFonts w:ascii="Arial" w:cs="Arial" w:eastAsia="Arial" w:hAnsi="Arial"/>
                <w:sz w:val="17"/>
                <w:szCs w:val="17"/>
                <w:color w:val="000001"/>
              </w:rPr>
              <w:t>Chairman and Cofounder,</w:t>
            </w:r>
          </w:p>
        </w:tc>
        <w:tc>
          <w:tcPr>
            <w:tcW w:w="3560" w:type="dxa"/>
            <w:vAlign w:val="bottom"/>
          </w:tcPr>
          <w:p>
            <w:pPr>
              <w:ind w:left="280"/>
              <w:spacing w:after="0"/>
              <w:rPr>
                <w:sz w:val="20"/>
                <w:szCs w:val="20"/>
                <w:color w:val="auto"/>
              </w:rPr>
            </w:pPr>
            <w:r>
              <w:rPr>
                <w:rFonts w:ascii="Arial" w:cs="Arial" w:eastAsia="Arial" w:hAnsi="Arial"/>
                <w:sz w:val="17"/>
                <w:szCs w:val="17"/>
                <w:color w:val="000001"/>
              </w:rPr>
              <w:t>323 Allerton Avenue</w:t>
            </w:r>
          </w:p>
        </w:tc>
        <w:tc>
          <w:tcPr>
            <w:tcW w:w="0" w:type="dxa"/>
            <w:vAlign w:val="bottom"/>
          </w:tcPr>
          <w:p>
            <w:pPr>
              <w:spacing w:after="0"/>
              <w:rPr>
                <w:sz w:val="1"/>
                <w:szCs w:val="1"/>
                <w:color w:val="auto"/>
              </w:rPr>
            </w:pPr>
          </w:p>
        </w:tc>
      </w:tr>
      <w:tr>
        <w:trPr>
          <w:trHeight w:val="131"/>
        </w:trPr>
        <w:tc>
          <w:tcPr>
            <w:tcW w:w="3060" w:type="dxa"/>
            <w:vAlign w:val="bottom"/>
            <w:vMerge w:val="continue"/>
          </w:tcPr>
          <w:p>
            <w:pPr>
              <w:spacing w:after="0"/>
              <w:rPr>
                <w:sz w:val="11"/>
                <w:szCs w:val="11"/>
                <w:color w:val="auto"/>
              </w:rPr>
            </w:pPr>
          </w:p>
        </w:tc>
        <w:tc>
          <w:tcPr>
            <w:tcW w:w="4020" w:type="dxa"/>
            <w:vAlign w:val="bottom"/>
            <w:vMerge w:val="restart"/>
          </w:tcPr>
          <w:p>
            <w:pPr>
              <w:ind w:left="620"/>
              <w:spacing w:after="0"/>
              <w:rPr>
                <w:sz w:val="20"/>
                <w:szCs w:val="20"/>
                <w:color w:val="auto"/>
              </w:rPr>
            </w:pPr>
            <w:r>
              <w:rPr>
                <w:rFonts w:ascii="Arial" w:cs="Arial" w:eastAsia="Arial" w:hAnsi="Arial"/>
                <w:sz w:val="17"/>
                <w:szCs w:val="17"/>
                <w:color w:val="000001"/>
              </w:rPr>
              <w:t>ALX Oncology</w:t>
            </w:r>
          </w:p>
        </w:tc>
        <w:tc>
          <w:tcPr>
            <w:tcW w:w="3560" w:type="dxa"/>
            <w:vAlign w:val="bottom"/>
            <w:vMerge w:val="restart"/>
          </w:tcPr>
          <w:p>
            <w:pPr>
              <w:ind w:left="280"/>
              <w:spacing w:after="0"/>
              <w:rPr>
                <w:sz w:val="20"/>
                <w:szCs w:val="20"/>
                <w:color w:val="auto"/>
              </w:rPr>
            </w:pPr>
            <w:r>
              <w:rPr>
                <w:rFonts w:ascii="Arial" w:cs="Arial" w:eastAsia="Arial" w:hAnsi="Arial"/>
                <w:sz w:val="17"/>
                <w:szCs w:val="17"/>
                <w:color w:val="000001"/>
              </w:rPr>
              <w:t>South San Francisco, CA 94080</w:t>
            </w:r>
          </w:p>
        </w:tc>
        <w:tc>
          <w:tcPr>
            <w:tcW w:w="0" w:type="dxa"/>
            <w:vAlign w:val="bottom"/>
          </w:tcPr>
          <w:p>
            <w:pPr>
              <w:spacing w:after="0"/>
              <w:rPr>
                <w:sz w:val="1"/>
                <w:szCs w:val="1"/>
                <w:color w:val="auto"/>
              </w:rPr>
            </w:pPr>
          </w:p>
        </w:tc>
      </w:tr>
      <w:tr>
        <w:trPr>
          <w:trHeight w:val="135"/>
        </w:trPr>
        <w:tc>
          <w:tcPr>
            <w:tcW w:w="3060" w:type="dxa"/>
            <w:vAlign w:val="bottom"/>
            <w:vMerge w:val="restart"/>
          </w:tcPr>
          <w:p>
            <w:pPr>
              <w:spacing w:after="0"/>
              <w:rPr>
                <w:sz w:val="20"/>
                <w:szCs w:val="20"/>
                <w:color w:val="auto"/>
              </w:rPr>
            </w:pPr>
            <w:r>
              <w:rPr>
                <w:rFonts w:ascii="Arial" w:cs="Arial" w:eastAsia="Arial" w:hAnsi="Arial"/>
                <w:sz w:val="17"/>
                <w:szCs w:val="17"/>
                <w:color w:val="000001"/>
              </w:rPr>
              <w:t>Chief Executive Officer</w:t>
            </w:r>
          </w:p>
        </w:tc>
        <w:tc>
          <w:tcPr>
            <w:tcW w:w="4020" w:type="dxa"/>
            <w:vAlign w:val="bottom"/>
            <w:vMerge w:val="continue"/>
          </w:tcPr>
          <w:p>
            <w:pPr>
              <w:spacing w:after="0"/>
              <w:rPr>
                <w:sz w:val="11"/>
                <w:szCs w:val="11"/>
                <w:color w:val="auto"/>
              </w:rPr>
            </w:pPr>
          </w:p>
        </w:tc>
        <w:tc>
          <w:tcPr>
            <w:tcW w:w="3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060" w:type="dxa"/>
            <w:vAlign w:val="bottom"/>
            <w:vMerge w:val="continue"/>
          </w:tcPr>
          <w:p>
            <w:pPr>
              <w:spacing w:after="0"/>
              <w:rPr>
                <w:sz w:val="11"/>
                <w:szCs w:val="11"/>
                <w:color w:val="auto"/>
              </w:rPr>
            </w:pPr>
          </w:p>
        </w:tc>
        <w:tc>
          <w:tcPr>
            <w:tcW w:w="4020" w:type="dxa"/>
            <w:vAlign w:val="bottom"/>
            <w:vMerge w:val="restart"/>
          </w:tcPr>
          <w:p>
            <w:pPr>
              <w:ind w:left="620"/>
              <w:spacing w:after="0" w:line="207" w:lineRule="exact"/>
              <w:rPr>
                <w:sz w:val="20"/>
                <w:szCs w:val="20"/>
                <w:color w:val="auto"/>
              </w:rPr>
            </w:pPr>
            <w:r>
              <w:rPr>
                <w:rFonts w:ascii="Arial" w:cs="Arial" w:eastAsia="Arial" w:hAnsi="Arial"/>
                <w:sz w:val="17"/>
                <w:szCs w:val="17"/>
                <w:color w:val="000001"/>
              </w:rPr>
              <w:t>ˀ˔ˡ˔˚˜ˡ˚</w:t>
            </w:r>
            <w:r>
              <w:rPr>
                <w:rFonts w:ascii="PMingLiU" w:cs="PMingLiU" w:eastAsia="PMingLiU" w:hAnsi="PMingLiU"/>
                <w:sz w:val="17"/>
                <w:szCs w:val="17"/>
                <w:color w:val="000001"/>
              </w:rPr>
              <w:t/>
            </w:r>
            <w:r>
              <w:rPr>
                <w:rFonts w:ascii="Arial" w:cs="Arial" w:eastAsia="Arial" w:hAnsi="Arial"/>
                <w:sz w:val="17"/>
                <w:szCs w:val="17"/>
                <w:color w:val="000001"/>
              </w:rPr>
              <w:t>˃˔˥˧ˡ˘˥ʟ</w:t>
            </w:r>
            <w:r>
              <w:rPr>
                <w:rFonts w:ascii="PMingLiU" w:cs="PMingLiU" w:eastAsia="PMingLiU" w:hAnsi="PMingLiU"/>
                <w:sz w:val="17"/>
                <w:szCs w:val="17"/>
                <w:color w:val="000001"/>
              </w:rPr>
              <w:t/>
            </w:r>
          </w:p>
        </w:tc>
        <w:tc>
          <w:tcPr>
            <w:tcW w:w="3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3560" w:type="dxa"/>
            <w:vAlign w:val="bottom"/>
            <w:vMerge w:val="restart"/>
          </w:tcPr>
          <w:p>
            <w:pPr>
              <w:ind w:left="280"/>
              <w:spacing w:after="0"/>
              <w:rPr>
                <w:sz w:val="20"/>
                <w:szCs w:val="20"/>
                <w:color w:val="auto"/>
              </w:rPr>
            </w:pPr>
            <w:r>
              <w:rPr>
                <w:rFonts w:ascii="Arial" w:cs="Arial" w:eastAsia="Arial" w:hAnsi="Arial"/>
                <w:sz w:val="30"/>
                <w:szCs w:val="30"/>
                <w:color w:val="4BA6AB"/>
              </w:rPr>
              <w:t>For More Information</w:t>
            </w:r>
          </w:p>
        </w:tc>
        <w:tc>
          <w:tcPr>
            <w:tcW w:w="0" w:type="dxa"/>
            <w:vAlign w:val="bottom"/>
          </w:tcPr>
          <w:p>
            <w:pPr>
              <w:spacing w:after="0"/>
              <w:rPr>
                <w:sz w:val="1"/>
                <w:szCs w:val="1"/>
                <w:color w:val="auto"/>
              </w:rPr>
            </w:pPr>
          </w:p>
        </w:tc>
      </w:tr>
      <w:tr>
        <w:trPr>
          <w:trHeight w:val="366"/>
        </w:trPr>
        <w:tc>
          <w:tcPr>
            <w:tcW w:w="3060" w:type="dxa"/>
            <w:vAlign w:val="bottom"/>
          </w:tcPr>
          <w:p>
            <w:pPr>
              <w:spacing w:after="0"/>
              <w:rPr>
                <w:sz w:val="20"/>
                <w:szCs w:val="20"/>
                <w:color w:val="auto"/>
              </w:rPr>
            </w:pPr>
            <w:r>
              <w:rPr>
                <w:rFonts w:ascii="Arial" w:cs="Arial" w:eastAsia="Arial" w:hAnsi="Arial"/>
                <w:sz w:val="18"/>
                <w:szCs w:val="18"/>
                <w:color w:val="000001"/>
              </w:rPr>
              <w:t>Barbara Klencke, M.D.</w:t>
            </w:r>
          </w:p>
        </w:tc>
        <w:tc>
          <w:tcPr>
            <w:tcW w:w="4020" w:type="dxa"/>
            <w:vAlign w:val="bottom"/>
          </w:tcPr>
          <w:p>
            <w:pPr>
              <w:ind w:left="620"/>
              <w:spacing w:after="0" w:line="207" w:lineRule="exact"/>
              <w:rPr>
                <w:sz w:val="20"/>
                <w:szCs w:val="20"/>
                <w:color w:val="auto"/>
              </w:rPr>
            </w:pPr>
            <w:r>
              <w:rPr>
                <w:rFonts w:ascii="Arial" w:cs="Arial" w:eastAsia="Arial" w:hAnsi="Arial"/>
                <w:sz w:val="17"/>
                <w:szCs w:val="17"/>
                <w:color w:val="000001"/>
              </w:rPr>
              <w:t>˩˘ˡʵ˜ˢ</w:t>
            </w:r>
            <w:r>
              <w:rPr>
                <w:rFonts w:ascii="PMingLiU" w:cs="PMingLiU" w:eastAsia="PMingLiU" w:hAnsi="PMingLiU"/>
                <w:sz w:val="17"/>
                <w:szCs w:val="17"/>
                <w:color w:val="000001"/>
              </w:rPr>
              <w:t/>
            </w:r>
            <w:r>
              <w:rPr>
                <w:rFonts w:ascii="Arial" w:cs="Arial" w:eastAsia="Arial" w:hAnsi="Arial"/>
                <w:sz w:val="17"/>
                <w:szCs w:val="17"/>
                <w:color w:val="000001"/>
              </w:rPr>
              <w:t>˃˔˥˧ˡ˘˥˦</w:t>
            </w: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060" w:type="dxa"/>
            <w:vAlign w:val="bottom"/>
          </w:tcPr>
          <w:p>
            <w:pPr>
              <w:spacing w:after="0" w:line="207" w:lineRule="exact"/>
              <w:rPr>
                <w:sz w:val="20"/>
                <w:szCs w:val="20"/>
                <w:color w:val="auto"/>
              </w:rPr>
            </w:pPr>
            <w:r>
              <w:rPr>
                <w:rFonts w:ascii="Arial" w:cs="Arial" w:eastAsia="Arial" w:hAnsi="Arial"/>
                <w:sz w:val="17"/>
                <w:szCs w:val="17"/>
                <w:color w:val="000001"/>
              </w:rPr>
              <w:t>ʶ˛˜˘˙</w:t>
            </w:r>
            <w:r>
              <w:rPr>
                <w:rFonts w:ascii="PMingLiU" w:cs="PMingLiU" w:eastAsia="PMingLiU" w:hAnsi="PMingLiU"/>
                <w:sz w:val="17"/>
                <w:szCs w:val="17"/>
                <w:color w:val="000001"/>
              </w:rPr>
              <w:t/>
            </w:r>
            <w:r>
              <w:rPr>
                <w:rFonts w:ascii="Arial" w:cs="Arial" w:eastAsia="Arial" w:hAnsi="Arial"/>
                <w:sz w:val="17"/>
                <w:szCs w:val="17"/>
                <w:color w:val="000001"/>
              </w:rPr>
              <w:t>ˀ˘˗˜˖˔˟</w:t>
            </w:r>
            <w:r>
              <w:rPr>
                <w:rFonts w:ascii="PMingLiU" w:cs="PMingLiU" w:eastAsia="PMingLiU" w:hAnsi="PMingLiU"/>
                <w:sz w:val="17"/>
                <w:szCs w:val="17"/>
                <w:color w:val="000001"/>
              </w:rPr>
              <w:t/>
            </w:r>
            <w:r>
              <w:rPr>
                <w:rFonts w:ascii="Arial" w:cs="Arial" w:eastAsia="Arial" w:hAnsi="Arial"/>
                <w:sz w:val="17"/>
                <w:szCs w:val="17"/>
                <w:color w:val="000001"/>
              </w:rPr>
              <w:t>˂˙˙˜˖˘˥</w:t>
            </w:r>
          </w:p>
        </w:tc>
        <w:tc>
          <w:tcPr>
            <w:tcW w:w="4020" w:type="dxa"/>
            <w:vAlign w:val="bottom"/>
            <w:vMerge w:val="restart"/>
          </w:tcPr>
          <w:p>
            <w:pPr>
              <w:ind w:left="620"/>
              <w:spacing w:after="0"/>
              <w:rPr>
                <w:sz w:val="20"/>
                <w:szCs w:val="20"/>
                <w:color w:val="auto"/>
              </w:rPr>
            </w:pPr>
            <w:r>
              <w:rPr>
                <w:rFonts w:ascii="Arial" w:cs="Arial" w:eastAsia="Arial" w:hAnsi="Arial"/>
                <w:sz w:val="18"/>
                <w:szCs w:val="18"/>
                <w:color w:val="000001"/>
              </w:rPr>
              <w:t>Daniel J. Curran, M.D.</w:t>
            </w:r>
          </w:p>
        </w:tc>
        <w:tc>
          <w:tcPr>
            <w:tcW w:w="3560" w:type="dxa"/>
            <w:vAlign w:val="bottom"/>
            <w:vMerge w:val="restart"/>
          </w:tcPr>
          <w:p>
            <w:pPr>
              <w:ind w:left="280"/>
              <w:spacing w:after="0"/>
              <w:rPr>
                <w:sz w:val="20"/>
                <w:szCs w:val="20"/>
                <w:color w:val="auto"/>
              </w:rPr>
            </w:pPr>
            <w:r>
              <w:rPr>
                <w:rFonts w:ascii="Arial" w:cs="Arial" w:eastAsia="Arial" w:hAnsi="Arial"/>
                <w:sz w:val="18"/>
                <w:szCs w:val="18"/>
                <w:color w:val="000001"/>
              </w:rPr>
              <w:t>Elhan Webb, CFA</w:t>
            </w: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3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3060" w:type="dxa"/>
            <w:vAlign w:val="bottom"/>
            <w:vMerge w:val="restart"/>
          </w:tcPr>
          <w:p>
            <w:pPr>
              <w:spacing w:after="0"/>
              <w:rPr>
                <w:sz w:val="20"/>
                <w:szCs w:val="20"/>
                <w:color w:val="auto"/>
              </w:rPr>
            </w:pPr>
            <w:r>
              <w:rPr>
                <w:rFonts w:ascii="Arial" w:cs="Arial" w:eastAsia="Arial" w:hAnsi="Arial"/>
                <w:sz w:val="18"/>
                <w:szCs w:val="18"/>
                <w:color w:val="000001"/>
              </w:rPr>
              <w:t>Jeff Knight</w:t>
            </w:r>
          </w:p>
        </w:tc>
        <w:tc>
          <w:tcPr>
            <w:tcW w:w="4020" w:type="dxa"/>
            <w:vAlign w:val="bottom"/>
          </w:tcPr>
          <w:p>
            <w:pPr>
              <w:ind w:left="620"/>
              <w:spacing w:after="0" w:line="207" w:lineRule="exact"/>
              <w:rPr>
                <w:sz w:val="20"/>
                <w:szCs w:val="20"/>
                <w:color w:val="auto"/>
              </w:rPr>
            </w:pPr>
            <w:r>
              <w:rPr>
                <w:rFonts w:ascii="Arial" w:cs="Arial" w:eastAsia="Arial" w:hAnsi="Arial"/>
                <w:sz w:val="17"/>
                <w:szCs w:val="17"/>
                <w:color w:val="auto"/>
              </w:rPr>
              <w:t>ˀ˔ˡ˔˚˜ˡ˚</w:t>
            </w:r>
            <w:r>
              <w:rPr>
                <w:rFonts w:ascii="PMingLiU" w:cs="PMingLiU" w:eastAsia="PMingLiU" w:hAnsi="PMingLiU"/>
                <w:sz w:val="17"/>
                <w:szCs w:val="17"/>
                <w:color w:val="auto"/>
              </w:rPr>
              <w:t/>
            </w:r>
            <w:r>
              <w:rPr>
                <w:rFonts w:ascii="Arial" w:cs="Arial" w:eastAsia="Arial" w:hAnsi="Arial"/>
                <w:sz w:val="17"/>
                <w:szCs w:val="17"/>
                <w:color w:val="auto"/>
              </w:rPr>
              <w:t>˃˔˥˧ˡ˘˥ʟ</w:t>
            </w:r>
          </w:p>
        </w:tc>
        <w:tc>
          <w:tcPr>
            <w:tcW w:w="3560" w:type="dxa"/>
            <w:vAlign w:val="bottom"/>
            <w:vMerge w:val="restart"/>
          </w:tcPr>
          <w:p>
            <w:pPr>
              <w:ind w:left="280"/>
              <w:spacing w:after="0"/>
              <w:rPr>
                <w:sz w:val="20"/>
                <w:szCs w:val="20"/>
                <w:color w:val="auto"/>
              </w:rPr>
            </w:pPr>
            <w:r>
              <w:rPr>
                <w:rFonts w:ascii="Arial" w:cs="Arial" w:eastAsia="Arial" w:hAnsi="Arial"/>
                <w:sz w:val="17"/>
                <w:szCs w:val="17"/>
                <w:color w:val="000001"/>
              </w:rPr>
              <w:t>Investor Relations Consultant</w:t>
            </w:r>
          </w:p>
        </w:tc>
        <w:tc>
          <w:tcPr>
            <w:tcW w:w="0" w:type="dxa"/>
            <w:vAlign w:val="bottom"/>
          </w:tcPr>
          <w:p>
            <w:pPr>
              <w:spacing w:after="0"/>
              <w:rPr>
                <w:sz w:val="1"/>
                <w:szCs w:val="1"/>
                <w:color w:val="auto"/>
              </w:rPr>
            </w:pPr>
          </w:p>
        </w:tc>
      </w:tr>
      <w:tr>
        <w:trPr>
          <w:trHeight w:val="70"/>
        </w:trPr>
        <w:tc>
          <w:tcPr>
            <w:tcW w:w="3060" w:type="dxa"/>
            <w:vAlign w:val="bottom"/>
            <w:vMerge w:val="continue"/>
          </w:tcPr>
          <w:p>
            <w:pPr>
              <w:spacing w:after="0"/>
              <w:rPr>
                <w:sz w:val="6"/>
                <w:szCs w:val="6"/>
                <w:color w:val="auto"/>
              </w:rPr>
            </w:pPr>
          </w:p>
        </w:tc>
        <w:tc>
          <w:tcPr>
            <w:tcW w:w="4020" w:type="dxa"/>
            <w:vAlign w:val="bottom"/>
            <w:vMerge w:val="restart"/>
          </w:tcPr>
          <w:p>
            <w:pPr>
              <w:ind w:left="620"/>
              <w:spacing w:after="0" w:line="207" w:lineRule="exact"/>
              <w:rPr>
                <w:sz w:val="20"/>
                <w:szCs w:val="20"/>
                <w:color w:val="auto"/>
              </w:rPr>
            </w:pPr>
            <w:r>
              <w:rPr>
                <w:rFonts w:ascii="Arial" w:cs="Arial" w:eastAsia="Arial" w:hAnsi="Arial"/>
                <w:sz w:val="17"/>
                <w:szCs w:val="17"/>
                <w:color w:val="auto"/>
              </w:rPr>
              <w:t>ˀˢ˨ˡ˧˔˜ˡ˙˜˘˟˗</w:t>
            </w:r>
            <w:r>
              <w:rPr>
                <w:rFonts w:ascii="PMingLiU" w:cs="PMingLiU" w:eastAsia="PMingLiU" w:hAnsi="PMingLiU"/>
                <w:sz w:val="17"/>
                <w:szCs w:val="17"/>
                <w:color w:val="auto"/>
              </w:rPr>
              <w:t/>
            </w:r>
            <w:r>
              <w:rPr>
                <w:rFonts w:ascii="Arial" w:cs="Arial" w:eastAsia="Arial" w:hAnsi="Arial"/>
                <w:sz w:val="17"/>
                <w:szCs w:val="17"/>
                <w:color w:val="auto"/>
              </w:rPr>
              <w:t>ˉ˘ˡ˧˨˥˘</w:t>
            </w:r>
            <w:r>
              <w:rPr>
                <w:rFonts w:ascii="PMingLiU" w:cs="PMingLiU" w:eastAsia="PMingLiU" w:hAnsi="PMingLiU"/>
                <w:sz w:val="17"/>
                <w:szCs w:val="17"/>
                <w:color w:val="auto"/>
              </w:rPr>
              <w:t/>
            </w:r>
            <w:r>
              <w:rPr>
                <w:rFonts w:ascii="Arial" w:cs="Arial" w:eastAsia="Arial" w:hAnsi="Arial"/>
                <w:sz w:val="17"/>
                <w:szCs w:val="17"/>
                <w:color w:val="auto"/>
              </w:rPr>
              <w:t>˃˔˥˧ˡ˘˥˦ʟ</w:t>
            </w:r>
            <w:r>
              <w:rPr>
                <w:rFonts w:ascii="PMingLiU" w:cs="PMingLiU" w:eastAsia="PMingLiU" w:hAnsi="PMingLiU"/>
                <w:sz w:val="17"/>
                <w:szCs w:val="17"/>
                <w:color w:val="auto"/>
              </w:rPr>
              <w:t/>
            </w:r>
            <w:r>
              <w:rPr>
                <w:rFonts w:ascii="Arial" w:cs="Arial" w:eastAsia="Arial" w:hAnsi="Arial"/>
                <w:sz w:val="17"/>
                <w:szCs w:val="17"/>
                <w:color w:val="auto"/>
              </w:rPr>
              <w:t>ʿʿʶ</w:t>
            </w: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060" w:type="dxa"/>
            <w:vAlign w:val="bottom"/>
            <w:vMerge w:val="restart"/>
          </w:tcPr>
          <w:p>
            <w:pPr>
              <w:spacing w:after="0"/>
              <w:rPr>
                <w:sz w:val="20"/>
                <w:szCs w:val="20"/>
                <w:color w:val="auto"/>
              </w:rPr>
            </w:pPr>
            <w:r>
              <w:rPr>
                <w:rFonts w:ascii="Arial" w:cs="Arial" w:eastAsia="Arial" w:hAnsi="Arial"/>
                <w:sz w:val="17"/>
                <w:szCs w:val="17"/>
                <w:color w:val="000001"/>
              </w:rPr>
              <w:t>Chief Development &amp;</w:t>
            </w:r>
          </w:p>
        </w:tc>
        <w:tc>
          <w:tcPr>
            <w:tcW w:w="4020" w:type="dxa"/>
            <w:vAlign w:val="bottom"/>
            <w:vMerge w:val="continue"/>
          </w:tcPr>
          <w:p>
            <w:pPr>
              <w:spacing w:after="0"/>
              <w:rPr>
                <w:sz w:val="15"/>
                <w:szCs w:val="15"/>
                <w:color w:val="auto"/>
              </w:rPr>
            </w:pPr>
          </w:p>
        </w:tc>
        <w:tc>
          <w:tcPr>
            <w:tcW w:w="3560" w:type="dxa"/>
            <w:vAlign w:val="bottom"/>
            <w:vMerge w:val="restart"/>
          </w:tcPr>
          <w:p>
            <w:pPr>
              <w:ind w:left="280"/>
              <w:spacing w:after="0"/>
              <w:rPr>
                <w:sz w:val="20"/>
                <w:szCs w:val="20"/>
                <w:color w:val="auto"/>
              </w:rPr>
            </w:pPr>
            <w:r>
              <w:rPr>
                <w:rFonts w:ascii="Arial" w:cs="Arial" w:eastAsia="Arial" w:hAnsi="Arial"/>
                <w:sz w:val="17"/>
                <w:szCs w:val="17"/>
                <w:color w:val="000001"/>
              </w:rPr>
              <w:t>ewebb@alxoncology.com</w:t>
            </w:r>
          </w:p>
        </w:tc>
        <w:tc>
          <w:tcPr>
            <w:tcW w:w="0" w:type="dxa"/>
            <w:vAlign w:val="bottom"/>
          </w:tcPr>
          <w:p>
            <w:pPr>
              <w:spacing w:after="0"/>
              <w:rPr>
                <w:sz w:val="1"/>
                <w:szCs w:val="1"/>
                <w:color w:val="auto"/>
              </w:rPr>
            </w:pPr>
          </w:p>
        </w:tc>
      </w:tr>
      <w:tr>
        <w:trPr>
          <w:trHeight w:val="48"/>
        </w:trPr>
        <w:tc>
          <w:tcPr>
            <w:tcW w:w="3060" w:type="dxa"/>
            <w:vAlign w:val="bottom"/>
            <w:vMerge w:val="continue"/>
          </w:tcPr>
          <w:p>
            <w:pPr>
              <w:spacing w:after="0"/>
              <w:rPr>
                <w:sz w:val="4"/>
                <w:szCs w:val="4"/>
                <w:color w:val="auto"/>
              </w:rPr>
            </w:pPr>
          </w:p>
        </w:tc>
        <w:tc>
          <w:tcPr>
            <w:tcW w:w="4020" w:type="dxa"/>
            <w:vAlign w:val="bottom"/>
            <w:vMerge w:val="restart"/>
          </w:tcPr>
          <w:p>
            <w:pPr>
              <w:ind w:left="620"/>
              <w:spacing w:after="0"/>
              <w:rPr>
                <w:sz w:val="20"/>
                <w:szCs w:val="20"/>
                <w:color w:val="auto"/>
              </w:rPr>
            </w:pPr>
            <w:r>
              <w:rPr>
                <w:rFonts w:ascii="Arial" w:cs="Arial" w:eastAsia="Arial" w:hAnsi="Arial"/>
                <w:sz w:val="17"/>
                <w:szCs w:val="17"/>
                <w:color w:val="auto"/>
              </w:rPr>
              <w:t>Chief Executive Officer,</w:t>
            </w:r>
          </w:p>
        </w:tc>
        <w:tc>
          <w:tcPr>
            <w:tcW w:w="3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060" w:type="dxa"/>
            <w:vAlign w:val="bottom"/>
            <w:vMerge w:val="continue"/>
          </w:tcPr>
          <w:p>
            <w:pPr>
              <w:spacing w:after="0"/>
              <w:rPr>
                <w:sz w:val="6"/>
                <w:szCs w:val="6"/>
                <w:color w:val="auto"/>
              </w:rPr>
            </w:pPr>
          </w:p>
        </w:tc>
        <w:tc>
          <w:tcPr>
            <w:tcW w:w="4020" w:type="dxa"/>
            <w:vAlign w:val="bottom"/>
            <w:vMerge w:val="continue"/>
          </w:tcPr>
          <w:p>
            <w:pPr>
              <w:spacing w:after="0"/>
              <w:rPr>
                <w:sz w:val="6"/>
                <w:szCs w:val="6"/>
                <w:color w:val="auto"/>
              </w:rPr>
            </w:pPr>
          </w:p>
        </w:tc>
        <w:tc>
          <w:tcPr>
            <w:tcW w:w="3560" w:type="dxa"/>
            <w:vAlign w:val="bottom"/>
            <w:vMerge w:val="restart"/>
          </w:tcPr>
          <w:p>
            <w:pPr>
              <w:ind w:left="280"/>
              <w:spacing w:after="0"/>
              <w:rPr>
                <w:sz w:val="20"/>
                <w:szCs w:val="20"/>
                <w:color w:val="auto"/>
              </w:rPr>
            </w:pPr>
            <w:r>
              <w:rPr>
                <w:rFonts w:ascii="Arial" w:cs="Arial" w:eastAsia="Arial" w:hAnsi="Arial"/>
                <w:sz w:val="17"/>
                <w:szCs w:val="17"/>
                <w:color w:val="000001"/>
              </w:rPr>
              <w:t>Tel: 650.466.7125</w:t>
            </w:r>
          </w:p>
        </w:tc>
        <w:tc>
          <w:tcPr>
            <w:tcW w:w="0" w:type="dxa"/>
            <w:vAlign w:val="bottom"/>
          </w:tcPr>
          <w:p>
            <w:pPr>
              <w:spacing w:after="0"/>
              <w:rPr>
                <w:sz w:val="1"/>
                <w:szCs w:val="1"/>
                <w:color w:val="auto"/>
              </w:rPr>
            </w:pPr>
          </w:p>
        </w:tc>
      </w:tr>
      <w:tr>
        <w:trPr>
          <w:trHeight w:val="125"/>
        </w:trPr>
        <w:tc>
          <w:tcPr>
            <w:tcW w:w="3060" w:type="dxa"/>
            <w:vAlign w:val="bottom"/>
            <w:vMerge w:val="restart"/>
          </w:tcPr>
          <w:p>
            <w:pPr>
              <w:spacing w:after="0"/>
              <w:rPr>
                <w:sz w:val="20"/>
                <w:szCs w:val="20"/>
                <w:color w:val="auto"/>
              </w:rPr>
            </w:pPr>
            <w:r>
              <w:rPr>
                <w:rFonts w:ascii="Arial" w:cs="Arial" w:eastAsia="Arial" w:hAnsi="Arial"/>
                <w:sz w:val="17"/>
                <w:szCs w:val="17"/>
                <w:color w:val="000001"/>
              </w:rPr>
              <w:t>Operating Officer</w:t>
            </w:r>
          </w:p>
        </w:tc>
        <w:tc>
          <w:tcPr>
            <w:tcW w:w="4020" w:type="dxa"/>
            <w:vAlign w:val="bottom"/>
            <w:vMerge w:val="continue"/>
          </w:tcPr>
          <w:p>
            <w:pPr>
              <w:spacing w:after="0"/>
              <w:rPr>
                <w:sz w:val="10"/>
                <w:szCs w:val="10"/>
                <w:color w:val="auto"/>
              </w:rPr>
            </w:pPr>
          </w:p>
        </w:tc>
        <w:tc>
          <w:tcPr>
            <w:tcW w:w="3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60" w:type="dxa"/>
            <w:vAlign w:val="bottom"/>
            <w:vMerge w:val="continue"/>
          </w:tcPr>
          <w:p>
            <w:pPr>
              <w:spacing w:after="0"/>
              <w:rPr>
                <w:sz w:val="12"/>
                <w:szCs w:val="12"/>
                <w:color w:val="auto"/>
              </w:rPr>
            </w:pPr>
          </w:p>
        </w:tc>
        <w:tc>
          <w:tcPr>
            <w:tcW w:w="4020" w:type="dxa"/>
            <w:vAlign w:val="bottom"/>
            <w:vMerge w:val="restart"/>
          </w:tcPr>
          <w:p>
            <w:pPr>
              <w:ind w:left="620"/>
              <w:spacing w:after="0"/>
              <w:rPr>
                <w:sz w:val="20"/>
                <w:szCs w:val="20"/>
                <w:color w:val="auto"/>
              </w:rPr>
            </w:pPr>
            <w:r>
              <w:rPr>
                <w:rFonts w:ascii="Arial" w:cs="Arial" w:eastAsia="Arial" w:hAnsi="Arial"/>
                <w:sz w:val="17"/>
                <w:szCs w:val="17"/>
                <w:color w:val="auto"/>
              </w:rPr>
              <w:t>Timberlyne Therapeutics</w:t>
            </w: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3060" w:type="dxa"/>
            <w:vAlign w:val="bottom"/>
          </w:tcPr>
          <w:p>
            <w:pPr>
              <w:spacing w:after="0"/>
              <w:rPr>
                <w:sz w:val="10"/>
                <w:szCs w:val="10"/>
                <w:color w:val="auto"/>
              </w:rPr>
            </w:pPr>
          </w:p>
        </w:tc>
        <w:tc>
          <w:tcPr>
            <w:tcW w:w="4020" w:type="dxa"/>
            <w:vAlign w:val="bottom"/>
            <w:vMerge w:val="continue"/>
          </w:tcPr>
          <w:p>
            <w:pPr>
              <w:spacing w:after="0"/>
              <w:rPr>
                <w:sz w:val="10"/>
                <w:szCs w:val="10"/>
                <w:color w:val="auto"/>
              </w:rPr>
            </w:pPr>
          </w:p>
        </w:tc>
        <w:tc>
          <w:tcPr>
            <w:tcW w:w="3560" w:type="dxa"/>
            <w:vAlign w:val="bottom"/>
            <w:vMerge w:val="restart"/>
          </w:tcPr>
          <w:p>
            <w:pPr>
              <w:ind w:left="280"/>
              <w:spacing w:after="0"/>
              <w:rPr>
                <w:sz w:val="20"/>
                <w:szCs w:val="20"/>
                <w:color w:val="auto"/>
              </w:rPr>
            </w:pPr>
            <w:r>
              <w:rPr>
                <w:rFonts w:ascii="Arial" w:cs="Arial" w:eastAsia="Arial" w:hAnsi="Arial"/>
                <w:sz w:val="30"/>
                <w:szCs w:val="30"/>
                <w:color w:val="4BA6AB"/>
              </w:rPr>
              <w:t>Transfer Agent</w:t>
            </w:r>
          </w:p>
        </w:tc>
        <w:tc>
          <w:tcPr>
            <w:tcW w:w="0" w:type="dxa"/>
            <w:vAlign w:val="bottom"/>
          </w:tcPr>
          <w:p>
            <w:pPr>
              <w:spacing w:after="0"/>
              <w:rPr>
                <w:sz w:val="1"/>
                <w:szCs w:val="1"/>
                <w:color w:val="auto"/>
              </w:rPr>
            </w:pPr>
          </w:p>
        </w:tc>
      </w:tr>
      <w:tr>
        <w:trPr>
          <w:trHeight w:val="330"/>
        </w:trPr>
        <w:tc>
          <w:tcPr>
            <w:tcW w:w="3060" w:type="dxa"/>
            <w:vAlign w:val="bottom"/>
          </w:tcPr>
          <w:p>
            <w:pPr>
              <w:spacing w:after="0"/>
              <w:rPr>
                <w:sz w:val="20"/>
                <w:szCs w:val="20"/>
                <w:color w:val="auto"/>
              </w:rPr>
            </w:pPr>
            <w:r>
              <w:rPr>
                <w:rFonts w:ascii="Arial" w:cs="Arial" w:eastAsia="Arial" w:hAnsi="Arial"/>
                <w:sz w:val="18"/>
                <w:szCs w:val="18"/>
                <w:color w:val="000001"/>
              </w:rPr>
              <w:t>Harish Shantharam, CFA</w:t>
            </w:r>
          </w:p>
        </w:tc>
        <w:tc>
          <w:tcPr>
            <w:tcW w:w="4020" w:type="dxa"/>
            <w:vAlign w:val="bottom"/>
            <w:vMerge w:val="restart"/>
          </w:tcPr>
          <w:p>
            <w:pPr>
              <w:ind w:left="620"/>
              <w:spacing w:after="0"/>
              <w:rPr>
                <w:sz w:val="20"/>
                <w:szCs w:val="20"/>
                <w:color w:val="auto"/>
              </w:rPr>
            </w:pPr>
            <w:r>
              <w:rPr>
                <w:rFonts w:ascii="Arial" w:cs="Arial" w:eastAsia="Arial" w:hAnsi="Arial"/>
                <w:sz w:val="18"/>
                <w:szCs w:val="18"/>
                <w:color w:val="000001"/>
              </w:rPr>
              <w:t>Scott Garland</w:t>
            </w:r>
          </w:p>
        </w:tc>
        <w:tc>
          <w:tcPr>
            <w:tcW w:w="3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3060" w:type="dxa"/>
            <w:vAlign w:val="bottom"/>
            <w:vMerge w:val="restart"/>
          </w:tcPr>
          <w:p>
            <w:pPr>
              <w:spacing w:after="0"/>
              <w:rPr>
                <w:sz w:val="20"/>
                <w:szCs w:val="20"/>
                <w:color w:val="auto"/>
              </w:rPr>
            </w:pPr>
            <w:r>
              <w:rPr>
                <w:rFonts w:ascii="Arial" w:cs="Arial" w:eastAsia="Arial" w:hAnsi="Arial"/>
                <w:sz w:val="17"/>
                <w:szCs w:val="17"/>
                <w:color w:val="000001"/>
              </w:rPr>
              <w:t>Chief Financial Officer</w:t>
            </w:r>
          </w:p>
        </w:tc>
        <w:tc>
          <w:tcPr>
            <w:tcW w:w="4020" w:type="dxa"/>
            <w:vAlign w:val="bottom"/>
            <w:vMerge w:val="continue"/>
          </w:tcPr>
          <w:p>
            <w:pPr>
              <w:spacing w:after="0"/>
              <w:rPr>
                <w:sz w:val="10"/>
                <w:szCs w:val="10"/>
                <w:color w:val="auto"/>
              </w:rPr>
            </w:pPr>
          </w:p>
        </w:tc>
        <w:tc>
          <w:tcPr>
            <w:tcW w:w="3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60" w:type="dxa"/>
            <w:vAlign w:val="bottom"/>
            <w:vMerge w:val="continue"/>
          </w:tcPr>
          <w:p>
            <w:pPr>
              <w:spacing w:after="0"/>
              <w:rPr>
                <w:sz w:val="12"/>
                <w:szCs w:val="12"/>
                <w:color w:val="auto"/>
              </w:rPr>
            </w:pPr>
          </w:p>
        </w:tc>
        <w:tc>
          <w:tcPr>
            <w:tcW w:w="4020" w:type="dxa"/>
            <w:vAlign w:val="bottom"/>
            <w:vMerge w:val="restart"/>
          </w:tcPr>
          <w:p>
            <w:pPr>
              <w:ind w:left="620"/>
              <w:spacing w:after="0"/>
              <w:rPr>
                <w:sz w:val="20"/>
                <w:szCs w:val="20"/>
                <w:color w:val="auto"/>
              </w:rPr>
            </w:pPr>
            <w:r>
              <w:rPr>
                <w:rFonts w:ascii="Arial" w:cs="Arial" w:eastAsia="Arial" w:hAnsi="Arial"/>
                <w:sz w:val="17"/>
                <w:szCs w:val="17"/>
                <w:color w:val="000001"/>
              </w:rPr>
              <w:t>Former Chief Executive Officer,</w:t>
            </w:r>
          </w:p>
        </w:tc>
        <w:tc>
          <w:tcPr>
            <w:tcW w:w="3560" w:type="dxa"/>
            <w:vAlign w:val="bottom"/>
            <w:vMerge w:val="restart"/>
          </w:tcPr>
          <w:p>
            <w:pPr>
              <w:ind w:left="280"/>
              <w:spacing w:after="0"/>
              <w:rPr>
                <w:sz w:val="20"/>
                <w:szCs w:val="20"/>
                <w:color w:val="auto"/>
              </w:rPr>
            </w:pPr>
            <w:r>
              <w:rPr>
                <w:rFonts w:ascii="Arial" w:cs="Arial" w:eastAsia="Arial" w:hAnsi="Arial"/>
                <w:sz w:val="18"/>
                <w:szCs w:val="18"/>
                <w:color w:val="000001"/>
              </w:rPr>
              <w:t>Computershare Investor Services</w:t>
            </w:r>
          </w:p>
        </w:tc>
        <w:tc>
          <w:tcPr>
            <w:tcW w:w="0" w:type="dxa"/>
            <w:vAlign w:val="bottom"/>
          </w:tcPr>
          <w:p>
            <w:pPr>
              <w:spacing w:after="0"/>
              <w:rPr>
                <w:sz w:val="1"/>
                <w:szCs w:val="1"/>
                <w:color w:val="auto"/>
              </w:rPr>
            </w:pPr>
          </w:p>
        </w:tc>
      </w:tr>
      <w:tr>
        <w:trPr>
          <w:trHeight w:val="79"/>
        </w:trPr>
        <w:tc>
          <w:tcPr>
            <w:tcW w:w="3060" w:type="dxa"/>
            <w:vAlign w:val="bottom"/>
          </w:tcPr>
          <w:p>
            <w:pPr>
              <w:spacing w:after="0"/>
              <w:rPr>
                <w:sz w:val="6"/>
                <w:szCs w:val="6"/>
                <w:color w:val="auto"/>
              </w:rPr>
            </w:pPr>
          </w:p>
        </w:tc>
        <w:tc>
          <w:tcPr>
            <w:tcW w:w="4020" w:type="dxa"/>
            <w:vAlign w:val="bottom"/>
            <w:vMerge w:val="continue"/>
          </w:tcPr>
          <w:p>
            <w:pPr>
              <w:spacing w:after="0"/>
              <w:rPr>
                <w:sz w:val="6"/>
                <w:szCs w:val="6"/>
                <w:color w:val="auto"/>
              </w:rPr>
            </w:pP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3060" w:type="dxa"/>
            <w:vAlign w:val="bottom"/>
            <w:vMerge w:val="restart"/>
          </w:tcPr>
          <w:p>
            <w:pPr>
              <w:spacing w:after="0"/>
              <w:rPr>
                <w:sz w:val="20"/>
                <w:szCs w:val="20"/>
                <w:color w:val="auto"/>
              </w:rPr>
            </w:pPr>
            <w:r>
              <w:rPr>
                <w:rFonts w:ascii="Arial" w:cs="Arial" w:eastAsia="Arial" w:hAnsi="Arial"/>
                <w:sz w:val="18"/>
                <w:szCs w:val="18"/>
                <w:color w:val="000001"/>
              </w:rPr>
              <w:t>Shelly Wong, CPA</w:t>
            </w:r>
          </w:p>
        </w:tc>
        <w:tc>
          <w:tcPr>
            <w:tcW w:w="4020" w:type="dxa"/>
            <w:vAlign w:val="bottom"/>
            <w:vMerge w:val="restart"/>
          </w:tcPr>
          <w:p>
            <w:pPr>
              <w:ind w:left="620"/>
              <w:spacing w:after="0" w:line="207" w:lineRule="exact"/>
              <w:rPr>
                <w:sz w:val="20"/>
                <w:szCs w:val="20"/>
                <w:color w:val="auto"/>
              </w:rPr>
            </w:pPr>
            <w:r>
              <w:rPr>
                <w:rFonts w:ascii="Arial" w:cs="Arial" w:eastAsia="Arial" w:hAnsi="Arial"/>
                <w:sz w:val="17"/>
                <w:szCs w:val="17"/>
                <w:color w:val="000001"/>
              </w:rPr>
              <w:t>˃ʴʶˇ</w:t>
            </w:r>
            <w:r>
              <w:rPr>
                <w:rFonts w:ascii="PMingLiU" w:cs="PMingLiU" w:eastAsia="PMingLiU" w:hAnsi="PMingLiU"/>
                <w:sz w:val="17"/>
                <w:szCs w:val="17"/>
                <w:color w:val="000001"/>
              </w:rPr>
              <w:t/>
            </w:r>
            <w:r>
              <w:rPr>
                <w:rFonts w:ascii="Arial" w:cs="Arial" w:eastAsia="Arial" w:hAnsi="Arial"/>
                <w:sz w:val="17"/>
                <w:szCs w:val="17"/>
                <w:color w:val="000001"/>
              </w:rPr>
              <w:t>˃˛˔˥ˠ˔ʟ</w:t>
            </w:r>
            <w:r>
              <w:rPr>
                <w:rFonts w:ascii="PMingLiU" w:cs="PMingLiU" w:eastAsia="PMingLiU" w:hAnsi="PMingLiU"/>
                <w:sz w:val="17"/>
                <w:szCs w:val="17"/>
                <w:color w:val="000001"/>
              </w:rPr>
              <w:t/>
            </w:r>
            <w:r>
              <w:rPr>
                <w:rFonts w:ascii="Arial" w:cs="Arial" w:eastAsia="Arial" w:hAnsi="Arial"/>
                <w:sz w:val="17"/>
                <w:szCs w:val="17"/>
                <w:color w:val="000001"/>
              </w:rPr>
              <w:t>ʼˡ˖ʡ</w:t>
            </w: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3060" w:type="dxa"/>
            <w:vAlign w:val="bottom"/>
            <w:vMerge w:val="continue"/>
          </w:tcPr>
          <w:p>
            <w:pPr>
              <w:spacing w:after="0"/>
              <w:rPr>
                <w:sz w:val="11"/>
                <w:szCs w:val="11"/>
                <w:color w:val="auto"/>
              </w:rPr>
            </w:pPr>
          </w:p>
        </w:tc>
        <w:tc>
          <w:tcPr>
            <w:tcW w:w="4020" w:type="dxa"/>
            <w:vAlign w:val="bottom"/>
            <w:vMerge w:val="continue"/>
          </w:tcPr>
          <w:p>
            <w:pPr>
              <w:spacing w:after="0"/>
              <w:rPr>
                <w:sz w:val="11"/>
                <w:szCs w:val="11"/>
                <w:color w:val="auto"/>
              </w:rPr>
            </w:pPr>
          </w:p>
        </w:tc>
        <w:tc>
          <w:tcPr>
            <w:tcW w:w="3560" w:type="dxa"/>
            <w:vAlign w:val="bottom"/>
            <w:vMerge w:val="restart"/>
          </w:tcPr>
          <w:p>
            <w:pPr>
              <w:ind w:left="280"/>
              <w:spacing w:after="0" w:line="207" w:lineRule="exact"/>
              <w:rPr>
                <w:sz w:val="20"/>
                <w:szCs w:val="20"/>
                <w:color w:val="auto"/>
              </w:rPr>
            </w:pPr>
            <w:r>
              <w:rPr>
                <w:rFonts w:ascii="Arial" w:cs="Arial" w:eastAsia="Arial" w:hAnsi="Arial"/>
                <w:sz w:val="17"/>
                <w:szCs w:val="17"/>
                <w:color w:val="000001"/>
              </w:rPr>
              <w:t>˃ʡ˂ʡ</w:t>
            </w:r>
            <w:r>
              <w:rPr>
                <w:rFonts w:ascii="PMingLiU" w:cs="PMingLiU" w:eastAsia="PMingLiU" w:hAnsi="PMingLiU"/>
                <w:sz w:val="17"/>
                <w:szCs w:val="17"/>
                <w:color w:val="000001"/>
              </w:rPr>
              <w:t/>
            </w:r>
            <w:r>
              <w:rPr>
                <w:rFonts w:ascii="Arial" w:cs="Arial" w:eastAsia="Arial" w:hAnsi="Arial"/>
                <w:sz w:val="17"/>
                <w:szCs w:val="17"/>
                <w:color w:val="000001"/>
              </w:rPr>
              <w:t>ʵˢ˫</w:t>
            </w:r>
            <w:r>
              <w:rPr>
                <w:rFonts w:ascii="PMingLiU" w:cs="PMingLiU" w:eastAsia="PMingLiU" w:hAnsi="PMingLiU"/>
                <w:sz w:val="17"/>
                <w:szCs w:val="17"/>
                <w:color w:val="000001"/>
              </w:rPr>
              <w:t/>
            </w:r>
            <w:r>
              <w:rPr>
                <w:rFonts w:ascii="Arial" w:cs="Arial" w:eastAsia="Arial" w:hAnsi="Arial"/>
                <w:sz w:val="17"/>
                <w:szCs w:val="17"/>
                <w:color w:val="000001"/>
              </w:rPr>
              <w:t>ʨʣʨʣʣʣ</w:t>
            </w:r>
          </w:p>
        </w:tc>
        <w:tc>
          <w:tcPr>
            <w:tcW w:w="0" w:type="dxa"/>
            <w:vAlign w:val="bottom"/>
          </w:tcPr>
          <w:p>
            <w:pPr>
              <w:spacing w:after="0"/>
              <w:rPr>
                <w:sz w:val="1"/>
                <w:szCs w:val="1"/>
                <w:color w:val="auto"/>
              </w:rPr>
            </w:pPr>
          </w:p>
        </w:tc>
      </w:tr>
      <w:tr>
        <w:trPr>
          <w:trHeight w:val="93"/>
        </w:trPr>
        <w:tc>
          <w:tcPr>
            <w:tcW w:w="3060" w:type="dxa"/>
            <w:vAlign w:val="bottom"/>
            <w:vMerge w:val="continue"/>
          </w:tcPr>
          <w:p>
            <w:pPr>
              <w:spacing w:after="0"/>
              <w:rPr>
                <w:sz w:val="8"/>
                <w:szCs w:val="8"/>
                <w:color w:val="auto"/>
              </w:rPr>
            </w:pPr>
          </w:p>
        </w:tc>
        <w:tc>
          <w:tcPr>
            <w:tcW w:w="402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Arial" w:cs="Arial" w:eastAsia="Arial" w:hAnsi="Arial"/>
                <w:sz w:val="17"/>
                <w:szCs w:val="17"/>
                <w:color w:val="000001"/>
              </w:rPr>
              <w:t>Chief Accounting Officer</w:t>
            </w:r>
          </w:p>
        </w:tc>
        <w:tc>
          <w:tcPr>
            <w:tcW w:w="4020" w:type="dxa"/>
            <w:vAlign w:val="bottom"/>
            <w:vMerge w:val="restart"/>
          </w:tcPr>
          <w:p>
            <w:pPr>
              <w:ind w:left="620"/>
              <w:spacing w:after="0"/>
              <w:rPr>
                <w:sz w:val="20"/>
                <w:szCs w:val="20"/>
                <w:color w:val="auto"/>
              </w:rPr>
            </w:pPr>
            <w:r>
              <w:rPr>
                <w:rFonts w:ascii="Arial" w:cs="Arial" w:eastAsia="Arial" w:hAnsi="Arial"/>
                <w:sz w:val="18"/>
                <w:szCs w:val="18"/>
                <w:color w:val="000001"/>
              </w:rPr>
              <w:t>Rekha Hemrajani</w:t>
            </w:r>
          </w:p>
        </w:tc>
        <w:tc>
          <w:tcPr>
            <w:tcW w:w="3560" w:type="dxa"/>
            <w:vAlign w:val="bottom"/>
          </w:tcPr>
          <w:p>
            <w:pPr>
              <w:ind w:left="280"/>
              <w:spacing w:after="0"/>
              <w:rPr>
                <w:sz w:val="20"/>
                <w:szCs w:val="20"/>
                <w:color w:val="auto"/>
              </w:rPr>
            </w:pPr>
            <w:r>
              <w:rPr>
                <w:rFonts w:ascii="Arial" w:cs="Arial" w:eastAsia="Arial" w:hAnsi="Arial"/>
                <w:sz w:val="17"/>
                <w:szCs w:val="17"/>
                <w:color w:val="000001"/>
              </w:rPr>
              <w:t>Louisville, KY 40233-5000</w:t>
            </w:r>
          </w:p>
        </w:tc>
        <w:tc>
          <w:tcPr>
            <w:tcW w:w="0" w:type="dxa"/>
            <w:vAlign w:val="bottom"/>
          </w:tcPr>
          <w:p>
            <w:pPr>
              <w:spacing w:after="0"/>
              <w:rPr>
                <w:sz w:val="1"/>
                <w:szCs w:val="1"/>
                <w:color w:val="auto"/>
              </w:rPr>
            </w:pPr>
          </w:p>
        </w:tc>
      </w:tr>
      <w:tr>
        <w:trPr>
          <w:trHeight w:val="137"/>
        </w:trPr>
        <w:tc>
          <w:tcPr>
            <w:tcW w:w="3060" w:type="dxa"/>
            <w:vAlign w:val="bottom"/>
          </w:tcPr>
          <w:p>
            <w:pPr>
              <w:spacing w:after="0"/>
              <w:rPr>
                <w:sz w:val="11"/>
                <w:szCs w:val="11"/>
                <w:color w:val="auto"/>
              </w:rPr>
            </w:pPr>
          </w:p>
        </w:tc>
        <w:tc>
          <w:tcPr>
            <w:tcW w:w="4020" w:type="dxa"/>
            <w:vAlign w:val="bottom"/>
            <w:vMerge w:val="continue"/>
          </w:tcPr>
          <w:p>
            <w:pPr>
              <w:spacing w:after="0"/>
              <w:rPr>
                <w:sz w:val="11"/>
                <w:szCs w:val="11"/>
                <w:color w:val="auto"/>
              </w:rPr>
            </w:pPr>
          </w:p>
        </w:tc>
        <w:tc>
          <w:tcPr>
            <w:tcW w:w="3560" w:type="dxa"/>
            <w:vAlign w:val="bottom"/>
            <w:vMerge w:val="restart"/>
          </w:tcPr>
          <w:p>
            <w:pPr>
              <w:ind w:left="280"/>
              <w:spacing w:after="0"/>
              <w:rPr>
                <w:sz w:val="20"/>
                <w:szCs w:val="20"/>
                <w:color w:val="auto"/>
              </w:rPr>
            </w:pPr>
            <w:r>
              <w:rPr>
                <w:rFonts w:ascii="Arial" w:cs="Arial" w:eastAsia="Arial" w:hAnsi="Arial"/>
                <w:sz w:val="17"/>
                <w:szCs w:val="17"/>
                <w:color w:val="000001"/>
              </w:rPr>
              <w:t>Tel: 800.736.3001</w:t>
            </w:r>
          </w:p>
        </w:tc>
        <w:tc>
          <w:tcPr>
            <w:tcW w:w="0" w:type="dxa"/>
            <w:vAlign w:val="bottom"/>
          </w:tcPr>
          <w:p>
            <w:pPr>
              <w:spacing w:after="0"/>
              <w:rPr>
                <w:sz w:val="1"/>
                <w:szCs w:val="1"/>
                <w:color w:val="auto"/>
              </w:rPr>
            </w:pPr>
          </w:p>
        </w:tc>
      </w:tr>
      <w:tr>
        <w:trPr>
          <w:trHeight w:val="88"/>
        </w:trPr>
        <w:tc>
          <w:tcPr>
            <w:tcW w:w="3060" w:type="dxa"/>
            <w:vAlign w:val="bottom"/>
          </w:tcPr>
          <w:p>
            <w:pPr>
              <w:spacing w:after="0"/>
              <w:rPr>
                <w:sz w:val="7"/>
                <w:szCs w:val="7"/>
                <w:color w:val="auto"/>
              </w:rPr>
            </w:pPr>
          </w:p>
        </w:tc>
        <w:tc>
          <w:tcPr>
            <w:tcW w:w="4020" w:type="dxa"/>
            <w:vAlign w:val="bottom"/>
            <w:vMerge w:val="restart"/>
          </w:tcPr>
          <w:p>
            <w:pPr>
              <w:ind w:left="620"/>
              <w:spacing w:after="0" w:line="207" w:lineRule="exact"/>
              <w:rPr>
                <w:sz w:val="20"/>
                <w:szCs w:val="20"/>
                <w:color w:val="auto"/>
              </w:rPr>
            </w:pPr>
            <w:r>
              <w:rPr>
                <w:rFonts w:ascii="Arial" w:cs="Arial" w:eastAsia="Arial" w:hAnsi="Arial"/>
                <w:sz w:val="17"/>
                <w:szCs w:val="17"/>
                <w:color w:val="000001"/>
              </w:rPr>
              <w:t>ʵ˜ˢ˧˘˖˛</w:t>
            </w:r>
            <w:r>
              <w:rPr>
                <w:rFonts w:ascii="PMingLiU" w:cs="PMingLiU" w:eastAsia="PMingLiU" w:hAnsi="PMingLiU"/>
                <w:sz w:val="17"/>
                <w:szCs w:val="17"/>
                <w:color w:val="000001"/>
              </w:rPr>
              <w:t/>
            </w:r>
            <w:r>
              <w:rPr>
                <w:rFonts w:ascii="Arial" w:cs="Arial" w:eastAsia="Arial" w:hAnsi="Arial"/>
                <w:sz w:val="17"/>
                <w:szCs w:val="17"/>
                <w:color w:val="000001"/>
              </w:rPr>
              <w:t>ʵˢ˔˥˗</w:t>
            </w:r>
            <w:r>
              <w:rPr>
                <w:rFonts w:ascii="PMingLiU" w:cs="PMingLiU" w:eastAsia="PMingLiU" w:hAnsi="PMingLiU"/>
                <w:sz w:val="17"/>
                <w:szCs w:val="17"/>
                <w:color w:val="000001"/>
              </w:rPr>
              <w:t/>
            </w:r>
            <w:r>
              <w:rPr>
                <w:rFonts w:ascii="Arial" w:cs="Arial" w:eastAsia="Arial" w:hAnsi="Arial"/>
                <w:sz w:val="17"/>
                <w:szCs w:val="17"/>
                <w:color w:val="000001"/>
              </w:rPr>
              <w:t>ˀ˘ˠ˕˘˥</w:t>
            </w:r>
          </w:p>
        </w:tc>
        <w:tc>
          <w:tcPr>
            <w:tcW w:w="3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3060" w:type="dxa"/>
            <w:vAlign w:val="bottom"/>
          </w:tcPr>
          <w:p>
            <w:pPr>
              <w:spacing w:after="0"/>
              <w:rPr>
                <w:sz w:val="15"/>
                <w:szCs w:val="15"/>
                <w:color w:val="auto"/>
              </w:rPr>
            </w:pPr>
          </w:p>
        </w:tc>
        <w:tc>
          <w:tcPr>
            <w:tcW w:w="4020" w:type="dxa"/>
            <w:vAlign w:val="bottom"/>
            <w:vMerge w:val="continue"/>
          </w:tcPr>
          <w:p>
            <w:pPr>
              <w:spacing w:after="0"/>
              <w:rPr>
                <w:sz w:val="15"/>
                <w:szCs w:val="15"/>
                <w:color w:val="auto"/>
              </w:rPr>
            </w:pPr>
          </w:p>
        </w:tc>
        <w:tc>
          <w:tcPr>
            <w:tcW w:w="3560" w:type="dxa"/>
            <w:vAlign w:val="bottom"/>
            <w:vMerge w:val="restart"/>
          </w:tcPr>
          <w:p>
            <w:pPr>
              <w:ind w:left="280"/>
              <w:spacing w:after="0"/>
              <w:rPr>
                <w:sz w:val="20"/>
                <w:szCs w:val="20"/>
                <w:color w:val="auto"/>
              </w:rPr>
            </w:pPr>
            <w:r>
              <w:rPr>
                <w:rFonts w:ascii="Arial" w:cs="Arial" w:eastAsia="Arial" w:hAnsi="Arial"/>
                <w:sz w:val="17"/>
                <w:szCs w:val="17"/>
                <w:color w:val="000001"/>
              </w:rPr>
              <w:t>www.computershare.com/investor</w:t>
            </w:r>
          </w:p>
        </w:tc>
        <w:tc>
          <w:tcPr>
            <w:tcW w:w="0" w:type="dxa"/>
            <w:vAlign w:val="bottom"/>
          </w:tcPr>
          <w:p>
            <w:pPr>
              <w:spacing w:after="0"/>
              <w:rPr>
                <w:sz w:val="1"/>
                <w:szCs w:val="1"/>
                <w:color w:val="auto"/>
              </w:rPr>
            </w:pPr>
          </w:p>
        </w:tc>
      </w:tr>
      <w:tr>
        <w:trPr>
          <w:trHeight w:val="94"/>
        </w:trPr>
        <w:tc>
          <w:tcPr>
            <w:tcW w:w="3060" w:type="dxa"/>
            <w:vAlign w:val="bottom"/>
          </w:tcPr>
          <w:p>
            <w:pPr>
              <w:spacing w:after="0"/>
              <w:rPr>
                <w:sz w:val="8"/>
                <w:szCs w:val="8"/>
                <w:color w:val="auto"/>
              </w:rPr>
            </w:pPr>
          </w:p>
        </w:tc>
        <w:tc>
          <w:tcPr>
            <w:tcW w:w="4020" w:type="dxa"/>
            <w:vAlign w:val="bottom"/>
          </w:tcPr>
          <w:p>
            <w:pPr>
              <w:spacing w:after="0"/>
              <w:rPr>
                <w:sz w:val="8"/>
                <w:szCs w:val="8"/>
                <w:color w:val="auto"/>
              </w:rPr>
            </w:pPr>
          </w:p>
        </w:tc>
        <w:tc>
          <w:tcPr>
            <w:tcW w:w="3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67"/>
        </w:trPr>
        <w:tc>
          <w:tcPr>
            <w:tcW w:w="3060" w:type="dxa"/>
            <w:vAlign w:val="bottom"/>
          </w:tcPr>
          <w:p>
            <w:pPr>
              <w:spacing w:after="0"/>
              <w:rPr>
                <w:sz w:val="24"/>
                <w:szCs w:val="24"/>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000001"/>
              </w:rPr>
              <w:t>Jason Lettmann</w:t>
            </w:r>
          </w:p>
        </w:tc>
        <w:tc>
          <w:tcPr>
            <w:tcW w:w="3560" w:type="dxa"/>
            <w:vAlign w:val="bottom"/>
            <w:vMerge w:val="restart"/>
          </w:tcPr>
          <w:p>
            <w:pPr>
              <w:ind w:left="280"/>
              <w:spacing w:after="0"/>
              <w:rPr>
                <w:sz w:val="20"/>
                <w:szCs w:val="20"/>
                <w:color w:val="auto"/>
              </w:rPr>
            </w:pPr>
            <w:r>
              <w:rPr>
                <w:rFonts w:ascii="Arial" w:cs="Arial" w:eastAsia="Arial" w:hAnsi="Arial"/>
                <w:sz w:val="30"/>
                <w:szCs w:val="30"/>
                <w:color w:val="4BA6AB"/>
              </w:rPr>
              <w:t>Common Stock</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19"/>
                <w:szCs w:val="19"/>
                <w:color w:val="auto"/>
              </w:rPr>
            </w:pPr>
          </w:p>
        </w:tc>
        <w:tc>
          <w:tcPr>
            <w:tcW w:w="4020" w:type="dxa"/>
            <w:vAlign w:val="bottom"/>
          </w:tcPr>
          <w:p>
            <w:pPr>
              <w:ind w:left="620"/>
              <w:spacing w:after="0"/>
              <w:rPr>
                <w:sz w:val="20"/>
                <w:szCs w:val="20"/>
                <w:color w:val="auto"/>
              </w:rPr>
            </w:pPr>
            <w:r>
              <w:rPr>
                <w:rFonts w:ascii="Arial" w:cs="Arial" w:eastAsia="Arial" w:hAnsi="Arial"/>
                <w:sz w:val="17"/>
                <w:szCs w:val="17"/>
                <w:color w:val="000001"/>
              </w:rPr>
              <w:t>Chief Executive Officer,</w:t>
            </w:r>
          </w:p>
        </w:tc>
        <w:tc>
          <w:tcPr>
            <w:tcW w:w="3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060" w:type="dxa"/>
            <w:vAlign w:val="bottom"/>
          </w:tcPr>
          <w:p>
            <w:pPr>
              <w:spacing w:after="0"/>
              <w:rPr>
                <w:sz w:val="23"/>
                <w:szCs w:val="23"/>
                <w:color w:val="auto"/>
              </w:rPr>
            </w:pPr>
          </w:p>
        </w:tc>
        <w:tc>
          <w:tcPr>
            <w:tcW w:w="4020" w:type="dxa"/>
            <w:vAlign w:val="bottom"/>
          </w:tcPr>
          <w:p>
            <w:pPr>
              <w:ind w:left="620"/>
              <w:spacing w:after="0"/>
              <w:rPr>
                <w:sz w:val="20"/>
                <w:szCs w:val="20"/>
                <w:color w:val="auto"/>
              </w:rPr>
            </w:pPr>
            <w:r>
              <w:rPr>
                <w:rFonts w:ascii="Arial" w:cs="Arial" w:eastAsia="Arial" w:hAnsi="Arial"/>
                <w:sz w:val="17"/>
                <w:szCs w:val="17"/>
                <w:color w:val="000001"/>
              </w:rPr>
              <w:t>ALX Oncology</w:t>
            </w:r>
          </w:p>
        </w:tc>
        <w:tc>
          <w:tcPr>
            <w:tcW w:w="3560" w:type="dxa"/>
            <w:vAlign w:val="bottom"/>
            <w:vMerge w:val="restart"/>
          </w:tcPr>
          <w:p>
            <w:pPr>
              <w:ind w:left="280"/>
              <w:spacing w:after="0" w:line="207" w:lineRule="exact"/>
              <w:rPr>
                <w:sz w:val="20"/>
                <w:szCs w:val="20"/>
                <w:color w:val="auto"/>
              </w:rPr>
            </w:pPr>
            <w:r>
              <w:rPr>
                <w:rFonts w:ascii="Arial" w:cs="Arial" w:eastAsia="Arial" w:hAnsi="Arial"/>
                <w:sz w:val="17"/>
                <w:szCs w:val="17"/>
                <w:color w:val="000001"/>
              </w:rPr>
              <w:t>ˁʴˆʷʴ˄</w:t>
            </w:r>
            <w:r>
              <w:rPr>
                <w:rFonts w:ascii="PMingLiU" w:cs="PMingLiU" w:eastAsia="PMingLiU" w:hAnsi="PMingLiU"/>
                <w:sz w:val="17"/>
                <w:szCs w:val="17"/>
                <w:color w:val="000001"/>
              </w:rPr>
              <w:t/>
            </w:r>
            <w:r>
              <w:rPr>
                <w:rFonts w:ascii="Arial" w:cs="Arial" w:eastAsia="Arial" w:hAnsi="Arial"/>
                <w:sz w:val="17"/>
                <w:szCs w:val="17"/>
                <w:color w:val="000001"/>
              </w:rPr>
              <w:t>ʺ˟ˢ˕˔˟</w:t>
            </w:r>
            <w:r>
              <w:rPr>
                <w:rFonts w:ascii="PMingLiU" w:cs="PMingLiU" w:eastAsia="PMingLiU" w:hAnsi="PMingLiU"/>
                <w:sz w:val="17"/>
                <w:szCs w:val="17"/>
                <w:color w:val="000001"/>
              </w:rPr>
              <w:t/>
            </w:r>
            <w:r>
              <w:rPr>
                <w:rFonts w:ascii="Arial" w:cs="Arial" w:eastAsia="Arial" w:hAnsi="Arial"/>
                <w:sz w:val="17"/>
                <w:szCs w:val="17"/>
                <w:color w:val="000001"/>
              </w:rPr>
              <w:t>ˆ˘˟˘˖˧</w:t>
            </w:r>
            <w:r>
              <w:rPr>
                <w:rFonts w:ascii="PMingLiU" w:cs="PMingLiU" w:eastAsia="PMingLiU" w:hAnsi="PMingLiU"/>
                <w:sz w:val="17"/>
                <w:szCs w:val="17"/>
                <w:color w:val="000001"/>
              </w:rPr>
              <w:t/>
            </w:r>
            <w:r>
              <w:rPr>
                <w:rFonts w:ascii="Arial" w:cs="Arial" w:eastAsia="Arial" w:hAnsi="Arial"/>
                <w:sz w:val="17"/>
                <w:szCs w:val="17"/>
                <w:color w:val="000001"/>
              </w:rPr>
              <w:t>ˀ˔˥˞˘˧</w:t>
            </w:r>
            <w:r>
              <w:rPr>
                <w:rFonts w:ascii="Arial" w:cs="Arial" w:eastAsia="Arial" w:hAnsi="Arial"/>
                <w:sz w:val="9"/>
                <w:szCs w:val="9"/>
                <w:color w:val="000001"/>
              </w:rPr>
              <w:t>®</w:t>
            </w:r>
            <w:r>
              <w:rPr>
                <w:rFonts w:ascii="Arial" w:cs="Arial" w:eastAsia="Arial" w:hAnsi="Arial"/>
                <w:sz w:val="17"/>
                <w:szCs w:val="17"/>
                <w:color w:val="000001"/>
              </w:rPr>
              <w:t>: ALXO</w:t>
            </w:r>
          </w:p>
        </w:tc>
        <w:tc>
          <w:tcPr>
            <w:tcW w:w="0" w:type="dxa"/>
            <w:vAlign w:val="bottom"/>
          </w:tcPr>
          <w:p>
            <w:pPr>
              <w:spacing w:after="0"/>
              <w:rPr>
                <w:sz w:val="1"/>
                <w:szCs w:val="1"/>
                <w:color w:val="auto"/>
              </w:rPr>
            </w:pPr>
          </w:p>
        </w:tc>
      </w:tr>
      <w:tr>
        <w:trPr>
          <w:trHeight w:val="147"/>
        </w:trPr>
        <w:tc>
          <w:tcPr>
            <w:tcW w:w="306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3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8"/>
        </w:trPr>
        <w:tc>
          <w:tcPr>
            <w:tcW w:w="3060" w:type="dxa"/>
            <w:vAlign w:val="bottom"/>
          </w:tcPr>
          <w:p>
            <w:pPr>
              <w:spacing w:after="0"/>
              <w:rPr>
                <w:sz w:val="24"/>
                <w:szCs w:val="24"/>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000001"/>
              </w:rPr>
              <w:t>Alan Sandler, M.D.</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19"/>
                <w:szCs w:val="19"/>
                <w:color w:val="auto"/>
              </w:rPr>
            </w:pPr>
          </w:p>
        </w:tc>
        <w:tc>
          <w:tcPr>
            <w:tcW w:w="4020" w:type="dxa"/>
            <w:vAlign w:val="bottom"/>
          </w:tcPr>
          <w:p>
            <w:pPr>
              <w:ind w:left="620"/>
              <w:spacing w:after="0"/>
              <w:rPr>
                <w:sz w:val="20"/>
                <w:szCs w:val="20"/>
                <w:color w:val="auto"/>
              </w:rPr>
            </w:pPr>
            <w:r>
              <w:rPr>
                <w:rFonts w:ascii="Arial" w:cs="Arial" w:eastAsia="Arial" w:hAnsi="Arial"/>
                <w:sz w:val="17"/>
                <w:szCs w:val="17"/>
                <w:color w:val="000001"/>
              </w:rPr>
              <w:t>Chief Development Officer,</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060" w:type="dxa"/>
            <w:vAlign w:val="bottom"/>
          </w:tcPr>
          <w:p>
            <w:pPr>
              <w:spacing w:after="0"/>
              <w:rPr>
                <w:sz w:val="23"/>
                <w:szCs w:val="23"/>
                <w:color w:val="auto"/>
              </w:rPr>
            </w:pPr>
          </w:p>
        </w:tc>
        <w:tc>
          <w:tcPr>
            <w:tcW w:w="4020" w:type="dxa"/>
            <w:vAlign w:val="bottom"/>
          </w:tcPr>
          <w:p>
            <w:pPr>
              <w:ind w:left="620"/>
              <w:spacing w:after="0" w:line="207" w:lineRule="exact"/>
              <w:rPr>
                <w:sz w:val="20"/>
                <w:szCs w:val="20"/>
                <w:color w:val="auto"/>
              </w:rPr>
            </w:pPr>
            <w:r>
              <w:rPr>
                <w:rFonts w:ascii="Arial" w:cs="Arial" w:eastAsia="Arial" w:hAnsi="Arial"/>
                <w:sz w:val="17"/>
                <w:szCs w:val="17"/>
                <w:color w:val="000001"/>
              </w:rPr>
              <w:t>˅˘˩ˢ˟˨˧˜ˢˡ</w:t>
            </w:r>
            <w:r>
              <w:rPr>
                <w:rFonts w:ascii="PMingLiU" w:cs="PMingLiU" w:eastAsia="PMingLiU" w:hAnsi="PMingLiU"/>
                <w:sz w:val="17"/>
                <w:szCs w:val="17"/>
                <w:color w:val="000001"/>
              </w:rPr>
              <w:t/>
            </w:r>
            <w:r>
              <w:rPr>
                <w:rFonts w:ascii="Arial" w:cs="Arial" w:eastAsia="Arial" w:hAnsi="Arial"/>
                <w:sz w:val="17"/>
                <w:szCs w:val="17"/>
                <w:color w:val="000001"/>
              </w:rPr>
              <w:t>ˀ˘˗˜˖˜ˡ˘˦</w:t>
            </w:r>
            <w:r>
              <w:rPr>
                <w:rFonts w:ascii="PMingLiU" w:cs="PMingLiU" w:eastAsia="PMingLiU" w:hAnsi="PMingLiU"/>
                <w:sz w:val="17"/>
                <w:szCs w:val="17"/>
                <w:color w:val="000001"/>
              </w:rPr>
              <w:t/>
            </w: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5"/>
        </w:trPr>
        <w:tc>
          <w:tcPr>
            <w:tcW w:w="3060" w:type="dxa"/>
            <w:vAlign w:val="bottom"/>
          </w:tcPr>
          <w:p>
            <w:pPr>
              <w:spacing w:after="0"/>
              <w:rPr>
                <w:sz w:val="24"/>
                <w:szCs w:val="24"/>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000001"/>
              </w:rPr>
              <w:t>Chris H. Takimoto, M.D.,</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3060" w:type="dxa"/>
            <w:vAlign w:val="bottom"/>
          </w:tcPr>
          <w:p>
            <w:pPr>
              <w:spacing w:after="0"/>
              <w:rPr>
                <w:sz w:val="23"/>
                <w:szCs w:val="23"/>
                <w:color w:val="auto"/>
              </w:rPr>
            </w:pPr>
          </w:p>
        </w:tc>
        <w:tc>
          <w:tcPr>
            <w:tcW w:w="4020" w:type="dxa"/>
            <w:vAlign w:val="bottom"/>
          </w:tcPr>
          <w:p>
            <w:pPr>
              <w:ind w:left="620"/>
              <w:spacing w:after="0"/>
              <w:rPr>
                <w:sz w:val="20"/>
                <w:szCs w:val="20"/>
                <w:color w:val="auto"/>
              </w:rPr>
            </w:pPr>
            <w:r>
              <w:rPr>
                <w:rFonts w:ascii="Arial" w:cs="Arial" w:eastAsia="Arial" w:hAnsi="Arial"/>
                <w:sz w:val="18"/>
                <w:szCs w:val="18"/>
                <w:color w:val="000001"/>
              </w:rPr>
              <w:t>Ph.D., FACP</w:t>
            </w: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19"/>
                <w:szCs w:val="19"/>
                <w:color w:val="auto"/>
              </w:rPr>
            </w:pPr>
          </w:p>
        </w:tc>
        <w:tc>
          <w:tcPr>
            <w:tcW w:w="4020" w:type="dxa"/>
            <w:vAlign w:val="bottom"/>
          </w:tcPr>
          <w:p>
            <w:pPr>
              <w:ind w:left="620"/>
              <w:spacing w:after="0" w:line="207" w:lineRule="exact"/>
              <w:rPr>
                <w:sz w:val="20"/>
                <w:szCs w:val="20"/>
                <w:color w:val="auto"/>
              </w:rPr>
            </w:pPr>
            <w:r>
              <w:rPr>
                <w:rFonts w:ascii="Arial" w:cs="Arial" w:eastAsia="Arial" w:hAnsi="Arial"/>
                <w:sz w:val="17"/>
                <w:szCs w:val="17"/>
                <w:color w:val="000001"/>
              </w:rPr>
              <w:t>ʺ˟ˢ˕˔˟</w:t>
            </w:r>
            <w:r>
              <w:rPr>
                <w:rFonts w:ascii="PMingLiU" w:cs="PMingLiU" w:eastAsia="PMingLiU" w:hAnsi="PMingLiU"/>
                <w:sz w:val="17"/>
                <w:szCs w:val="17"/>
                <w:color w:val="000001"/>
              </w:rPr>
              <w:t/>
            </w:r>
            <w:r>
              <w:rPr>
                <w:rFonts w:ascii="Arial" w:cs="Arial" w:eastAsia="Arial" w:hAnsi="Arial"/>
                <w:sz w:val="17"/>
                <w:szCs w:val="17"/>
                <w:color w:val="000001"/>
              </w:rPr>
              <w:t>ʶ˛˜˘˙</w:t>
            </w:r>
            <w:r>
              <w:rPr>
                <w:rFonts w:ascii="PMingLiU" w:cs="PMingLiU" w:eastAsia="PMingLiU" w:hAnsi="PMingLiU"/>
                <w:sz w:val="17"/>
                <w:szCs w:val="17"/>
                <w:color w:val="000001"/>
              </w:rPr>
              <w:t/>
            </w:r>
            <w:r>
              <w:rPr>
                <w:rFonts w:ascii="Arial" w:cs="Arial" w:eastAsia="Arial" w:hAnsi="Arial"/>
                <w:sz w:val="17"/>
                <w:szCs w:val="17"/>
                <w:color w:val="000001"/>
              </w:rPr>
              <w:t>ˀ˘˗˜˖˔˟</w:t>
            </w:r>
            <w:r>
              <w:rPr>
                <w:rFonts w:ascii="PMingLiU" w:cs="PMingLiU" w:eastAsia="PMingLiU" w:hAnsi="PMingLiU"/>
                <w:sz w:val="17"/>
                <w:szCs w:val="17"/>
                <w:color w:val="000001"/>
              </w:rPr>
              <w:t/>
            </w:r>
            <w:r>
              <w:rPr>
                <w:rFonts w:ascii="Arial" w:cs="Arial" w:eastAsia="Arial" w:hAnsi="Arial"/>
                <w:sz w:val="17"/>
                <w:szCs w:val="17"/>
                <w:color w:val="000001"/>
              </w:rPr>
              <w:t>˂˙˙˜˖˘˥ʟ</w:t>
            </w: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060" w:type="dxa"/>
            <w:vAlign w:val="bottom"/>
          </w:tcPr>
          <w:p>
            <w:pPr>
              <w:spacing w:after="0"/>
              <w:rPr>
                <w:sz w:val="23"/>
                <w:szCs w:val="23"/>
                <w:color w:val="auto"/>
              </w:rPr>
            </w:pPr>
          </w:p>
        </w:tc>
        <w:tc>
          <w:tcPr>
            <w:tcW w:w="4020" w:type="dxa"/>
            <w:vAlign w:val="bottom"/>
          </w:tcPr>
          <w:p>
            <w:pPr>
              <w:ind w:left="620"/>
              <w:spacing w:after="0"/>
              <w:rPr>
                <w:sz w:val="20"/>
                <w:szCs w:val="20"/>
                <w:color w:val="auto"/>
              </w:rPr>
            </w:pPr>
            <w:r>
              <w:rPr>
                <w:rFonts w:ascii="Arial" w:cs="Arial" w:eastAsia="Arial" w:hAnsi="Arial"/>
                <w:sz w:val="17"/>
                <w:szCs w:val="17"/>
                <w:color w:val="000001"/>
              </w:rPr>
              <w:t>START Center for Cancer Research</w:t>
            </w:r>
          </w:p>
        </w:tc>
        <w:tc>
          <w:tcPr>
            <w:tcW w:w="3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color w:val="auto"/>
        </w:rPr>
        <w:t>©2026 ALX Oncology Holdings Inc. All rights reserved.</w:t>
      </w:r>
    </w:p>
    <w:p>
      <w:pPr>
        <w:spacing w:after="0" w:line="115" w:lineRule="exact"/>
        <w:rPr>
          <w:sz w:val="20"/>
          <w:szCs w:val="20"/>
          <w:color w:val="auto"/>
        </w:rPr>
      </w:pPr>
    </w:p>
    <w:p>
      <w:pPr>
        <w:spacing w:after="0" w:line="199" w:lineRule="exact"/>
        <w:rPr>
          <w:sz w:val="20"/>
          <w:szCs w:val="20"/>
          <w:color w:val="auto"/>
        </w:rPr>
      </w:pPr>
      <w:r>
        <w:rPr>
          <w:rFonts w:ascii="Arial" w:cs="Arial" w:eastAsia="Arial" w:hAnsi="Arial"/>
          <w:sz w:val="14"/>
          <w:szCs w:val="14"/>
          <w:color w:val="auto"/>
        </w:rPr>
        <w:t xml:space="preserve">This communication contains “forward-looking statements” within the meaning of Section 27A of the Securities Act of 1933, as amended, and Section 21E of the Securities Exchange Act of 1934, as amended. Each of these forward-looking statements involves risks and uncertainties. Actual results may differ materially from those, express or implied, in these forward-looking statements. Important factors that could impair the value of our assets and business are disclosed in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˙˔˖˧ˢ˥˦</w:t>
      </w:r>
      <w:r>
        <w:rPr>
          <w:rFonts w:ascii="PMingLiU" w:cs="PMingLiU" w:eastAsia="PMingLiU" w:hAnsi="PMingLiU"/>
          <w:sz w:val="14"/>
          <w:szCs w:val="14"/>
          <w:color w:val="auto"/>
        </w:rPr>
        <w:t/>
      </w:r>
      <w:r>
        <w:rPr>
          <w:rFonts w:ascii="Arial" w:cs="Arial" w:eastAsia="Arial" w:hAnsi="Arial"/>
          <w:sz w:val="14"/>
          <w:szCs w:val="14"/>
          <w:color w:val="auto"/>
        </w:rPr>
        <w:t>˖ˢˡ˧˔˜ˡ˘˗</w:t>
      </w:r>
      <w:r>
        <w:rPr>
          <w:rFonts w:ascii="PMingLiU" w:cs="PMingLiU" w:eastAsia="PMingLiU" w:hAnsi="PMingLiU"/>
          <w:sz w:val="14"/>
          <w:szCs w:val="14"/>
          <w:color w:val="auto"/>
        </w:rPr>
        <w:t/>
      </w:r>
      <w:r>
        <w:rPr>
          <w:rFonts w:ascii="Arial" w:cs="Arial" w:eastAsia="Arial" w:hAnsi="Arial"/>
          <w:sz w:val="14"/>
          <w:szCs w:val="14"/>
          <w:color w:val="auto"/>
        </w:rPr>
        <w:t>˜ˡ</w:t>
      </w:r>
      <w:r>
        <w:rPr>
          <w:rFonts w:ascii="PMingLiU" w:cs="PMingLiU" w:eastAsia="PMingLiU" w:hAnsi="PMingLiU"/>
          <w:sz w:val="14"/>
          <w:szCs w:val="14"/>
          <w:color w:val="auto"/>
        </w:rPr>
        <w:t/>
      </w:r>
      <w:r>
        <w:rPr>
          <w:rFonts w:ascii="Arial" w:cs="Arial" w:eastAsia="Arial" w:hAnsi="Arial"/>
          <w:sz w:val="14"/>
          <w:szCs w:val="14"/>
          <w:color w:val="auto"/>
        </w:rPr>
        <w:t>ˢ˨˥</w:t>
      </w:r>
      <w:r>
        <w:rPr>
          <w:rFonts w:ascii="PMingLiU" w:cs="PMingLiU" w:eastAsia="PMingLiU" w:hAnsi="PMingLiU"/>
          <w:sz w:val="14"/>
          <w:szCs w:val="14"/>
          <w:color w:val="auto"/>
        </w:rPr>
        <w:t/>
      </w:r>
      <w:r>
        <w:rPr>
          <w:rFonts w:ascii="Arial" w:cs="Arial" w:eastAsia="Arial" w:hAnsi="Arial"/>
          <w:sz w:val="14"/>
          <w:szCs w:val="14"/>
          <w:color w:val="auto"/>
        </w:rPr>
        <w:t>ʴˡˡ˨˔˟</w:t>
      </w:r>
      <w:r>
        <w:rPr>
          <w:rFonts w:ascii="PMingLiU" w:cs="PMingLiU" w:eastAsia="PMingLiU" w:hAnsi="PMingLiU"/>
          <w:sz w:val="14"/>
          <w:szCs w:val="14"/>
          <w:color w:val="auto"/>
        </w:rPr>
        <w:t/>
      </w:r>
      <w:r>
        <w:rPr>
          <w:rFonts w:ascii="Arial" w:cs="Arial" w:eastAsia="Arial" w:hAnsi="Arial"/>
          <w:sz w:val="14"/>
          <w:szCs w:val="14"/>
          <w:color w:val="auto"/>
        </w:rPr>
        <w:t>˅˘ˣˢ˥˧</w:t>
      </w:r>
      <w:r>
        <w:rPr>
          <w:rFonts w:ascii="PMingLiU" w:cs="PMingLiU" w:eastAsia="PMingLiU" w:hAnsi="PMingLiU"/>
          <w:sz w:val="14"/>
          <w:szCs w:val="14"/>
          <w:color w:val="auto"/>
        </w:rPr>
        <w:t/>
      </w:r>
      <w:r>
        <w:rPr>
          <w:rFonts w:ascii="Arial" w:cs="Arial" w:eastAsia="Arial" w:hAnsi="Arial"/>
          <w:sz w:val="14"/>
          <w:szCs w:val="14"/>
          <w:color w:val="auto"/>
        </w:rPr>
        <w:t>ˢˡ</w:t>
      </w:r>
      <w:r>
        <w:rPr>
          <w:rFonts w:ascii="PMingLiU" w:cs="PMingLiU" w:eastAsia="PMingLiU" w:hAnsi="PMingLiU"/>
          <w:sz w:val="14"/>
          <w:szCs w:val="14"/>
          <w:color w:val="auto"/>
        </w:rPr>
        <w:t/>
      </w:r>
      <w:r>
        <w:rPr>
          <w:rFonts w:ascii="Arial" w:cs="Arial" w:eastAsia="Arial" w:hAnsi="Arial"/>
          <w:sz w:val="14"/>
          <w:szCs w:val="14"/>
          <w:color w:val="auto"/>
        </w:rPr>
        <w:t>ʹˢ˥ˠ</w:t>
      </w:r>
      <w:r>
        <w:rPr>
          <w:rFonts w:ascii="PMingLiU" w:cs="PMingLiU" w:eastAsia="PMingLiU" w:hAnsi="PMingLiU"/>
          <w:sz w:val="14"/>
          <w:szCs w:val="14"/>
          <w:color w:val="auto"/>
        </w:rPr>
        <w:t/>
      </w:r>
      <w:r>
        <w:rPr>
          <w:rFonts w:ascii="Arial" w:cs="Arial" w:eastAsia="Arial" w:hAnsi="Arial"/>
          <w:sz w:val="14"/>
          <w:szCs w:val="14"/>
          <w:color w:val="auto"/>
        </w:rPr>
        <w:t>ʤʣʠʾ</w:t>
      </w:r>
      <w:r>
        <w:rPr>
          <w:rFonts w:ascii="PMingLiU" w:cs="PMingLiU" w:eastAsia="PMingLiU" w:hAnsi="PMingLiU"/>
          <w:sz w:val="14"/>
          <w:szCs w:val="14"/>
          <w:color w:val="auto"/>
        </w:rPr>
        <w:t/>
      </w:r>
      <w:r>
        <w:rPr>
          <w:rFonts w:ascii="Arial" w:cs="Arial" w:eastAsia="Arial" w:hAnsi="Arial"/>
          <w:sz w:val="14"/>
          <w:szCs w:val="14"/>
          <w:color w:val="auto"/>
        </w:rPr>
        <w:t>Ѓ</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ˆ˘˖˨˥˜˧˜˘˦</w:t>
      </w:r>
      <w:r>
        <w:rPr>
          <w:rFonts w:ascii="PMingLiU" w:cs="PMingLiU" w:eastAsia="PMingLiU" w:hAnsi="PMingLiU"/>
          <w:sz w:val="14"/>
          <w:szCs w:val="14"/>
          <w:color w:val="auto"/>
        </w:rPr>
        <w:t/>
      </w:r>
      <w:r>
        <w:rPr>
          <w:rFonts w:ascii="Arial" w:cs="Arial" w:eastAsia="Arial" w:hAnsi="Arial"/>
          <w:sz w:val="14"/>
          <w:szCs w:val="14"/>
          <w:color w:val="auto"/>
        </w:rPr>
        <w:t>˔ˡ˗</w:t>
      </w:r>
      <w:r>
        <w:rPr>
          <w:rFonts w:ascii="PMingLiU" w:cs="PMingLiU" w:eastAsia="PMingLiU" w:hAnsi="PMingLiU"/>
          <w:sz w:val="14"/>
          <w:szCs w:val="14"/>
          <w:color w:val="auto"/>
        </w:rPr>
        <w:t/>
      </w:r>
      <w:r>
        <w:rPr>
          <w:rFonts w:ascii="Arial" w:cs="Arial" w:eastAsia="Arial" w:hAnsi="Arial"/>
          <w:sz w:val="14"/>
          <w:szCs w:val="14"/>
          <w:color w:val="auto"/>
        </w:rPr>
        <w:t>ʸ˫˖˛˔ˡ˚˘</w:t>
      </w:r>
      <w:r>
        <w:rPr>
          <w:rFonts w:ascii="PMingLiU" w:cs="PMingLiU" w:eastAsia="PMingLiU" w:hAnsi="PMingLiU"/>
          <w:sz w:val="14"/>
          <w:szCs w:val="14"/>
          <w:color w:val="auto"/>
        </w:rPr>
        <w:t/>
      </w:r>
      <w:r>
        <w:rPr>
          <w:rFonts w:ascii="Arial" w:cs="Arial" w:eastAsia="Arial" w:hAnsi="Arial"/>
          <w:sz w:val="14"/>
          <w:szCs w:val="14"/>
          <w:color w:val="auto"/>
        </w:rPr>
        <w:t>ʶˢˠˠ˜˦˦˜ˢˡ</w:t>
      </w:r>
      <w:r>
        <w:rPr>
          <w:rFonts w:ascii="PMingLiU" w:cs="PMingLiU" w:eastAsia="PMingLiU" w:hAnsi="PMingLiU"/>
          <w:sz w:val="14"/>
          <w:szCs w:val="14"/>
          <w:color w:val="auto"/>
        </w:rPr>
        <w:t/>
      </w:r>
      <w:r>
        <w:rPr>
          <w:rFonts w:ascii="Arial" w:cs="Arial" w:eastAsia="Arial" w:hAnsi="Arial"/>
          <w:sz w:val="14"/>
          <w:szCs w:val="14"/>
          <w:color w:val="auto"/>
        </w:rPr>
        <w:t>ʛ˧˛˘</w:t>
      </w:r>
      <w:r>
        <w:rPr>
          <w:rFonts w:ascii="PMingLiU" w:cs="PMingLiU" w:eastAsia="PMingLiU" w:hAnsi="PMingLiU"/>
          <w:sz w:val="14"/>
          <w:szCs w:val="14"/>
          <w:color w:val="auto"/>
        </w:rPr>
        <w:t/>
      </w:r>
      <w:r>
        <w:rPr>
          <w:rFonts w:ascii="Arial" w:cs="Arial" w:eastAsia="Arial" w:hAnsi="Arial"/>
          <w:sz w:val="14"/>
          <w:szCs w:val="14"/>
          <w:color w:val="auto"/>
        </w:rPr>
        <w:t>Ϣˆʸʶϣʜ</w:t>
      </w:r>
      <w:r>
        <w:rPr>
          <w:rFonts w:ascii="PMingLiU" w:cs="PMingLiU" w:eastAsia="PMingLiU" w:hAnsi="PMingLiU"/>
          <w:sz w:val="14"/>
          <w:szCs w:val="14"/>
          <w:color w:val="auto"/>
        </w:rPr>
        <w:t/>
      </w:r>
      <w:r>
        <w:rPr>
          <w:rFonts w:ascii="Arial" w:cs="Arial" w:eastAsia="Arial" w:hAnsi="Arial"/>
          <w:sz w:val="14"/>
          <w:szCs w:val="14"/>
          <w:color w:val="auto"/>
        </w:rPr>
        <w:t>ˢˡ</w:t>
      </w:r>
      <w:r>
        <w:rPr>
          <w:rFonts w:ascii="PMingLiU" w:cs="PMingLiU" w:eastAsia="PMingLiU" w:hAnsi="PMingLiU"/>
          <w:sz w:val="14"/>
          <w:szCs w:val="14"/>
          <w:color w:val="auto"/>
        </w:rPr>
        <w:t/>
      </w:r>
      <w:r>
        <w:rPr>
          <w:rFonts w:ascii="Arial" w:cs="Arial" w:eastAsia="Arial" w:hAnsi="Arial"/>
          <w:sz w:val="14"/>
          <w:szCs w:val="14"/>
          <w:color w:val="auto"/>
        </w:rPr>
        <w:t>ˀ˔˥˖˛</w:t>
      </w:r>
      <w:r>
        <w:rPr>
          <w:rFonts w:ascii="PMingLiU" w:cs="PMingLiU" w:eastAsia="PMingLiU" w:hAnsi="PMingLiU"/>
          <w:sz w:val="14"/>
          <w:szCs w:val="14"/>
          <w:color w:val="auto"/>
        </w:rPr>
        <w:t/>
      </w:r>
      <w:r>
        <w:rPr>
          <w:rFonts w:ascii="Arial" w:cs="Arial" w:eastAsia="Arial" w:hAnsi="Arial"/>
          <w:sz w:val="14"/>
          <w:szCs w:val="14"/>
          <w:color w:val="auto"/>
        </w:rPr>
        <w:t>ʬʟ</w:t>
      </w:r>
      <w:r>
        <w:rPr>
          <w:rFonts w:ascii="PMingLiU" w:cs="PMingLiU" w:eastAsia="PMingLiU" w:hAnsi="PMingLiU"/>
          <w:sz w:val="14"/>
          <w:szCs w:val="14"/>
          <w:color w:val="auto"/>
        </w:rPr>
        <w:t/>
      </w:r>
      <w:r>
        <w:rPr>
          <w:rFonts w:ascii="Arial" w:cs="Arial" w:eastAsia="Arial" w:hAnsi="Arial"/>
          <w:sz w:val="14"/>
          <w:szCs w:val="14"/>
          <w:color w:val="auto"/>
        </w:rPr>
        <w:t>ʥʣʥʩʟ</w:t>
      </w:r>
      <w:r>
        <w:rPr>
          <w:rFonts w:ascii="PMingLiU" w:cs="PMingLiU" w:eastAsia="PMingLiU" w:hAnsi="PMingLiU"/>
          <w:sz w:val="14"/>
          <w:szCs w:val="14"/>
          <w:color w:val="auto"/>
        </w:rPr>
        <w:t/>
      </w:r>
      <w:r>
        <w:rPr>
          <w:rFonts w:ascii="Arial" w:cs="Arial" w:eastAsia="Arial" w:hAnsi="Arial"/>
          <w:sz w:val="14"/>
          <w:szCs w:val="14"/>
          <w:color w:val="auto"/>
        </w:rPr>
        <w:t>and in our Quarterly</w:t>
      </w:r>
      <w:r>
        <w:rPr>
          <w:rFonts w:ascii="Arial" w:cs="Arial" w:eastAsia="Arial" w:hAnsi="Arial"/>
          <w:sz w:val="14"/>
          <w:szCs w:val="14"/>
          <w:color w:val="auto"/>
        </w:rPr>
        <w:t xml:space="preserve"> ˅˘ˣˢ˥˧˦</w:t>
      </w:r>
      <w:r>
        <w:rPr>
          <w:rFonts w:ascii="PMingLiU" w:cs="PMingLiU" w:eastAsia="PMingLiU" w:hAnsi="PMingLiU"/>
          <w:sz w:val="14"/>
          <w:szCs w:val="14"/>
          <w:color w:val="auto"/>
        </w:rPr>
        <w:t/>
      </w:r>
      <w:r>
        <w:rPr>
          <w:rFonts w:ascii="Arial" w:cs="Arial" w:eastAsia="Arial" w:hAnsi="Arial"/>
          <w:sz w:val="14"/>
          <w:szCs w:val="14"/>
          <w:color w:val="auto"/>
        </w:rPr>
        <w:t>ˢˡ</w:t>
      </w:r>
      <w:r>
        <w:rPr>
          <w:rFonts w:ascii="PMingLiU" w:cs="PMingLiU" w:eastAsia="PMingLiU" w:hAnsi="PMingLiU"/>
          <w:sz w:val="14"/>
          <w:szCs w:val="14"/>
          <w:color w:val="auto"/>
        </w:rPr>
        <w:t/>
      </w:r>
      <w:r>
        <w:rPr>
          <w:rFonts w:ascii="Arial" w:cs="Arial" w:eastAsia="Arial" w:hAnsi="Arial"/>
          <w:sz w:val="14"/>
          <w:szCs w:val="14"/>
          <w:color w:val="auto"/>
        </w:rPr>
        <w:t>ʹˢ˥ˠ</w:t>
      </w:r>
      <w:r>
        <w:rPr>
          <w:rFonts w:ascii="PMingLiU" w:cs="PMingLiU" w:eastAsia="PMingLiU" w:hAnsi="PMingLiU"/>
          <w:sz w:val="14"/>
          <w:szCs w:val="14"/>
          <w:color w:val="auto"/>
        </w:rPr>
        <w:t/>
      </w:r>
      <w:r>
        <w:rPr>
          <w:rFonts w:ascii="Arial" w:cs="Arial" w:eastAsia="Arial" w:hAnsi="Arial"/>
          <w:sz w:val="14"/>
          <w:szCs w:val="14"/>
          <w:color w:val="auto"/>
        </w:rPr>
        <w:t>ʤʣʠ˄</w:t>
      </w:r>
      <w:r>
        <w:rPr>
          <w:rFonts w:ascii="PMingLiU" w:cs="PMingLiU" w:eastAsia="PMingLiU" w:hAnsi="PMingLiU"/>
          <w:sz w:val="14"/>
          <w:szCs w:val="14"/>
          <w:color w:val="auto"/>
        </w:rPr>
        <w:t/>
      </w:r>
      <w:r>
        <w:rPr>
          <w:rFonts w:ascii="Arial" w:cs="Arial" w:eastAsia="Arial" w:hAnsi="Arial"/>
          <w:sz w:val="14"/>
          <w:szCs w:val="14"/>
          <w:color w:val="auto"/>
        </w:rPr>
        <w:t>˔ˡ˗</w:t>
      </w:r>
      <w:r>
        <w:rPr>
          <w:rFonts w:ascii="PMingLiU" w:cs="PMingLiU" w:eastAsia="PMingLiU" w:hAnsi="PMingLiU"/>
          <w:sz w:val="14"/>
          <w:szCs w:val="14"/>
          <w:color w:val="auto"/>
        </w:rPr>
        <w:t/>
      </w:r>
      <w:r>
        <w:rPr>
          <w:rFonts w:ascii="Arial" w:cs="Arial" w:eastAsia="Arial" w:hAnsi="Arial"/>
          <w:sz w:val="14"/>
          <w:szCs w:val="14"/>
          <w:color w:val="auto"/>
        </w:rPr>
        <w:t>ˢ˧˛˘˥</w:t>
      </w:r>
      <w:r>
        <w:rPr>
          <w:rFonts w:ascii="PMingLiU" w:cs="PMingLiU" w:eastAsia="PMingLiU" w:hAnsi="PMingLiU"/>
          <w:sz w:val="14"/>
          <w:szCs w:val="14"/>
          <w:color w:val="auto"/>
        </w:rPr>
        <w:t/>
      </w:r>
      <w:r>
        <w:rPr>
          <w:rFonts w:ascii="Arial" w:cs="Arial" w:eastAsia="Arial" w:hAnsi="Arial"/>
          <w:sz w:val="14"/>
          <w:szCs w:val="14"/>
          <w:color w:val="auto"/>
        </w:rPr>
        <w:t>˗ˢ˖˨ˠ˘ˡ˧˦</w:t>
      </w:r>
      <w:r>
        <w:rPr>
          <w:rFonts w:ascii="PMingLiU" w:cs="PMingLiU" w:eastAsia="PMingLiU" w:hAnsi="PMingLiU"/>
          <w:sz w:val="14"/>
          <w:szCs w:val="14"/>
          <w:color w:val="auto"/>
        </w:rPr>
        <w:t/>
      </w:r>
      <w:r>
        <w:rPr>
          <w:rFonts w:ascii="Arial" w:cs="Arial" w:eastAsia="Arial" w:hAnsi="Arial"/>
          <w:sz w:val="14"/>
          <w:szCs w:val="14"/>
          <w:color w:val="auto"/>
        </w:rPr>
        <w:t>Ѓ</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ˆʸʶ</w:t>
      </w:r>
      <w:r>
        <w:rPr>
          <w:rFonts w:ascii="PMingLiU" w:cs="PMingLiU" w:eastAsia="PMingLiU" w:hAnsi="PMingLiU"/>
          <w:sz w:val="14"/>
          <w:szCs w:val="14"/>
          <w:color w:val="auto"/>
        </w:rPr>
        <w:t/>
      </w:r>
      <w:r>
        <w:rPr>
          <w:rFonts w:ascii="Arial" w:cs="Arial" w:eastAsia="Arial" w:hAnsi="Arial"/>
          <w:sz w:val="14"/>
          <w:szCs w:val="14"/>
          <w:color w:val="auto"/>
        </w:rPr>
        <w:t>˙˥ˢˠ</w:t>
      </w:r>
      <w:r>
        <w:rPr>
          <w:rFonts w:ascii="PMingLiU" w:cs="PMingLiU" w:eastAsia="PMingLiU" w:hAnsi="PMingLiU"/>
          <w:sz w:val="14"/>
          <w:szCs w:val="14"/>
          <w:color w:val="auto"/>
        </w:rPr>
        <w:t/>
      </w:r>
      <w:r>
        <w:rPr>
          <w:rFonts w:ascii="Arial" w:cs="Arial" w:eastAsia="Arial" w:hAnsi="Arial"/>
          <w:sz w:val="14"/>
          <w:szCs w:val="14"/>
          <w:color w:val="auto"/>
        </w:rPr>
        <w:t>˧˜ˠ˘</w:t>
      </w:r>
      <w:r>
        <w:rPr>
          <w:rFonts w:ascii="PMingLiU" w:cs="PMingLiU" w:eastAsia="PMingLiU" w:hAnsi="PMingLiU"/>
          <w:sz w:val="14"/>
          <w:szCs w:val="14"/>
          <w:color w:val="auto"/>
        </w:rPr>
        <w:t/>
      </w:r>
      <w:r>
        <w:rPr>
          <w:rFonts w:ascii="Arial" w:cs="Arial" w:eastAsia="Arial" w:hAnsi="Arial"/>
          <w:sz w:val="14"/>
          <w:szCs w:val="14"/>
          <w:color w:val="auto"/>
        </w:rPr>
        <w:t>˧ˢ</w:t>
      </w:r>
      <w:r>
        <w:rPr>
          <w:rFonts w:ascii="PMingLiU" w:cs="PMingLiU" w:eastAsia="PMingLiU" w:hAnsi="PMingLiU"/>
          <w:sz w:val="14"/>
          <w:szCs w:val="14"/>
          <w:color w:val="auto"/>
        </w:rPr>
        <w:t/>
      </w:r>
      <w:r>
        <w:rPr>
          <w:rFonts w:ascii="Arial" w:cs="Arial" w:eastAsia="Arial" w:hAnsi="Arial"/>
          <w:sz w:val="14"/>
          <w:szCs w:val="14"/>
          <w:color w:val="auto"/>
        </w:rPr>
        <w:t>˧˜ˠ˘ʡ</w:t>
      </w:r>
      <w:r>
        <w:rPr>
          <w:rFonts w:ascii="PMingLiU" w:cs="PMingLiU" w:eastAsia="PMingLiU" w:hAnsi="PMingLiU"/>
          <w:sz w:val="14"/>
          <w:szCs w:val="14"/>
          <w:color w:val="auto"/>
        </w:rPr>
        <w:t/>
      </w:r>
      <w:r>
        <w:rPr>
          <w:rFonts w:ascii="Arial" w:cs="Arial" w:eastAsia="Arial" w:hAnsi="Arial"/>
          <w:sz w:val="14"/>
          <w:szCs w:val="14"/>
          <w:color w:val="auto"/>
        </w:rPr>
        <w:t>ʸ˫˖˘ˣ˧</w:t>
      </w:r>
      <w:r>
        <w:rPr>
          <w:rFonts w:ascii="PMingLiU" w:cs="PMingLiU" w:eastAsia="PMingLiU" w:hAnsi="PMingLiU"/>
          <w:sz w:val="14"/>
          <w:szCs w:val="14"/>
          <w:color w:val="auto"/>
        </w:rPr>
        <w:t/>
      </w:r>
      <w:r>
        <w:rPr>
          <w:rFonts w:ascii="Arial" w:cs="Arial" w:eastAsia="Arial" w:hAnsi="Arial"/>
          <w:sz w:val="14"/>
          <w:szCs w:val="14"/>
          <w:color w:val="auto"/>
        </w:rPr>
        <w:t>˧ˢ</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˘˫˧˘ˡ˧</w:t>
      </w:r>
      <w:r>
        <w:rPr>
          <w:rFonts w:ascii="PMingLiU" w:cs="PMingLiU" w:eastAsia="PMingLiU" w:hAnsi="PMingLiU"/>
          <w:sz w:val="14"/>
          <w:szCs w:val="14"/>
          <w:color w:val="auto"/>
        </w:rPr>
        <w:t/>
      </w:r>
      <w:r>
        <w:rPr>
          <w:rFonts w:ascii="Arial" w:cs="Arial" w:eastAsia="Arial" w:hAnsi="Arial"/>
          <w:sz w:val="14"/>
          <w:szCs w:val="14"/>
          <w:color w:val="auto"/>
        </w:rPr>
        <w:t>˥˘ˤ˨˜˥˘˗</w:t>
      </w:r>
      <w:r>
        <w:rPr>
          <w:rFonts w:ascii="PMingLiU" w:cs="PMingLiU" w:eastAsia="PMingLiU" w:hAnsi="PMingLiU"/>
          <w:sz w:val="14"/>
          <w:szCs w:val="14"/>
          <w:color w:val="auto"/>
        </w:rPr>
        <w:t/>
      </w:r>
      <w:r>
        <w:rPr>
          <w:rFonts w:ascii="Arial" w:cs="Arial" w:eastAsia="Arial" w:hAnsi="Arial"/>
          <w:sz w:val="14"/>
          <w:szCs w:val="14"/>
          <w:color w:val="auto"/>
        </w:rPr>
        <w:t>˕ˬ</w:t>
      </w:r>
      <w:r>
        <w:rPr>
          <w:rFonts w:ascii="PMingLiU" w:cs="PMingLiU" w:eastAsia="PMingLiU" w:hAnsi="PMingLiU"/>
          <w:sz w:val="14"/>
          <w:szCs w:val="14"/>
          <w:color w:val="auto"/>
        </w:rPr>
        <w:t/>
      </w:r>
      <w:r>
        <w:rPr>
          <w:rFonts w:ascii="Arial" w:cs="Arial" w:eastAsia="Arial" w:hAnsi="Arial"/>
          <w:sz w:val="14"/>
          <w:szCs w:val="14"/>
          <w:color w:val="auto"/>
        </w:rPr>
        <w:t>˟˔˪ʟ</w:t>
      </w:r>
      <w:r>
        <w:rPr>
          <w:rFonts w:ascii="PMingLiU" w:cs="PMingLiU" w:eastAsia="PMingLiU" w:hAnsi="PMingLiU"/>
          <w:sz w:val="14"/>
          <w:szCs w:val="14"/>
          <w:color w:val="auto"/>
        </w:rPr>
        <w:t/>
      </w:r>
      <w:r>
        <w:rPr>
          <w:rFonts w:ascii="Arial" w:cs="Arial" w:eastAsia="Arial" w:hAnsi="Arial"/>
          <w:sz w:val="14"/>
          <w:szCs w:val="14"/>
          <w:color w:val="auto"/>
        </w:rPr>
        <w:t>˪˘</w:t>
      </w:r>
      <w:r>
        <w:rPr>
          <w:rFonts w:ascii="PMingLiU" w:cs="PMingLiU" w:eastAsia="PMingLiU" w:hAnsi="PMingLiU"/>
          <w:sz w:val="14"/>
          <w:szCs w:val="14"/>
          <w:color w:val="auto"/>
        </w:rPr>
        <w:t/>
      </w:r>
      <w:r>
        <w:rPr>
          <w:rFonts w:ascii="Arial" w:cs="Arial" w:eastAsia="Arial" w:hAnsi="Arial"/>
          <w:sz w:val="14"/>
          <w:szCs w:val="14"/>
          <w:color w:val="auto"/>
        </w:rPr>
        <w:t>˨ˡ˗˘˥˧˔˞˘</w:t>
      </w:r>
      <w:r>
        <w:rPr>
          <w:rFonts w:ascii="PMingLiU" w:cs="PMingLiU" w:eastAsia="PMingLiU" w:hAnsi="PMingLiU"/>
          <w:sz w:val="14"/>
          <w:szCs w:val="14"/>
          <w:color w:val="auto"/>
        </w:rPr>
        <w:t/>
      </w:r>
      <w:r>
        <w:rPr>
          <w:rFonts w:ascii="Arial" w:cs="Arial" w:eastAsia="Arial" w:hAnsi="Arial"/>
          <w:sz w:val="14"/>
          <w:szCs w:val="14"/>
          <w:color w:val="auto"/>
        </w:rPr>
        <w:t>no obligation to update</w:t>
      </w:r>
      <w:r>
        <w:rPr>
          <w:rFonts w:ascii="Arial" w:cs="Arial" w:eastAsia="Arial" w:hAnsi="Arial"/>
          <w:sz w:val="14"/>
          <w:szCs w:val="14"/>
          <w:color w:val="auto"/>
        </w:rPr>
        <w:t xml:space="preserve"> </w:t>
      </w:r>
      <w:r>
        <w:rPr>
          <w:rFonts w:ascii="Arial" w:cs="Arial" w:eastAsia="Arial" w:hAnsi="Arial"/>
          <w:sz w:val="14"/>
          <w:szCs w:val="14"/>
          <w:color w:val="auto"/>
        </w:rPr>
        <w:t>such statements to reflect events that occur or circumstances that exist after the date on which they were made.</w:t>
      </w:r>
    </w:p>
    <w:p>
      <w:pPr>
        <w:sectPr>
          <w:pgSz w:w="12240" w:h="15840" w:orient="portrait"/>
          <w:cols w:equalWidth="0" w:num="1">
            <w:col w:w="10800"/>
          </w:cols>
          <w:pgMar w:left="860" w:top="1440" w:right="580" w:bottom="0" w:gutter="0" w:footer="0" w:header="0"/>
          <w:type w:val="continuous"/>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482600</wp:posOffset>
            </wp:positionH>
            <wp:positionV relativeFrom="page">
              <wp:posOffset>3903345</wp:posOffset>
            </wp:positionV>
            <wp:extent cx="1545590"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extLst>
                    </a:blip>
                    <a:srcRect/>
                    <a:stretch>
                      <a:fillRect/>
                    </a:stretch>
                  </pic:blipFill>
                  <pic:spPr bwMode="auto">
                    <a:xfrm>
                      <a:off x="0" y="0"/>
                      <a:ext cx="15455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000001"/>
        </w:rPr>
        <w:t>ALX Oncology Holdings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000001"/>
        </w:rPr>
        <w:t>323 Allerton Avenue</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000001"/>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445135</wp:posOffset>
            </wp:positionV>
            <wp:extent cx="7719695" cy="49123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extLst>
                    </a:blip>
                    <a:srcRect/>
                    <a:stretch>
                      <a:fillRect/>
                    </a:stretch>
                  </pic:blipFill>
                  <pic:spPr bwMode="auto">
                    <a:xfrm>
                      <a:off x="0" y="0"/>
                      <a:ext cx="7719695" cy="4912360"/>
                    </a:xfrm>
                    <a:prstGeom prst="rect">
                      <a:avLst/>
                    </a:prstGeom>
                    <a:noFill/>
                  </pic:spPr>
                </pic:pic>
              </a:graphicData>
            </a:graphic>
          </wp:anchor>
        </w:drawing>
      </w:r>
    </w:p>
    <w:p>
      <w:pPr>
        <w:sectPr>
          <w:pgSz w:w="12240" w:h="15840" w:orient="portrait"/>
          <w:cols w:equalWidth="0" w:num="1">
            <w:col w:w="10020"/>
          </w:cols>
          <w:pgMar w:left="7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color w:val="FFFFFF"/>
        </w:rPr>
        <w:t>www.ALXOncology.com</w:t>
      </w:r>
    </w:p>
    <w:sectPr>
      <w:pgSz w:w="12240" w:h="15840" w:orient="portrait"/>
      <w:cols w:equalWidth="0" w:num="1">
        <w:col w:w="10020"/>
      </w:cols>
      <w:pgMar w:left="78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Segoe UI">
    <w:panose1 w:val="020B0502040204020203"/>
    <w:charset w:val="00"/>
    <w:family w:val="swiss"/>
    <w:pitch w:val="variable"/>
    <w:sig w:usb0="E4002EFF" w:usb1="C000E47F" w:usb2="00000009" w:usb3="00000000" w:csb0="200001FF" w:csb1="0000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0A64E2A"/>
    <w:multiLevelType w:val="hybridMultilevel"/>
    <w:lvl w:ilvl="0">
      <w:lvlJc w:val="left"/>
      <w:lvlText w:val="շ"/>
      <w:numFmt w:val="bullet"/>
      <w:start w:val="1"/>
    </w:lvl>
  </w:abstractNum>
  <w:abstractNum w:abstractNumId="1">
    <w:nsid w:val="6A2342EC"/>
    <w:multiLevelType w:val="hybridMultilevel"/>
    <w:lvl w:ilvl="0">
      <w:lvlJc w:val="left"/>
      <w:lvlText w:val="ն"/>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lvl w:ilvl="1">
      <w:lvlJc w:val="left"/>
      <w:lvlText w:val="ο"/>
      <w:numFmt w:val="bullet"/>
      <w:start w:val="1"/>
    </w:lvl>
  </w:abstractNum>
  <w:abstractNum w:abstractNumId="5">
    <w:nsid w:val="2CD89A32"/>
    <w:multiLevelType w:val="hybridMultilevel"/>
    <w:lvl w:ilvl="0">
      <w:lvlJc w:val="left"/>
      <w:lvlText w:val=""/>
      <w:numFmt w:val="bullet"/>
      <w:start w:val="1"/>
    </w:lvl>
    <w:lvl w:ilvl="1">
      <w:lvlJc w:val="left"/>
      <w:lvlText w:val="ο"/>
      <w:numFmt w:val="bullet"/>
      <w:start w:val="1"/>
    </w:lvl>
  </w:abstractNum>
  <w:abstractNum w:abstractNumId="6">
    <w:nsid w:val="57E4CCAF"/>
    <w:multiLevelType w:val="hybridMultilevel"/>
    <w:lvl w:ilvl="0">
      <w:lvlJc w:val="left"/>
      <w:lvlText w:val=""/>
      <w:numFmt w:val="bullet"/>
      <w:start w:val="1"/>
    </w:lvl>
    <w:lvl w:ilvl="1">
      <w:lvlJc w:val="left"/>
      <w:lvlText w:val="ο"/>
      <w:numFmt w:val="bullet"/>
      <w:start w:val="1"/>
    </w:lvl>
    <w:lvl w:ilvl="2">
      <w:lvlJc w:val="left"/>
      <w:lvlText w:val="•"/>
      <w:numFmt w:val="bullet"/>
      <w:start w:val="1"/>
    </w:lvl>
  </w:abstractNum>
  <w:abstractNum w:abstractNumId="7">
    <w:nsid w:val="7A6D8D3C"/>
    <w:multiLevelType w:val="hybridMultilevel"/>
    <w:lvl w:ilvl="0">
      <w:lvlJc w:val="left"/>
      <w:lvlText w:val=""/>
      <w:numFmt w:val="bullet"/>
      <w:start w:val="1"/>
    </w:lvl>
    <w:lvl w:ilvl="1">
      <w:lvlJc w:val="left"/>
      <w:lvlText w:val="ο"/>
      <w:numFmt w:val="bullet"/>
      <w:start w:val="1"/>
    </w:lvl>
  </w:abstractNum>
  <w:abstractNum w:abstractNumId="8">
    <w:nsid w:val="4B588F54"/>
    <w:multiLevelType w:val="hybridMultilevel"/>
    <w:lvl w:ilvl="0">
      <w:lvlJc w:val="left"/>
      <w:lvlText w:val=""/>
      <w:numFmt w:val="bullet"/>
      <w:start w:val="1"/>
    </w:lvl>
    <w:lvl w:ilvl="1">
      <w:lvlJc w:val="left"/>
      <w:lvlText w:val="ο"/>
      <w:numFmt w:val="bullet"/>
      <w:start w:val="1"/>
    </w:lvl>
  </w:abstractNum>
  <w:abstractNum w:abstractNumId="9">
    <w:nsid w:val="542289EC"/>
    <w:multiLevelType w:val="hybridMultilevel"/>
    <w:lvl w:ilvl="0">
      <w:lvlJc w:val="left"/>
      <w:lvlText w:val=""/>
      <w:numFmt w:val="bullet"/>
      <w:start w:val="1"/>
    </w:lvl>
    <w:lvl w:ilvl="1">
      <w:lvlJc w:val="left"/>
      <w:lvlText w:val="ο"/>
      <w:numFmt w:val="bullet"/>
      <w:start w:val="1"/>
    </w:lvl>
  </w:abstractNum>
  <w:abstractNum w:abstractNumId="10">
    <w:nsid w:val="6DE91B18"/>
    <w:multiLevelType w:val="hybridMultilevel"/>
    <w:lvl w:ilvl="0">
      <w:lvlJc w:val="left"/>
      <w:lvlText w:val="ο"/>
      <w:numFmt w:val="bullet"/>
      <w:start w:val="1"/>
    </w:lvl>
  </w:abstractNum>
  <w:abstractNum w:abstractNumId="11">
    <w:nsid w:val="38437FDB"/>
    <w:multiLevelType w:val="hybridMultilevel"/>
    <w:lvl w:ilvl="0">
      <w:lvlJc w:val="left"/>
      <w:lvlText w:val=""/>
      <w:numFmt w:val="bullet"/>
      <w:start w:val="1"/>
    </w:lvl>
    <w:lvl w:ilvl="1">
      <w:lvlJc w:val="left"/>
      <w:lvlText w:val="ο"/>
      <w:numFmt w:val="bullet"/>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abstractNum>
  <w:abstractNum w:abstractNumId="26">
    <w:nsid w:val="23F9C13C"/>
    <w:multiLevelType w:val="hybridMultilevel"/>
    <w:lvl w:ilvl="0">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
      <w:numFmt w:val="bullet"/>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
      <w:numFmt w:val="bullet"/>
      <w:start w:val="1"/>
    </w:lvl>
  </w:abstractNum>
  <w:abstractNum w:abstractNumId="40">
    <w:nsid w:val="61574095"/>
    <w:multiLevelType w:val="hybridMultilevel"/>
    <w:lvl w:ilvl="0">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lvl w:ilvl="1">
      <w:lvlJc w:val="left"/>
      <w:lvlText w:val="ο"/>
      <w:numFmt w:val="bullet"/>
      <w:start w:val="1"/>
    </w:lvl>
  </w:abstractNum>
  <w:abstractNum w:abstractNumId="53">
    <w:nsid w:val="100F8FCA"/>
    <w:multiLevelType w:val="hybridMultilevel"/>
    <w:lvl w:ilvl="0">
      <w:lvlJc w:val="left"/>
      <w:lvlText w:val="ο"/>
      <w:numFmt w:val="bullet"/>
      <w:start w:val="1"/>
    </w:lvl>
  </w:abstractNum>
  <w:abstractNum w:abstractNumId="54">
    <w:nsid w:val="6590700B"/>
    <w:multiLevelType w:val="hybridMultilevel"/>
    <w:lvl w:ilvl="0">
      <w:lvlJc w:val="left"/>
      <w:lvlText w:val=""/>
      <w:numFmt w:val="bullet"/>
      <w:start w:val="1"/>
    </w:lvl>
    <w:lvl w:ilvl="1">
      <w:lvlJc w:val="left"/>
      <w:lvlText w:val="ο"/>
      <w:numFmt w:val="bullet"/>
      <w:start w:val="1"/>
    </w:lvl>
  </w:abstractNum>
  <w:abstractNum w:abstractNumId="55">
    <w:nsid w:val="15014ACB"/>
    <w:multiLevelType w:val="hybridMultilevel"/>
    <w:lvl w:ilvl="0">
      <w:lvlJc w:val="left"/>
      <w:lvlText w:val="ο"/>
      <w:numFmt w:val="bullet"/>
      <w:start w:val="1"/>
    </w:lvl>
    <w:lvl w:ilvl="1">
      <w:lvlJc w:val="left"/>
      <w:lvlText w:val="•"/>
      <w:numFmt w:val="bullet"/>
      <w:start w:val="1"/>
    </w:lvl>
  </w:abstractNum>
  <w:abstractNum w:abstractNumId="56">
    <w:nsid w:val="5F5E7FD0"/>
    <w:multiLevelType w:val="hybridMultilevel"/>
    <w:lvl w:ilvl="0">
      <w:lvlJc w:val="left"/>
      <w:lvlText w:val=""/>
      <w:numFmt w:val="bullet"/>
      <w:start w:val="1"/>
    </w:lvl>
    <w:lvl w:ilvl="1">
      <w:lvlJc w:val="left"/>
      <w:lvlText w:val="ο"/>
      <w:numFmt w:val="bullet"/>
      <w:start w:val="1"/>
    </w:lvl>
  </w:abstractNum>
  <w:abstractNum w:abstractNumId="57">
    <w:nsid w:val="98A3148"/>
    <w:multiLevelType w:val="hybridMultilevel"/>
    <w:lvl w:ilvl="0">
      <w:lvlJc w:val="left"/>
      <w:lvlText w:val=""/>
      <w:numFmt w:val="bullet"/>
      <w:start w:val="1"/>
    </w:lvl>
    <w:lvl w:ilvl="1">
      <w:lvlJc w:val="left"/>
      <w:lvlText w:val="ο"/>
      <w:numFmt w:val="bullet"/>
      <w:start w:val="1"/>
    </w:lvl>
  </w:abstractNum>
  <w:abstractNum w:abstractNumId="58">
    <w:nsid w:val="799D0247"/>
    <w:multiLevelType w:val="hybridMultilevel"/>
    <w:lvl w:ilvl="0">
      <w:lvlJc w:val="left"/>
      <w:lvlText w:val="ο"/>
      <w:numFmt w:val="bullet"/>
      <w:start w:val="1"/>
    </w:lvl>
  </w:abstractNum>
  <w:abstractNum w:abstractNumId="59">
    <w:nsid w:val="6B94764"/>
    <w:multiLevelType w:val="hybridMultilevel"/>
    <w:lvl w:ilvl="0">
      <w:lvlJc w:val="left"/>
      <w:lvlText w:val=""/>
      <w:numFmt w:val="bullet"/>
      <w:start w:val="1"/>
    </w:lvl>
    <w:lvl w:ilvl="1">
      <w:lvlJc w:val="left"/>
      <w:lvlText w:val="ο"/>
      <w:numFmt w:val="bullet"/>
      <w:start w:val="1"/>
    </w:lvl>
  </w:abstractNum>
  <w:abstractNum w:abstractNumId="60">
    <w:nsid w:val="42C296BD"/>
    <w:multiLevelType w:val="hybridMultilevel"/>
    <w:lvl w:ilvl="0">
      <w:lvlJc w:val="left"/>
      <w:lvlText w:val=""/>
      <w:numFmt w:val="bullet"/>
      <w:start w:val="1"/>
    </w:lvl>
    <w:lvl w:ilvl="1">
      <w:lvlJc w:val="left"/>
      <w:lvlText w:val="ο"/>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1)"/>
      <w:numFmt w:val="decimal"/>
      <w:start w:val="1"/>
    </w:lvl>
  </w:abstractNum>
  <w:abstractNum w:abstractNumId="69">
    <w:nsid w:val="BF72B14"/>
    <w:multiLevelType w:val="hybridMultilevel"/>
    <w:lvl w:ilvl="0">
      <w:lvlJc w:val="left"/>
      <w:lvlText w:val="(%1)"/>
      <w:numFmt w:val="decimal"/>
      <w:start w:val="5"/>
    </w:lvl>
  </w:abstractNum>
  <w:abstractNum w:abstractNumId="70">
    <w:nsid w:val="11447B73"/>
    <w:multiLevelType w:val="hybridMultilevel"/>
    <w:lvl w:ilvl="0">
      <w:lvlJc w:val="left"/>
      <w:lvlText w:val="(%1)"/>
      <w:numFmt w:val="lowerRoman"/>
      <w:start w:val="1"/>
    </w:lvl>
  </w:abstractNum>
  <w:abstractNum w:abstractNumId="71">
    <w:nsid w:val="42963E5A"/>
    <w:multiLevelType w:val="hybridMultilevel"/>
    <w:lvl w:ilvl="0">
      <w:lvlJc w:val="left"/>
      <w:lvlText w:val="(%1)"/>
      <w:numFmt w:val="lowerRoman"/>
      <w:start w:val="1"/>
    </w:lvl>
  </w:abstractNum>
  <w:abstractNum w:abstractNumId="72">
    <w:nsid w:val="A0382C5"/>
    <w:multiLevelType w:val="hybridMultilevel"/>
    <w:lvl w:ilvl="0">
      <w:lvlJc w:val="left"/>
      <w:lvlText w:val="(%1)"/>
      <w:numFmt w:val="decimal"/>
      <w:start w:val="9"/>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1)"/>
      <w:numFmt w:val="decimal"/>
      <w:start w:val="13"/>
    </w:lvl>
  </w:abstractNum>
  <w:abstractNum w:abstractNumId="76">
    <w:nsid w:val="68EB2F63"/>
    <w:multiLevelType w:val="hybridMultilevel"/>
    <w:lvl w:ilvl="0">
      <w:lvlJc w:val="left"/>
      <w:lvlText w:val="(%1)"/>
      <w:numFmt w:val="decimal"/>
      <w:start w:val="14"/>
    </w:lvl>
  </w:abstractNum>
  <w:abstractNum w:abstractNumId="77">
    <w:nsid w:val="4962813B"/>
    <w:multiLevelType w:val="hybridMultilevel"/>
    <w:lvl w:ilvl="0">
      <w:lvlJc w:val="left"/>
      <w:lvlText w:val="(%1)"/>
      <w:numFmt w:val="lowerLetter"/>
      <w:start w:val="1"/>
    </w:lvl>
  </w:abstractNum>
  <w:abstractNum w:abstractNumId="78">
    <w:nsid w:val="60B6DF70"/>
    <w:multiLevelType w:val="hybridMultilevel"/>
    <w:lvl w:ilvl="0">
      <w:lvlJc w:val="left"/>
      <w:lvlText w:val="(%1)"/>
      <w:numFmt w:val="decimal"/>
      <w:start w:val="1"/>
    </w:lvl>
  </w:abstractNum>
  <w:abstractNum w:abstractNumId="79">
    <w:nsid w:val="6A5EE64"/>
    <w:multiLevelType w:val="hybridMultilevel"/>
    <w:lvl w:ilvl="0">
      <w:lvlJc w:val="left"/>
      <w:lvlText w:val="(%1)"/>
      <w:numFmt w:val="decimal"/>
      <w:start w:val="2"/>
    </w:lvl>
  </w:abstractNum>
  <w:abstractNum w:abstractNumId="80">
    <w:nsid w:val="14330624"/>
    <w:multiLevelType w:val="hybridMultilevel"/>
    <w:lvl w:ilvl="0">
      <w:lvlJc w:val="left"/>
      <w:lvlText w:val="(%1)"/>
      <w:numFmt w:val="decimal"/>
      <w:start w:val="3"/>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2026-04-20T16:31:16Z</dcterms:created>
  <dcterms:modified xsi:type="dcterms:W3CDTF">2026-04-20T16:31:16Z</dcterms:modified>
</cp:coreProperties>
</file>