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47625</wp:posOffset>
            </wp:positionV>
            <wp:extent cx="548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58420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460" w:right="760" w:hanging="452"/>
        <w:spacing w:after="0"/>
        <w:tabs>
          <w:tab w:leader="none" w:pos="460" w:val="left"/>
        </w:tabs>
        <w:numPr>
          <w:ilvl w:val="0"/>
          <w:numId w:val="2"/>
        </w:numPr>
        <w:rPr>
          <w:rFonts w:ascii="MS PGothic" w:cs="MS PGothic" w:eastAsia="MS PGothic" w:hAnsi="MS PGothic"/>
          <w:sz w:val="29"/>
          <w:szCs w:val="29"/>
          <w:color w:val="auto"/>
          <w:highlight w:val="black"/>
          <w:vertAlign w:val="subscript"/>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52"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6140" w:type="dxa"/>
            <w:vAlign w:val="bottom"/>
            <w:gridSpan w:val="3"/>
          </w:tcPr>
          <w:p>
            <w:pPr>
              <w:jc w:val="center"/>
              <w:ind w:left="1776"/>
              <w:spacing w:after="0"/>
              <w:rPr>
                <w:sz w:val="20"/>
                <w:szCs w:val="20"/>
                <w:color w:val="auto"/>
              </w:rPr>
            </w:pPr>
            <w:r>
              <w:rPr>
                <w:rFonts w:ascii="Arial" w:cs="Arial" w:eastAsia="Arial" w:hAnsi="Arial"/>
                <w:sz w:val="18"/>
                <w:szCs w:val="18"/>
                <w:b w:val="1"/>
                <w:bCs w:val="1"/>
                <w:color w:val="auto"/>
                <w:w w:val="90"/>
              </w:rPr>
              <w:t>Commission File Number 001-39386</w:t>
            </w:r>
          </w:p>
        </w:tc>
        <w:tc>
          <w:tcPr>
            <w:tcW w:w="1240" w:type="dxa"/>
            <w:vAlign w:val="bottom"/>
          </w:tcPr>
          <w:p>
            <w:pPr>
              <w:spacing w:after="0"/>
              <w:rPr>
                <w:sz w:val="20"/>
                <w:szCs w:val="20"/>
                <w:color w:val="auto"/>
              </w:rPr>
            </w:pPr>
          </w:p>
        </w:tc>
      </w:tr>
      <w:tr>
        <w:trPr>
          <w:trHeight w:val="68"/>
        </w:trPr>
        <w:tc>
          <w:tcPr>
            <w:tcW w:w="35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18"/>
        </w:trPr>
        <w:tc>
          <w:tcPr>
            <w:tcW w:w="6140" w:type="dxa"/>
            <w:vAlign w:val="bottom"/>
            <w:gridSpan w:val="3"/>
          </w:tcPr>
          <w:p>
            <w:pPr>
              <w:jc w:val="center"/>
              <w:ind w:left="1776"/>
              <w:spacing w:after="0"/>
              <w:rPr>
                <w:sz w:val="20"/>
                <w:szCs w:val="20"/>
                <w:color w:val="auto"/>
              </w:rPr>
            </w:pPr>
            <w:r>
              <w:rPr>
                <w:rFonts w:ascii="Arial" w:cs="Arial" w:eastAsia="Arial" w:hAnsi="Arial"/>
                <w:sz w:val="18"/>
                <w:szCs w:val="18"/>
                <w:b w:val="1"/>
                <w:bCs w:val="1"/>
                <w:color w:val="auto"/>
              </w:rPr>
              <w:t>ALX ONCOLOGY HOLDINGS INC.</w:t>
            </w:r>
          </w:p>
        </w:tc>
        <w:tc>
          <w:tcPr>
            <w:tcW w:w="1240" w:type="dxa"/>
            <w:vAlign w:val="bottom"/>
          </w:tcPr>
          <w:p>
            <w:pPr>
              <w:spacing w:after="0"/>
              <w:rPr>
                <w:sz w:val="18"/>
                <w:szCs w:val="18"/>
                <w:color w:val="auto"/>
              </w:rPr>
            </w:pPr>
          </w:p>
        </w:tc>
      </w:tr>
      <w:tr>
        <w:trPr>
          <w:trHeight w:val="234"/>
        </w:trPr>
        <w:tc>
          <w:tcPr>
            <w:tcW w:w="6140" w:type="dxa"/>
            <w:vAlign w:val="bottom"/>
            <w:gridSpan w:val="3"/>
          </w:tcPr>
          <w:p>
            <w:pPr>
              <w:jc w:val="center"/>
              <w:ind w:left="1776"/>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240" w:type="dxa"/>
            <w:vAlign w:val="bottom"/>
          </w:tcPr>
          <w:p>
            <w:pPr>
              <w:spacing w:after="0"/>
              <w:rPr>
                <w:sz w:val="20"/>
                <w:szCs w:val="20"/>
                <w:color w:val="auto"/>
              </w:rPr>
            </w:pPr>
          </w:p>
        </w:tc>
      </w:tr>
      <w:tr>
        <w:trPr>
          <w:trHeight w:val="68"/>
        </w:trPr>
        <w:tc>
          <w:tcPr>
            <w:tcW w:w="35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27"/>
        </w:trPr>
        <w:tc>
          <w:tcPr>
            <w:tcW w:w="614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85-0642577</w:t>
            </w:r>
          </w:p>
        </w:tc>
      </w:tr>
      <w:tr>
        <w:trPr>
          <w:trHeight w:val="148"/>
        </w:trPr>
        <w:tc>
          <w:tcPr>
            <w:tcW w:w="614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6140" w:type="dxa"/>
            <w:vAlign w:val="bottom"/>
            <w:gridSpan w:val="3"/>
          </w:tcPr>
          <w:p>
            <w:pPr>
              <w:jc w:val="center"/>
              <w:ind w:right="3740"/>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2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614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91"/>
              </w:rPr>
              <w:t>866 Malcolm Road, Suite 100</w:t>
            </w:r>
          </w:p>
        </w:tc>
        <w:tc>
          <w:tcPr>
            <w:tcW w:w="1240" w:type="dxa"/>
            <w:vAlign w:val="bottom"/>
          </w:tcPr>
          <w:p>
            <w:pPr>
              <w:spacing w:after="0"/>
              <w:rPr>
                <w:sz w:val="18"/>
                <w:szCs w:val="18"/>
                <w:color w:val="auto"/>
              </w:rPr>
            </w:pPr>
          </w:p>
        </w:tc>
      </w:tr>
      <w:tr>
        <w:trPr>
          <w:trHeight w:val="212"/>
        </w:trPr>
        <w:tc>
          <w:tcPr>
            <w:tcW w:w="614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93"/>
              </w:rPr>
              <w:t>Burlingame, California</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94010</w:t>
            </w: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bl>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650-466-7125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51435</wp:posOffset>
            </wp:positionV>
            <wp:extent cx="548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5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line="151" w:lineRule="exact"/>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4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color w:val="auto"/>
                <w:w w:val="91"/>
              </w:rPr>
              <w:t>Common Stock, par value $0.001 per share</w:t>
            </w:r>
          </w:p>
        </w:tc>
        <w:tc>
          <w:tcPr>
            <w:tcW w:w="120" w:type="dxa"/>
            <w:vAlign w:val="bottom"/>
          </w:tcPr>
          <w:p>
            <w:pPr>
              <w:spacing w:after="0"/>
              <w:rPr>
                <w:sz w:val="13"/>
                <w:szCs w:val="13"/>
                <w:color w:val="auto"/>
              </w:rPr>
            </w:pPr>
          </w:p>
        </w:tc>
        <w:tc>
          <w:tcPr>
            <w:tcW w:w="224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color w:val="auto"/>
              </w:rPr>
              <w:t>ALXO</w:t>
            </w:r>
          </w:p>
        </w:tc>
        <w:tc>
          <w:tcPr>
            <w:tcW w:w="100" w:type="dxa"/>
            <w:vAlign w:val="bottom"/>
          </w:tcPr>
          <w:p>
            <w:pPr>
              <w:spacing w:after="0"/>
              <w:rPr>
                <w:sz w:val="13"/>
                <w:szCs w:val="13"/>
                <w:color w:val="auto"/>
              </w:rPr>
            </w:pPr>
          </w:p>
        </w:tc>
        <w:tc>
          <w:tcPr>
            <w:tcW w:w="438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86"/>
        </w:trPr>
        <w:tc>
          <w:tcPr>
            <w:tcW w:w="452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3540"/>
        <w:spacing w:after="0" w:line="21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4" w:lineRule="exact"/>
        <w:rPr>
          <w:sz w:val="24"/>
          <w:szCs w:val="24"/>
          <w:color w:val="auto"/>
        </w:rPr>
      </w:pPr>
    </w:p>
    <w:p>
      <w:pPr>
        <w:ind w:right="56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60"/>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20"/>
        <w:spacing w:after="0" w:line="231" w:lineRule="auto"/>
        <w:rPr>
          <w:sz w:val="20"/>
          <w:szCs w:val="20"/>
          <w:color w:val="auto"/>
        </w:rPr>
      </w:pPr>
      <w:r>
        <w:rPr>
          <w:rFonts w:ascii="Arial" w:cs="Arial" w:eastAsia="Arial" w:hAnsi="Arial"/>
          <w:sz w:val="14"/>
          <w:szCs w:val="14"/>
          <w:color w:val="auto"/>
        </w:rPr>
        <w:t>The aggregate market value of the common stock held by non-affiliates of the Registrant, based on the closing price of the shares of common stock on The Nasdaq Stock Market on December 31, 2020, was $1.5 billion. The Registrant has elected to use December 31, 2020 as the calculation date, which was the last trading date of the Registrant’s most recently completed fiscal year, because on June 30, 2020 (the last business day of the Registrant’s most recently completed second fiscal quarter), the Registrant was a privately held company. Shares of common stock owned by each executive officer, director, and holder of more than 5% of the Registrant’s common stock have been excluded in that such persons may be deemed to be affiliates of the Registrant. This calculation does not reflect a determination that certain persons are affiliates of the Registrant for any other purpose.</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12, 2021 was 40,127,198.</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28" w:lineRule="exact"/>
        <w:rPr>
          <w:sz w:val="24"/>
          <w:szCs w:val="24"/>
          <w:color w:val="auto"/>
        </w:rPr>
      </w:pPr>
    </w:p>
    <w:p>
      <w:pPr>
        <w:ind w:right="200"/>
        <w:spacing w:after="0" w:line="290" w:lineRule="auto"/>
        <w:rPr>
          <w:sz w:val="20"/>
          <w:szCs w:val="20"/>
          <w:color w:val="auto"/>
        </w:rPr>
      </w:pPr>
      <w:r>
        <w:rPr>
          <w:rFonts w:ascii="Arial" w:cs="Arial" w:eastAsia="Arial" w:hAnsi="Arial"/>
          <w:sz w:val="13"/>
          <w:szCs w:val="13"/>
          <w:color w:val="auto"/>
        </w:rPr>
        <w:t>Certain portions of the registrant's definitive proxy statement relating to the Company's 2021 Annual Meeting of Stockholders, to be filed with the Securities and Exchange Commission within 120 days of the registrant's fiscal year ended December 31, 2020,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172720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00" w:type="dxa"/>
            <w:vAlign w:val="bottom"/>
            <w:gridSpan w:val="8"/>
          </w:tcPr>
          <w:p>
            <w:pPr>
              <w:ind w:left="46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8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line="190" w:lineRule="exact"/>
              <w:rPr>
                <w:rFonts w:ascii="Arial" w:cs="Arial" w:eastAsia="Arial" w:hAnsi="Arial"/>
                <w:sz w:val="18"/>
                <w:szCs w:val="18"/>
                <w:color w:val="0000EE"/>
                <w:w w:val="82"/>
              </w:rPr>
            </w:pPr>
            <w:hyperlink w:anchor="page5">
              <w:r>
                <w:rPr>
                  <w:rFonts w:ascii="Arial" w:cs="Arial" w:eastAsia="Arial" w:hAnsi="Arial"/>
                  <w:sz w:val="18"/>
                  <w:szCs w:val="18"/>
                  <w:color w:val="0000EE"/>
                  <w:w w:val="82"/>
                </w:rPr>
                <w:t>Business</w:t>
              </w:r>
            </w:hyperlink>
          </w:p>
        </w:tc>
        <w:tc>
          <w:tcPr>
            <w:tcW w:w="8780" w:type="dxa"/>
            <w:vAlign w:val="bottom"/>
            <w:gridSpan w:val="19"/>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1A.</w:t>
            </w:r>
          </w:p>
        </w:tc>
        <w:tc>
          <w:tcPr>
            <w:tcW w:w="940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1B.</w:t>
            </w:r>
          </w:p>
        </w:tc>
        <w:tc>
          <w:tcPr>
            <w:tcW w:w="940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Unresolved Staff Comments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2.</w:t>
            </w:r>
          </w:p>
        </w:tc>
        <w:tc>
          <w:tcPr>
            <w:tcW w:w="2020" w:type="dxa"/>
            <w:vAlign w:val="bottom"/>
            <w:tcBorders>
              <w:top w:val="single" w:sz="8" w:color="0000EE"/>
            </w:tcBorders>
            <w:gridSpan w:val="9"/>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Properties</w:t>
              </w:r>
            </w:hyperlink>
          </w:p>
        </w:tc>
        <w:tc>
          <w:tcPr>
            <w:tcW w:w="738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3.</w:t>
            </w:r>
          </w:p>
        </w:tc>
        <w:tc>
          <w:tcPr>
            <w:tcW w:w="940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4.</w:t>
            </w:r>
          </w:p>
        </w:tc>
        <w:tc>
          <w:tcPr>
            <w:tcW w:w="940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79"/>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400" w:type="dxa"/>
            <w:vAlign w:val="bottom"/>
            <w:gridSpan w:val="20"/>
          </w:tcPr>
          <w:p>
            <w:pPr>
              <w:spacing w:after="0" w:line="190" w:lineRule="exact"/>
              <w:rPr>
                <w:rFonts w:ascii="Arial" w:cs="Arial" w:eastAsia="Arial" w:hAnsi="Arial"/>
                <w:sz w:val="18"/>
                <w:szCs w:val="18"/>
                <w:color w:val="0000EE"/>
              </w:rPr>
            </w:pPr>
            <w:hyperlink w:anchor="page97">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6.</w:t>
            </w:r>
          </w:p>
        </w:tc>
        <w:tc>
          <w:tcPr>
            <w:tcW w:w="8040" w:type="dxa"/>
            <w:vAlign w:val="bottom"/>
            <w:tcBorders>
              <w:top w:val="single" w:sz="8" w:color="0000EE"/>
            </w:tcBorders>
            <w:gridSpan w:val="1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Selected Financial Data</w:t>
              </w:r>
            </w:hyperlink>
          </w:p>
        </w:tc>
        <w:tc>
          <w:tcPr>
            <w:tcW w:w="1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Quantitative and Qualitative Disclosures About Market Risk</w:t>
              </w:r>
            </w:hyperlink>
          </w:p>
        </w:tc>
        <w:tc>
          <w:tcPr>
            <w:tcW w:w="506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8.</w:t>
            </w:r>
          </w:p>
        </w:tc>
        <w:tc>
          <w:tcPr>
            <w:tcW w:w="9400" w:type="dxa"/>
            <w:vAlign w:val="bottom"/>
            <w:gridSpan w:val="20"/>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Financial Statements and Supplementary Data</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9.</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43">
              <w:r>
                <w:rPr>
                  <w:rFonts w:ascii="Arial" w:cs="Arial" w:eastAsia="Arial" w:hAnsi="Arial"/>
                  <w:sz w:val="18"/>
                  <w:szCs w:val="18"/>
                  <w:color w:val="0000EE"/>
                  <w:w w:val="90"/>
                </w:rPr>
                <w:t>Changes in and Disagreements with Accountants on Accounting and Financial Disclosure</w:t>
              </w:r>
            </w:hyperlink>
          </w:p>
        </w:tc>
        <w:tc>
          <w:tcPr>
            <w:tcW w:w="294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9A.</w:t>
            </w:r>
          </w:p>
        </w:tc>
        <w:tc>
          <w:tcPr>
            <w:tcW w:w="9400" w:type="dxa"/>
            <w:vAlign w:val="bottom"/>
            <w:gridSpan w:val="20"/>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40" w:type="dxa"/>
            <w:vAlign w:val="bottom"/>
            <w:tcBorders>
              <w:top w:val="single" w:sz="8" w:color="0000EE"/>
            </w:tcBorders>
            <w:gridSpan w:val="7"/>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Other Information</w:t>
              </w:r>
            </w:hyperlink>
          </w:p>
        </w:tc>
        <w:tc>
          <w:tcPr>
            <w:tcW w:w="766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479"/>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400" w:type="dxa"/>
            <w:vAlign w:val="bottom"/>
            <w:gridSpan w:val="20"/>
          </w:tcPr>
          <w:p>
            <w:pPr>
              <w:spacing w:after="0" w:line="190" w:lineRule="exact"/>
              <w:rPr>
                <w:rFonts w:ascii="Arial" w:cs="Arial" w:eastAsia="Arial" w:hAnsi="Arial"/>
                <w:sz w:val="18"/>
                <w:szCs w:val="18"/>
                <w:color w:val="0000EE"/>
              </w:rPr>
            </w:pPr>
            <w:hyperlink w:anchor="page144">
              <w:r>
                <w:rPr>
                  <w:rFonts w:ascii="Arial" w:cs="Arial" w:eastAsia="Arial" w:hAnsi="Arial"/>
                  <w:sz w:val="18"/>
                  <w:szCs w:val="18"/>
                  <w:color w:val="0000EE"/>
                </w:rPr>
                <w:t>Directors, Executive Officers and Corporate Governance</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11.</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44">
              <w:r>
                <w:rPr>
                  <w:rFonts w:ascii="Arial" w:cs="Arial" w:eastAsia="Arial" w:hAnsi="Arial"/>
                  <w:sz w:val="18"/>
                  <w:szCs w:val="18"/>
                  <w:color w:val="0000EE"/>
                  <w:w w:val="88"/>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34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12.</w:t>
            </w:r>
          </w:p>
        </w:tc>
        <w:tc>
          <w:tcPr>
            <w:tcW w:w="9400" w:type="dxa"/>
            <w:vAlign w:val="bottom"/>
            <w:gridSpan w:val="2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60" w:type="dxa"/>
            <w:vAlign w:val="bottom"/>
            <w:tcBorders>
              <w:top w:val="single" w:sz="8" w:color="0000EE"/>
            </w:tcBorders>
            <w:gridSpan w:val="18"/>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Certain Relationships and Related Transactions, and Director Independence</w:t>
              </w:r>
            </w:hyperlink>
          </w:p>
        </w:tc>
        <w:tc>
          <w:tcPr>
            <w:tcW w:w="21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20" w:type="dxa"/>
            <w:vAlign w:val="bottom"/>
            <w:tcBorders>
              <w:top w:val="single" w:sz="8" w:color="0000EE"/>
            </w:tcBorders>
            <w:gridSpan w:val="15"/>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Principal Accounting Fees and Services</w:t>
              </w:r>
            </w:hyperlink>
          </w:p>
        </w:tc>
        <w:tc>
          <w:tcPr>
            <w:tcW w:w="398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79"/>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288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Exhibits, Financial Statement Schedules</w:t>
              </w:r>
            </w:hyperlink>
          </w:p>
        </w:tc>
        <w:tc>
          <w:tcPr>
            <w:tcW w:w="6520" w:type="dxa"/>
            <w:vAlign w:val="bottom"/>
            <w:gridSpan w:val="9"/>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16.</w:t>
            </w:r>
          </w:p>
        </w:tc>
        <w:tc>
          <w:tcPr>
            <w:tcW w:w="9400" w:type="dxa"/>
            <w:vAlign w:val="bottom"/>
            <w:gridSpan w:val="20"/>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Form 10-K Summary</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788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8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149">
              <w:r>
                <w:rPr>
                  <w:rFonts w:ascii="Arial" w:cs="Arial" w:eastAsia="Arial" w:hAnsi="Arial"/>
                  <w:sz w:val="18"/>
                  <w:szCs w:val="18"/>
                  <w:b w:val="1"/>
                  <w:bCs w:val="1"/>
                  <w:color w:val="0000EE"/>
                  <w:w w:val="96"/>
                </w:rPr>
                <w:t>SIGNATURES</w:t>
              </w:r>
            </w:hyperlink>
          </w:p>
        </w:tc>
        <w:tc>
          <w:tcPr>
            <w:tcW w:w="9400" w:type="dxa"/>
            <w:vAlign w:val="bottom"/>
            <w:gridSpan w:val="2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This Annual Report on Form 10-K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w:t>
      </w:r>
    </w:p>
    <w:p>
      <w:pPr>
        <w:spacing w:after="0" w:line="184" w:lineRule="exact"/>
        <w:rPr>
          <w:sz w:val="20"/>
          <w:szCs w:val="20"/>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3"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0" w:lineRule="exact"/>
        <w:rPr>
          <w:rFonts w:ascii="Arial" w:cs="Arial" w:eastAsia="Arial" w:hAnsi="Arial"/>
          <w:sz w:val="17"/>
          <w:szCs w:val="17"/>
          <w:color w:val="auto"/>
        </w:rPr>
      </w:pPr>
    </w:p>
    <w:p>
      <w:pPr>
        <w:ind w:left="1460" w:right="280" w:hanging="440"/>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9" w:lineRule="exact"/>
        <w:rPr>
          <w:rFonts w:ascii="Arial" w:cs="Arial" w:eastAsia="Arial" w:hAnsi="Arial"/>
          <w:sz w:val="18"/>
          <w:szCs w:val="18"/>
          <w:color w:val="auto"/>
        </w:rPr>
      </w:pPr>
    </w:p>
    <w:p>
      <w:pPr>
        <w:ind w:left="1460" w:right="200" w:hanging="440"/>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1"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preclinical research activities, and for the manufacture of our product candidates;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product candidates, and other positive results;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9" w:lineRule="exact"/>
        <w:rPr>
          <w:rFonts w:ascii="Arial" w:cs="Arial" w:eastAsia="Arial" w:hAnsi="Arial"/>
          <w:sz w:val="18"/>
          <w:szCs w:val="18"/>
          <w:color w:val="auto"/>
        </w:rPr>
      </w:pPr>
    </w:p>
    <w:p>
      <w:pPr>
        <w:ind w:left="1460" w:right="360" w:hanging="440"/>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that we may pursue;</w:t>
      </w: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9" w:lineRule="exact"/>
        <w:rPr>
          <w:rFonts w:ascii="Arial" w:cs="Arial" w:eastAsia="Arial" w:hAnsi="Arial"/>
          <w:sz w:val="18"/>
          <w:szCs w:val="18"/>
          <w:color w:val="auto"/>
        </w:rPr>
      </w:pPr>
    </w:p>
    <w:p>
      <w:pPr>
        <w:ind w:left="1460" w:right="320" w:hanging="440"/>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ind w:left="1460" w:right="320" w:hanging="440"/>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w:t>
      </w:r>
    </w:p>
    <w:p>
      <w:pPr>
        <w:ind w:left="1460" w:hanging="440"/>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0" w:lineRule="exact"/>
        <w:rPr>
          <w:rFonts w:ascii="Arial" w:cs="Arial" w:eastAsia="Arial" w:hAnsi="Arial"/>
          <w:sz w:val="17"/>
          <w:szCs w:val="17"/>
          <w:color w:val="auto"/>
        </w:rPr>
      </w:pPr>
    </w:p>
    <w:p>
      <w:pPr>
        <w:ind w:left="1460" w:right="360" w:hanging="440"/>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ind w:left="1460" w:hanging="440"/>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20" w:lineRule="exact"/>
        <w:rPr>
          <w:rFonts w:ascii="Arial" w:cs="Arial" w:eastAsia="Arial" w:hAnsi="Arial"/>
          <w:sz w:val="17"/>
          <w:szCs w:val="17"/>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our anticipated use of our existing cash and cash equivalents.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right="20" w:firstLine="589"/>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whether as a result of any new information, future events or otherwise.</w:t>
      </w:r>
    </w:p>
    <w:p>
      <w:pPr>
        <w:spacing w:after="0" w:line="18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are a clinical stage immuno-oncology company focused on helping patients fight cancer by developing therapies that focus on the CD47-SIRPα checkpoint pathway and bridge the innate and adaptive immune system. Cancer cells leverage CD47, a cell surface protein, as a “don’t eat me” signal, to evade detection by the immune system. Our lead program is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170 subjects with ALX148 across a range of hematologic and solid malignancies in combination with a number of leading anti-cancer agents. We intend to continue clinical development for the treatment of a range of solid tumor indications and for the treatment of hematologic malignancies, including myelodysplastic syndromes, or MDS, and acute myeloid leukemia, or AML. We plan to initiate additional studies in combination with leading anti-cancer agents. In solid tumors, we intend to initiate randomized Phase 2 trials of ALX148 for the treatment of first-line head and neck cancer and second-line gastric/gastroesophageal junction, or GEJ, cancer and a Phase 1 trial for the treatment of breast cancer in 2021. In hematologic malignancies, we have dosed the first subjects for the treatment of MDS and intend to advance ALX148 into clinical development for the treatment of AML in the second half of 2021. Based on our clinical results to date in multiple oncology indications showing encouraging anti-tumor activity and tolerability and our clinical development plans, our strategy is to pursue ALX148 as a potentially critical component for future combination treatments in oncology. Our second program combines our company’s SIRPα antibodies with Tallac Therapeutics’ toll-like receptor 9 agonist antibody conjugate to deliver a potent immune activator to myeloid cells in the tumor to promote innate and adaptive anti-cancer immune responses.</w:t>
      </w:r>
    </w:p>
    <w:p>
      <w:pPr>
        <w:spacing w:after="0" w:line="180" w:lineRule="exact"/>
        <w:rPr>
          <w:sz w:val="20"/>
          <w:szCs w:val="20"/>
          <w:color w:val="auto"/>
        </w:rPr>
      </w:pPr>
    </w:p>
    <w:p>
      <w:pPr>
        <w:ind w:right="80" w:firstLine="589"/>
        <w:spacing w:after="0" w:line="288" w:lineRule="auto"/>
        <w:rPr>
          <w:sz w:val="20"/>
          <w:szCs w:val="20"/>
          <w:color w:val="auto"/>
        </w:rPr>
      </w:pPr>
      <w:r>
        <w:rPr>
          <w:rFonts w:ascii="Arial" w:cs="Arial" w:eastAsia="Arial" w:hAnsi="Arial"/>
          <w:sz w:val="16"/>
          <w:szCs w:val="16"/>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68"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 w:name="page6"/>
    <w:bookmarkEnd w:id="5"/>
    <w:p>
      <w:pPr>
        <w:ind w:right="120" w:firstLine="589"/>
        <w:spacing w:after="0" w:line="293" w:lineRule="auto"/>
        <w:rPr>
          <w:sz w:val="20"/>
          <w:szCs w:val="20"/>
          <w:color w:val="auto"/>
        </w:rPr>
      </w:pPr>
      <w:r>
        <w:rPr>
          <w:rFonts w:ascii="Arial" w:cs="Arial" w:eastAsia="Arial" w:hAnsi="Arial"/>
          <w:sz w:val="16"/>
          <w:szCs w:val="16"/>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SIRPα,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164"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ALX148’s design has several advantages that we believe will make it broadly applicable to treating a number of oncology indications. Due to the inactive Fc, ALX148 is specifically designed for use in combination with other anti-cancer agents that provide a positive immune-stimulating signal. We believe ALX148 has a favorable tolerability profile that may enable higher dosing levels and greater combination potential with other leading anti-cancer agents. Additionally, the molecular weight of ALX148 is half that of a typical antibody. The relatively smaller size of our molecule may facilitate increased penetrance into the tumor microenvironment. We believe these properties may enable ALX148 to provide superior therapeutic benefits.</w:t>
      </w:r>
    </w:p>
    <w:p>
      <w:pPr>
        <w:spacing w:after="0" w:line="161" w:lineRule="exact"/>
        <w:rPr>
          <w:sz w:val="20"/>
          <w:szCs w:val="20"/>
          <w:color w:val="auto"/>
        </w:rPr>
      </w:pPr>
    </w:p>
    <w:p>
      <w:pPr>
        <w:ind w:right="220" w:firstLine="589"/>
        <w:spacing w:after="0" w:line="311" w:lineRule="auto"/>
        <w:rPr>
          <w:sz w:val="20"/>
          <w:szCs w:val="20"/>
          <w:color w:val="auto"/>
        </w:rPr>
      </w:pPr>
      <w:r>
        <w:rPr>
          <w:rFonts w:ascii="Arial" w:cs="Arial" w:eastAsia="Arial" w:hAnsi="Arial"/>
          <w:sz w:val="16"/>
          <w:szCs w:val="16"/>
          <w:color w:val="auto"/>
        </w:rPr>
        <w:t>Clinical data to date in ALX148 have not shown dose-dependent hematologic toxicities, which are characteristic of other CD47 blockers that incorporate an active Fc domain. At least 170 subjects have been treated with ALX148 in combination with targeted anti-cancer agents, small molecules, and checkpoint inhibitors as of December 31, 2020. ALX148 has not reached a maximum tolerated dose in any of the combinations evaluated to date.</w:t>
      </w:r>
    </w:p>
    <w:p>
      <w:pPr>
        <w:spacing w:after="0" w:line="149"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In October 2020, we began enrollment in subjects with MDS and plan to advance ALX148 for the treatment of AML. In our Phase 1b trial of ALX148 in combination with an anti-CD20 agent to treat subjects with relapsed/refractory non-Hodgkin’s lymphoma, or NHL, ALX148 demonstrated a higher response rate at higher doses and achieved a 70.0% objective response rate, or ORR, in the highest dose (15 mg/kg once per week, or QW) cohort as compared to a 40.9% ORR at the lower dose (10 mg/kg QW) cohort. We view this ORR as compelling evidence for the role of ALX148 in treating hematologic malignancies and as a 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both MDS and AML, albeit with high rates of cytopenias. We have conducted preclinical studies of ALX148 combined with azacitidine or venetoclax that support our clinical development plan in MDS and AML. Azacitidine is a standard of care agent for the treatment of MDS. Azacitidine and venetoclax are both standard of care regimen components for the treatment of AML in older patients and those who are not candidates for intensive induction chemotherapy due to comorbidities. We have conducted preclinical studies that show that azacitidine and venetoclax increase both the display of the “eat me” signal calreticulin and the “don’t eat me” signal CD47 on AML cells, suggesting that a CD47 blocking agent could maximize the activity of venetoclax and azacitidine in these models. Additionally, we have shown that azacitidine and ALX148 in combination produce increased phagocytosis in vitro and anti-tumor activity in mouse models compared to azacitidine alone.</w:t>
      </w:r>
    </w:p>
    <w:p>
      <w:pPr>
        <w:spacing w:after="0" w:line="18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Furthermore, we have demonstrated that combination treatment of ALX148 with azacitidine or venetoclax leads to tumor elimination and prolonged survival in leukemia mouse models. In October 2020, the first subjects received ALX148 in a Phase 1b/2 trial in combination with azacitidine for the treatment of subjects with higher-risk MDS. We also plan to advance ALX148 into a Phase 1b/2 trial in combination with venetoclax and azacitidine for the first-line treatment of subjects with AML in the second half of 2021.</w:t>
      </w:r>
    </w:p>
    <w:p>
      <w:pPr>
        <w:spacing w:after="0" w:line="187" w:lineRule="exact"/>
        <w:rPr>
          <w:sz w:val="20"/>
          <w:szCs w:val="20"/>
          <w:color w:val="auto"/>
        </w:rPr>
      </w:pPr>
    </w:p>
    <w:p>
      <w:pPr>
        <w:ind w:right="280" w:firstLine="589"/>
        <w:spacing w:after="0" w:line="291" w:lineRule="auto"/>
        <w:rPr>
          <w:sz w:val="20"/>
          <w:szCs w:val="20"/>
          <w:color w:val="auto"/>
        </w:rPr>
      </w:pPr>
      <w:r>
        <w:rPr>
          <w:rFonts w:ascii="Arial" w:cs="Arial" w:eastAsia="Arial" w:hAnsi="Arial"/>
          <w:sz w:val="16"/>
          <w:szCs w:val="16"/>
          <w:color w:val="auto"/>
        </w:rPr>
        <w:t>ALX148 has also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treatment of head and neck squamous cell carcinoma, or HNSCC, human epidermal growth factor receptor 2, or HER2-positive gastric/GEJ carcinoma, and HER2-expressing breast cancer and other solid tumors. In Phase 1b clinical trials, ALX148 has demonstrated both objective clinical response per the Response Evaluation Criteria in Solid Tumors, or RECIST, criteria and tolerability in combination with other broadly used cancer agents. Based on these results, the Food and Drug Administration, or FDA, has granted Fast Track designation for ALX148 for both the treatment of patients with HNSCC in the first-line setting and for patients with HER2-positive advanced gastric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ind w:right="20"/>
        <w:spacing w:after="0" w:line="269" w:lineRule="auto"/>
        <w:rPr>
          <w:sz w:val="20"/>
          <w:szCs w:val="20"/>
          <w:color w:val="auto"/>
        </w:rPr>
      </w:pPr>
      <w:r>
        <w:rPr>
          <w:rFonts w:ascii="Arial" w:cs="Arial" w:eastAsia="Arial" w:hAnsi="Arial"/>
          <w:sz w:val="17"/>
          <w:szCs w:val="17"/>
          <w:color w:val="auto"/>
        </w:rPr>
        <w:t>or 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in solid tumors. We are planning to advance ALX148 into two randomized Phase 2 trials in patients with previously untreated advanced HNSCC in combination with pembrolizumab, marketed as Keytruda, the market leading anti-programmed cell death protein-1, or PD-1, checkpoint inhibitor, with or without chemotherapy in the first half of 2021. These trials will be conducted in collaboration with Merck. We are also planning to advance ALX148 into randomized Phase 2 trials in subjects with previously treated advanced HER2-positive gastric/GEJ carcinoma in combination with trastuzumab, marketed as Herceptin, the market-leading anti-HER2 antibody, with the second line standard of care, ramucirumab, marketed as Cyramza, plus paclitaxel in the second half of 2021. We have also entered into a clinical trial collaboration with Zymeworks to initiate a Phase 1 trial of ALX148 in combination with Zymeworks’ HER2-targeted bispecific antibody zanidatamab for the treatment of patients with HER2-expressing breast cancer.</w:t>
      </w:r>
    </w:p>
    <w:p>
      <w:pPr>
        <w:spacing w:after="0" w:line="18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 (a subsidiary of Pfizer), invented fremanezumab (FDA approved in 2018), tanezumab (Biologics License Application, or BLA,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$2.0 billion in debt and equity offerings. We have funded ALX Oncology to date primarily through the issuance and sale of our convertible preferred stock and the issuance and sale of our common stock through an initial public offering in July 2020 and a follow-on public offering in December 2020. We own global rights to all of our product candidates.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Key elements of our strategy to support this goal include:</w:t>
      </w:r>
    </w:p>
    <w:p>
      <w:pPr>
        <w:spacing w:after="0" w:line="113" w:lineRule="exact"/>
        <w:rPr>
          <w:sz w:val="20"/>
          <w:szCs w:val="20"/>
          <w:color w:val="auto"/>
        </w:rPr>
      </w:pPr>
    </w:p>
    <w:p>
      <w:pPr>
        <w:ind w:left="1160" w:right="20" w:hanging="572"/>
        <w:spacing w:after="0" w:line="289"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Advance our lead product candidate, ALX148, through clinical development for MDS and AML. </w:t>
      </w:r>
      <w:r>
        <w:rPr>
          <w:rFonts w:ascii="Arial" w:cs="Arial" w:eastAsia="Arial" w:hAnsi="Arial"/>
          <w:sz w:val="16"/>
          <w:szCs w:val="16"/>
          <w:color w:val="auto"/>
        </w:rPr>
        <w:t>We have initiated a Phase 1b/2</w:t>
      </w:r>
      <w:r>
        <w:rPr>
          <w:rFonts w:ascii="Arial" w:cs="Arial" w:eastAsia="Arial" w:hAnsi="Arial"/>
          <w:sz w:val="16"/>
          <w:szCs w:val="16"/>
          <w:b w:val="1"/>
          <w:bCs w:val="1"/>
          <w:color w:val="auto"/>
        </w:rPr>
        <w:t xml:space="preserve"> </w:t>
      </w:r>
      <w:r>
        <w:rPr>
          <w:rFonts w:ascii="Arial" w:cs="Arial" w:eastAsia="Arial" w:hAnsi="Arial"/>
          <w:sz w:val="16"/>
          <w:szCs w:val="16"/>
          <w:color w:val="auto"/>
        </w:rPr>
        <w:t>trial of ALX148, in combination with azacitidine, for the treatment of patients with higher-risk MDS and plan to initiate a Phase 1b/2 trial in combination with venetoclax and azacitidine for the first-line treatment of patients with AML in the second half of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higher 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higher risk MDS, and potentially AML, and may do so opportunistically for other indications in the future, there is no assurance that this approach will be successful for these as well as other indications.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ind w:left="1160" w:hanging="572"/>
        <w:spacing w:after="0" w:line="269"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 of other</w:t>
      </w:r>
      <w:r>
        <w:rPr>
          <w:rFonts w:ascii="Arial" w:cs="Arial" w:eastAsia="Arial" w:hAnsi="Arial"/>
          <w:sz w:val="17"/>
          <w:szCs w:val="17"/>
          <w:b w:val="1"/>
          <w:bCs w:val="1"/>
          <w:color w:val="auto"/>
        </w:rPr>
        <w:t xml:space="preserve"> </w:t>
      </w:r>
      <w:r>
        <w:rPr>
          <w:rFonts w:ascii="Arial" w:cs="Arial" w:eastAsia="Arial" w:hAnsi="Arial"/>
          <w:sz w:val="17"/>
          <w:szCs w:val="17"/>
          <w:color w:val="auto"/>
        </w:rPr>
        <w:t>CD47 blocking approaches in solid tumors. We have generated encouraging data in subjects with HNSCC treated with ALX148 in combination with a PD-1 checkpoint inhibitor with and without chemotherapy as well as in subjects with HER2-positive gastric/GEJ cancer, who have progressed on prior HER2-targeted therapy, treated in combination with a HER2-targeted antibody with and without chemotherapy. The FDA has granted ALX148 Fast Track designation in first-line HNSCC and second-line HER2-positive gastric/GEJ cancer. We intend to pursue a strategy in which we will leverage the data generated from our planned randomized Phase 2 trials of ALX148 and pembrolizumab with and without chemotherapy to request from the FDA that ALX148 be a candidate for accelerated approval in the first-line treatment of HNSCC. We are also planning a randomized Phase 2 trial of ALX148, trastuzumab and chemotherapy in second-line HER2-positive gastric/GEJ cancer and plan to request from the FDA that ALX148 be a candidate for accelerated approval in the second-line treatment of gastric/GEJ cancer. We also plan to initiate an additional Phase 1 trial of ALX148 in patients with HER2-expressing breast cancer and other solid tumors in combination with zanidatamab.</w:t>
      </w:r>
    </w:p>
    <w:p>
      <w:pPr>
        <w:spacing w:after="0" w:line="73" w:lineRule="exact"/>
        <w:rPr>
          <w:rFonts w:ascii="Arial" w:cs="Arial" w:eastAsia="Arial" w:hAnsi="Arial"/>
          <w:sz w:val="17"/>
          <w:szCs w:val="17"/>
          <w:color w:val="auto"/>
        </w:rPr>
      </w:pPr>
    </w:p>
    <w:p>
      <w:pPr>
        <w:ind w:left="1160" w:right="60" w:hanging="572"/>
        <w:spacing w:after="0" w:line="261"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8"/>
          <w:szCs w:val="18"/>
          <w:color w:val="auto"/>
        </w:rPr>
        <w:t>We specialize in designing and developing drug candidates that engage the immune system. We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develop a pipeline of immuno-oncology programs that represent complementary, but differentiated, approaches to engaging the innate and adaptive immune systems.</w:t>
      </w:r>
    </w:p>
    <w:p>
      <w:pPr>
        <w:spacing w:after="0" w:line="71" w:lineRule="exact"/>
        <w:rPr>
          <w:rFonts w:ascii="Arial" w:cs="Arial" w:eastAsia="Arial" w:hAnsi="Arial"/>
          <w:sz w:val="18"/>
          <w:szCs w:val="18"/>
          <w:color w:val="auto"/>
        </w:rPr>
      </w:pPr>
    </w:p>
    <w:p>
      <w:pPr>
        <w:ind w:left="1160" w:right="20" w:hanging="572"/>
        <w:spacing w:after="0" w:line="289"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develop strategic partnerships to broaden the potential impact of our current and future product candidates across patient populations. </w:t>
      </w:r>
      <w:r>
        <w:rPr>
          <w:rFonts w:ascii="Arial" w:cs="Arial" w:eastAsia="Arial" w:hAnsi="Arial"/>
          <w:sz w:val="16"/>
          <w:szCs w:val="16"/>
          <w:color w:val="auto"/>
        </w:rPr>
        <w:t>In order to advance treatment options for the most patients, we have in the past and may in the future partner with</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companies with complementary resources that will maximize the value of our current and future product candidates. Such partnerships may allow us to pair ALX148 and any future product candidates with other novel agents owned fully or in part by strategic partners. Partnerships may and will also help realize the full potential of our product candidates in markets where we are unlikely to pursue development or commercialization on our own. We intend to maintain significant economic interest in our product candidates and selectively consider partnership opportunities. In September 2020, we announced a clinical trial collaboration with Merck on a Phase 2 trial evaluating ALX148 in combination with pembrolizumab with and without chemotherapy in patients with head and neck cancer. In November 2020, we announced a clinical trial collaboration with Zymeworks on a Phase 1 trial evaluating ALX148 with the HER2-targeting bispecific antibody zanidatamab in patients with advanced HER2-expressing breast cancer and other solid tumors.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12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ind w:left="600"/>
        <w:spacing w:after="0"/>
        <w:rPr>
          <w:sz w:val="20"/>
          <w:szCs w:val="20"/>
          <w:color w:val="auto"/>
        </w:rPr>
      </w:pPr>
      <w:r>
        <w:rPr>
          <w:rFonts w:ascii="Arial" w:cs="Arial" w:eastAsia="Arial" w:hAnsi="Arial"/>
          <w:sz w:val="18"/>
          <w:szCs w:val="18"/>
          <w:color w:val="auto"/>
        </w:rPr>
        <w:t>The chart below summarizes the development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2503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We also have a preclinical program focused on developing a SIRPα TRAAC that may offer additional ways to engage the innate and adaptive immune response to cancer.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CD47 Scientific Background</w:t>
      </w:r>
    </w:p>
    <w:p>
      <w:pPr>
        <w:spacing w:after="0" w:line="12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w:t>
      </w:r>
    </w:p>
    <w:p>
      <w:pPr>
        <w:spacing w:after="0" w:line="192"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Cancer cells evade phagocytosis by up-regulating CD47, a transmembrane protein that mainly functions as an anti-phagocytic “don’t eat me” signal for healthy cells. CD47 interacts with its cognate receptor SIRPα, a regulatory membrane glycoprotein, that is expressed on macrophages and other myeloid cells and serves to prevent phagocytosis when bound to CD47. By overexpressing CD47, cancer cells are able to avoid phagocytosis by macrophages and thereby evade subsequent detection by the adaptive immune system.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 w:name="page10"/>
    <w:bookmarkEnd w:id="9"/>
    <w:p>
      <w:pPr>
        <w:ind w:firstLine="589"/>
        <w:spacing w:after="0" w:line="259" w:lineRule="auto"/>
        <w:rPr>
          <w:sz w:val="20"/>
          <w:szCs w:val="20"/>
          <w:color w:val="auto"/>
        </w:rPr>
      </w:pPr>
      <w:r>
        <w:rPr>
          <w:rFonts w:ascii="Arial" w:cs="Arial" w:eastAsia="Arial" w:hAnsi="Arial"/>
          <w:sz w:val="18"/>
          <w:szCs w:val="18"/>
          <w:color w:val="auto"/>
        </w:rPr>
        <w:t>High CD47 expression in cancer cells has been shown to be a prognostic indicator of decreased survival in multiple oncology indications. A study published by Majeti, et al. in 2009, assessed this association in a validation cohort of 137 subjects with AML. As shown in the figure below, normal karyotype AML, or NK-AML, subjects with high levels of CD47 expression had shorter median overall survival, or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127635</wp:posOffset>
            </wp:positionV>
            <wp:extent cx="3806190" cy="2143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0619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CD47 as a therapeutic checkpoint target</w:t>
      </w:r>
    </w:p>
    <w:p>
      <w:pPr>
        <w:spacing w:after="0" w:line="117" w:lineRule="exact"/>
        <w:rPr>
          <w:sz w:val="20"/>
          <w:szCs w:val="20"/>
          <w:color w:val="auto"/>
        </w:rPr>
      </w:pPr>
    </w:p>
    <w:p>
      <w:pPr>
        <w:ind w:right="200" w:firstLine="589"/>
        <w:spacing w:after="0" w:line="311" w:lineRule="auto"/>
        <w:rPr>
          <w:sz w:val="20"/>
          <w:szCs w:val="20"/>
          <w:color w:val="auto"/>
        </w:rPr>
      </w:pPr>
      <w:r>
        <w:rPr>
          <w:rFonts w:ascii="Arial" w:cs="Arial" w:eastAsia="Arial" w:hAnsi="Arial"/>
          <w:sz w:val="16"/>
          <w:szCs w:val="16"/>
          <w:color w:val="auto"/>
        </w:rPr>
        <w:t>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w:t>
      </w:r>
    </w:p>
    <w:p>
      <w:pPr>
        <w:spacing w:after="0" w:line="149"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Existing anti-cancer therapeutics can increase “eat me” signals on cancer cells. For example, the hypomethylating agent, or HMA, azacitidine activates the immune system by increasing display of calreticulin, a multifunctional protein, on cancer cells. Calreticulin is an important example of a pro-phagocytic “eat me” signal that potentiates immune response when expressed on cancer cells. Therapeutic antibodies that target tumor-specific antigens, such as the HER2 receptor, also induce cellular phagocytosis, but through a slightly different mechanism. These antibodies direct macrophages to cancer cells by binding to the tumor-specific antigen and activating the macrophage by engaging the Fcγ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Our lead product candidate targets CD47 to maximize phagocytosis of cancer cells and activation of the adaptive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2057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Cancer cells can also modulate their environment to suppress detection by immune cells. Overexpression of CD47 helps cancer cells avoid innate immune system detection by dendritic cells and subsequent antigen presentation to T cells, thereby limiting anti-tumor immune response. PD(L)-1 targeting immunotherapies are designed to reduce the suppression of T cells but do not address the initial evasion of the innate immune system by cancer cells. By removing the suppression of dendritic cells, CD47 blocking therapies in combination with PD(L)-1 targeted therapies can complement their T cell stimulatory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Approaches to Blocking CD47</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There have been a number of approaches to blocking CD47, including monoclonal antibodies and fusion proteins that include an active Fc region.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approaches have encountered limitations that have challenged their ability to maximize the full potential of CD47 blockade. These include:</w:t>
      </w:r>
    </w:p>
    <w:p>
      <w:pPr>
        <w:spacing w:after="0" w:line="110" w:lineRule="exact"/>
        <w:rPr>
          <w:sz w:val="20"/>
          <w:szCs w:val="20"/>
          <w:color w:val="auto"/>
        </w:rPr>
      </w:pPr>
    </w:p>
    <w:p>
      <w:pPr>
        <w:ind w:left="1160" w:right="20" w:hanging="572"/>
        <w:spacing w:after="0" w:line="255"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Limited dosing and therapeutic window</w:t>
      </w:r>
      <w:r>
        <w:rPr>
          <w:rFonts w:ascii="Arial" w:cs="Arial" w:eastAsia="Arial" w:hAnsi="Arial"/>
          <w:sz w:val="18"/>
          <w:szCs w:val="18"/>
          <w:color w:val="auto"/>
        </w:rPr>
        <w:t>: All clinical data to date from other CD47 blocking agents have come from approaches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spacing w:after="0" w:line="80" w:lineRule="exact"/>
        <w:rPr>
          <w:rFonts w:ascii="Arial" w:cs="Arial" w:eastAsia="Arial" w:hAnsi="Arial"/>
          <w:sz w:val="18"/>
          <w:szCs w:val="18"/>
          <w:color w:val="auto"/>
        </w:rPr>
      </w:pPr>
    </w:p>
    <w:p>
      <w:pPr>
        <w:ind w:left="1160" w:right="20" w:hanging="572"/>
        <w:spacing w:after="0" w:line="255"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Limited ability to combine with other anti-cancer agents</w:t>
      </w:r>
      <w:r>
        <w:rPr>
          <w:rFonts w:ascii="Arial" w:cs="Arial" w:eastAsia="Arial" w:hAnsi="Arial"/>
          <w:sz w:val="18"/>
          <w:szCs w:val="18"/>
          <w:color w:val="auto"/>
        </w:rPr>
        <w:t>: Combination therapies continue to play an important role in treating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Fcγ receptors on immune cells.</w:t>
      </w:r>
    </w:p>
    <w:p>
      <w:pPr>
        <w:spacing w:after="0" w:line="80" w:lineRule="exact"/>
        <w:rPr>
          <w:rFonts w:ascii="Arial" w:cs="Arial" w:eastAsia="Arial" w:hAnsi="Arial"/>
          <w:sz w:val="18"/>
          <w:szCs w:val="18"/>
          <w:color w:val="auto"/>
        </w:rPr>
      </w:pPr>
    </w:p>
    <w:p>
      <w:pPr>
        <w:ind w:left="1160" w:right="260" w:hanging="572"/>
        <w:spacing w:after="0" w:line="266"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Limited efficacy in solid tumors</w:t>
      </w:r>
      <w:r>
        <w:rPr>
          <w:rFonts w:ascii="Arial" w:cs="Arial" w:eastAsia="Arial" w:hAnsi="Arial"/>
          <w:sz w:val="18"/>
          <w:szCs w:val="18"/>
          <w:color w:val="auto"/>
        </w:rPr>
        <w:t>: To date, other CD47 blocking agents have failed to achieve meaningful clinical activity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solid tumors, as the balance between managing cytopenias and maximizing efficacy may lead to tolerable doses that are too low to facilitate tumor penetration and efficacy.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ind w:left="1160" w:right="20" w:hanging="572"/>
        <w:spacing w:after="0" w:line="277" w:lineRule="auto"/>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Limited indications due to patient selection</w:t>
      </w:r>
      <w:r>
        <w:rPr>
          <w:rFonts w:ascii="Arial" w:cs="Arial" w:eastAsia="Arial" w:hAnsi="Arial"/>
          <w:sz w:val="17"/>
          <w:szCs w:val="17"/>
          <w:color w:val="auto"/>
        </w:rPr>
        <w:t>: Toxicities associated with other CD47 blocking agents may require careful patient selection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when evaluating potential indications. In some cases, only subjects with lower risk of hematologic complications have been selected for treatment for other CD47 blocking agents due to drug related risk of severe cytopenias.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118110</wp:posOffset>
            </wp:positionV>
            <wp:extent cx="5280660" cy="2125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8066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ALX’s Approach to Blocking CD47</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founded ALX Oncology because we believed the limitations described above would prevent CD47 blockade from reaching its full potential as a therapy for patients with cancer. From the company’s inception, we designed ALX148 to overcome these limitations and to maximize the utility of CD47 blockade as an effective anti-cancer therapeutic for a broad range of tumors. Specifically, we believe ALX148 may provide the following significant advantages:</w:t>
      </w:r>
    </w:p>
    <w:p>
      <w:pPr>
        <w:spacing w:after="0" w:line="75" w:lineRule="exact"/>
        <w:rPr>
          <w:sz w:val="20"/>
          <w:szCs w:val="20"/>
          <w:color w:val="auto"/>
        </w:rPr>
      </w:pPr>
    </w:p>
    <w:p>
      <w:pPr>
        <w:ind w:left="1160" w:right="20" w:hanging="572"/>
        <w:spacing w:after="0" w:line="258"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Broader therapeutic window</w:t>
      </w:r>
      <w:r>
        <w:rPr>
          <w:rFonts w:ascii="Arial" w:cs="Arial" w:eastAsia="Arial" w:hAnsi="Arial"/>
          <w:sz w:val="18"/>
          <w:szCs w:val="18"/>
          <w:color w:val="auto"/>
        </w:rPr>
        <w:t>: We believe ALX148’s broader therapeutic window will allow for greater drug exposure than other CD47</w:t>
      </w:r>
      <w:r>
        <w:rPr>
          <w:rFonts w:ascii="Arial" w:cs="Arial" w:eastAsia="Arial" w:hAnsi="Arial"/>
          <w:sz w:val="18"/>
          <w:szCs w:val="18"/>
          <w:b w:val="1"/>
          <w:bCs w:val="1"/>
          <w:color w:val="auto"/>
        </w:rPr>
        <w:t xml:space="preserve"> </w:t>
      </w:r>
      <w:r>
        <w:rPr>
          <w:rFonts w:ascii="Arial" w:cs="Arial" w:eastAsia="Arial" w:hAnsi="Arial"/>
          <w:sz w:val="18"/>
          <w:szCs w:val="18"/>
          <w:color w:val="auto"/>
        </w:rPr>
        <w:t>blocking agents potentially translating into improved efficacy across a range of cancers, including MDS and AML, compared to other CD47 blocking agents. To date, we have not yet reached a maximum tolerated dose, or MTD, for ALX148. Furthermore, flexibility in dosing could allow for several administration schedules (weekly, bi-weekly, every three weeks, monthly) that are more amenable to combination therapy dosing schedules, potentially improving a patient’s quality of life.</w:t>
      </w:r>
    </w:p>
    <w:p>
      <w:pPr>
        <w:spacing w:after="0" w:line="75" w:lineRule="exact"/>
        <w:rPr>
          <w:rFonts w:ascii="Arial" w:cs="Arial" w:eastAsia="Arial" w:hAnsi="Arial"/>
          <w:sz w:val="18"/>
          <w:szCs w:val="18"/>
          <w:color w:val="auto"/>
        </w:rPr>
      </w:pPr>
    </w:p>
    <w:p>
      <w:pPr>
        <w:ind w:left="1160" w:right="40" w:hanging="572"/>
        <w:spacing w:after="0" w:line="256"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Strong potential for combination with other anti-cancer agents</w:t>
      </w:r>
      <w:r>
        <w:rPr>
          <w:rFonts w:ascii="Arial" w:cs="Arial" w:eastAsia="Arial" w:hAnsi="Arial"/>
          <w:sz w:val="18"/>
          <w:szCs w:val="18"/>
          <w:color w:val="auto"/>
        </w:rPr>
        <w:t>: CD47 blocking agents are combined with other therapeutics in order</w:t>
      </w:r>
      <w:r>
        <w:rPr>
          <w:rFonts w:ascii="Arial" w:cs="Arial" w:eastAsia="Arial" w:hAnsi="Arial"/>
          <w:sz w:val="18"/>
          <w:szCs w:val="18"/>
          <w:b w:val="1"/>
          <w:bCs w:val="1"/>
          <w:color w:val="auto"/>
        </w:rPr>
        <w:t xml:space="preserve"> </w:t>
      </w:r>
      <w:r>
        <w:rPr>
          <w:rFonts w:ascii="Arial" w:cs="Arial" w:eastAsia="Arial" w:hAnsi="Arial"/>
          <w:sz w:val="18"/>
          <w:szCs w:val="18"/>
          <w:color w:val="auto"/>
        </w:rPr>
        <w:t>to maximize their potential in treating patients with cancer. Unlike other CD47 blocking agents, ALX148 was specifically designed to be combined with other anti-cancer agents. We believe ALX148’s favorable toxicity profile will enable it to be combined with a wider range of anti-cancer agents, including chemotherapy and cytotoxic containing regimens, compared to other CD47 blocking agents. Furthermore, we believe that ALX148’s inactive Fc domain will neither compete with nor potentially limit the efficacy of anti-cancer antibodies when used in combination treatments.</w:t>
      </w:r>
    </w:p>
    <w:p>
      <w:pPr>
        <w:spacing w:after="0" w:line="79" w:lineRule="exact"/>
        <w:rPr>
          <w:rFonts w:ascii="Arial" w:cs="Arial" w:eastAsia="Arial" w:hAnsi="Arial"/>
          <w:sz w:val="18"/>
          <w:szCs w:val="18"/>
          <w:color w:val="auto"/>
        </w:rPr>
      </w:pPr>
    </w:p>
    <w:p>
      <w:pPr>
        <w:ind w:left="1160" w:right="60" w:hanging="572"/>
        <w:spacing w:after="0" w:line="258"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Encouraging responses in solid tumors</w:t>
      </w:r>
      <w:r>
        <w:rPr>
          <w:rFonts w:ascii="Arial" w:cs="Arial" w:eastAsia="Arial" w:hAnsi="Arial"/>
          <w:sz w:val="18"/>
          <w:szCs w:val="18"/>
          <w:color w:val="auto"/>
        </w:rPr>
        <w:t>: ALX148 has demonstrated meaningful Phase 1b clinical data in the treatment of solid tumors.</w:t>
      </w:r>
      <w:r>
        <w:rPr>
          <w:rFonts w:ascii="Arial" w:cs="Arial" w:eastAsia="Arial" w:hAnsi="Arial"/>
          <w:sz w:val="18"/>
          <w:szCs w:val="18"/>
          <w:b w:val="1"/>
          <w:bCs w:val="1"/>
          <w:color w:val="auto"/>
        </w:rPr>
        <w:t xml:space="preserve"> </w:t>
      </w:r>
      <w:r>
        <w:rPr>
          <w:rFonts w:ascii="Arial" w:cs="Arial" w:eastAsia="Arial" w:hAnsi="Arial"/>
          <w:sz w:val="18"/>
          <w:szCs w:val="18"/>
          <w:color w:val="auto"/>
        </w:rPr>
        <w:t>While other CD47 blocking agents have failed to demonstrate meaningful clinical activity in solid tumors, ALX148’s differentiated properties may underlie its encouraging results. Based on the data generated with ALX148 in combination with anti-cancer antibodies and checkpoint inhibitors with and without chemotherapy, our strategy is to pursue ALX148 as a potentially critical component for future combination treatment of solid tumors.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2" w:name="page13"/>
    <w:bookmarkEnd w:id="12"/>
    <w:p>
      <w:pPr>
        <w:ind w:left="1160" w:hanging="572"/>
        <w:spacing w:after="0" w:line="256"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Broader potential indications</w:t>
      </w:r>
      <w:r>
        <w:rPr>
          <w:rFonts w:ascii="Arial" w:cs="Arial" w:eastAsia="Arial" w:hAnsi="Arial"/>
          <w:sz w:val="18"/>
          <w:szCs w:val="18"/>
          <w:color w:val="auto"/>
        </w:rPr>
        <w:t>: We believe ALX148’s tolerability profile will allow for broad treatment of patient populations in a wide</w:t>
      </w:r>
      <w:r>
        <w:rPr>
          <w:rFonts w:ascii="Arial" w:cs="Arial" w:eastAsia="Arial" w:hAnsi="Arial"/>
          <w:sz w:val="18"/>
          <w:szCs w:val="18"/>
          <w:b w:val="1"/>
          <w:bCs w:val="1"/>
          <w:color w:val="auto"/>
        </w:rPr>
        <w:t xml:space="preserve"> </w:t>
      </w:r>
      <w:r>
        <w:rPr>
          <w:rFonts w:ascii="Arial" w:cs="Arial" w:eastAsia="Arial" w:hAnsi="Arial"/>
          <w:sz w:val="18"/>
          <w:szCs w:val="18"/>
          <w:color w:val="auto"/>
        </w:rPr>
        <w:t>range of oncology indications. Toxicities such as cytopenias associated with other CD47 blocking agents may potentially constrain their development strategies. While initial activity of other CD47 blocking agents has been reported in indications such as MDS and AML where many patients already suffer from disease-induced cytopenias, their development in oncology indications that do not include associated cytopenias may be challenged. We believe ALX148 is well positioned to expand the therapeutic potential of CD47 blockade across a broad spectrum of hematologic and solid tumor indications.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ALX148</w:t>
      </w:r>
    </w:p>
    <w:p>
      <w:pPr>
        <w:spacing w:after="0" w:line="121"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Our lead product candidate, ALX148, is a CD47 blocking biologic in development as a combination therapy with other anti-cancer agents for treatment of various oncology indications, including MDS, AML, HNSCC, gastric/GEJ and breast cancer. We engineered ALX148 to maximize CD47 blockade and to avoid hematologic toxicities. We believe ALX148 enhances the efficacy of both anti-cancer targeted antibodies, numerous small molecule drugs and T cell checkpoint inhibitors and exhibits no dose-dependent cytopenias. ALX148 has demonstrated encouraging clinical responses in combination with multiple anti-cancer regimens for both hematologic and solid malignancies.</w:t>
      </w:r>
    </w:p>
    <w:p>
      <w:pPr>
        <w:spacing w:after="0" w:line="176"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Other companies have pursued CD47 blocking approaches that prioritize single-agent activity, albeit with limited success. Rather than designing a molecule for monotherapy activity that has been associated with cytopenias, we designed ALX148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Fusion Protein Design</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ALX148 is a fusion protein designed to provide a high CD47 blocking potency while potentially eliminating any associated toxicities. Our fusion protein comprises an engineered CD47-binding domain of SIRPα that has been genetically linked to a modified human immunoglobulin-derived Fc domain that does not bind to Fcγ receptors. We engineered ALX148 in two important ways:</w:t>
      </w:r>
    </w:p>
    <w:p>
      <w:pPr>
        <w:spacing w:after="0" w:line="76" w:lineRule="exact"/>
        <w:rPr>
          <w:sz w:val="20"/>
          <w:szCs w:val="20"/>
          <w:color w:val="auto"/>
        </w:rPr>
      </w:pPr>
    </w:p>
    <w:p>
      <w:pPr>
        <w:ind w:left="1160" w:right="460" w:hanging="572"/>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mutated the binding domain to optimize CD47 affinity. ALX148 binding domain demonstrates an affinity that is over 3,000 times stronger than wildtype SIRPα.</w:t>
      </w:r>
    </w:p>
    <w:p>
      <w:pPr>
        <w:spacing w:after="0" w:line="62" w:lineRule="exact"/>
        <w:rPr>
          <w:rFonts w:ascii="Arial" w:cs="Arial" w:eastAsia="Arial" w:hAnsi="Arial"/>
          <w:sz w:val="18"/>
          <w:szCs w:val="18"/>
          <w:color w:val="auto"/>
        </w:rPr>
      </w:pPr>
    </w:p>
    <w:p>
      <w:pPr>
        <w:ind w:left="1160" w:right="420" w:hanging="572"/>
        <w:spacing w:after="0" w:line="308"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fused the CD47-binding region of SIRPα to an inactive Fc domain. Incorporating an inactive Fc domain was intended to eliminate single-agent activation of macrophages while still maintaining an antibody-like pharmacokinetic, or PK, profile.</w:t>
      </w:r>
    </w:p>
    <w:p>
      <w:pPr>
        <w:spacing w:after="0" w:line="146"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The successful design of ALX148 required in-house generation of approximately 280 different protein constructs to thoroughly evaluate and optimize the impact of differing designs on multiple important evaluation criteria.</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order to optimize ALX148’s properties we conducted the following processes:</w:t>
      </w:r>
    </w:p>
    <w:p>
      <w:pPr>
        <w:spacing w:after="0" w:line="117" w:lineRule="exact"/>
        <w:rPr>
          <w:sz w:val="20"/>
          <w:szCs w:val="20"/>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of the high-affinity CD47 binding domain:</w:t>
      </w:r>
    </w:p>
    <w:p>
      <w:pPr>
        <w:spacing w:after="0" w:line="144" w:lineRule="exact"/>
        <w:rPr>
          <w:rFonts w:ascii="Arial" w:cs="Arial" w:eastAsia="Arial" w:hAnsi="Arial"/>
          <w:sz w:val="18"/>
          <w:szCs w:val="18"/>
          <w:color w:val="auto"/>
        </w:rPr>
      </w:pPr>
    </w:p>
    <w:p>
      <w:pPr>
        <w:ind w:left="1760" w:hanging="578"/>
        <w:spacing w:after="0"/>
        <w:tabs>
          <w:tab w:leader="none" w:pos="1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Optimization of binding affinity for human CD47;</w:t>
      </w:r>
    </w:p>
    <w:p>
      <w:pPr>
        <w:spacing w:after="0" w:line="144" w:lineRule="exact"/>
        <w:rPr>
          <w:rFonts w:ascii="Arial" w:cs="Arial" w:eastAsia="Arial" w:hAnsi="Arial"/>
          <w:sz w:val="18"/>
          <w:szCs w:val="18"/>
          <w:color w:val="auto"/>
        </w:rPr>
      </w:pPr>
    </w:p>
    <w:p>
      <w:pPr>
        <w:ind w:left="1760" w:hanging="578"/>
        <w:spacing w:after="0"/>
        <w:tabs>
          <w:tab w:leader="none" w:pos="1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Optimization of cross-reactivity to rodent and monkey CD47 to enable key translational experiments; and</w:t>
      </w:r>
    </w:p>
    <w:p>
      <w:pPr>
        <w:spacing w:after="0" w:line="144" w:lineRule="exact"/>
        <w:rPr>
          <w:rFonts w:ascii="Arial" w:cs="Arial" w:eastAsia="Arial" w:hAnsi="Arial"/>
          <w:sz w:val="18"/>
          <w:szCs w:val="18"/>
          <w:color w:val="auto"/>
        </w:rPr>
      </w:pPr>
    </w:p>
    <w:p>
      <w:pPr>
        <w:ind w:left="1760" w:hanging="578"/>
        <w:spacing w:after="0"/>
        <w:tabs>
          <w:tab w:leader="none" w:pos="1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Elimination of partially glycosylated sites in SIRPα to remove heterogeneity and enable consistent manufacturing.</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of the optimal fusion combination for PK extension:</w:t>
      </w:r>
    </w:p>
    <w:p>
      <w:pPr>
        <w:spacing w:after="0" w:line="144" w:lineRule="exact"/>
        <w:rPr>
          <w:rFonts w:ascii="Arial" w:cs="Arial" w:eastAsia="Arial" w:hAnsi="Arial"/>
          <w:sz w:val="18"/>
          <w:szCs w:val="18"/>
          <w:color w:val="auto"/>
        </w:rPr>
      </w:pPr>
    </w:p>
    <w:p>
      <w:pPr>
        <w:ind w:left="1760" w:hanging="578"/>
        <w:spacing w:after="0"/>
        <w:tabs>
          <w:tab w:leader="none" w:pos="1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Selection of an immunoglobulin isotype to prevent hemagglutination;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left="1760" w:right="380" w:hanging="578"/>
        <w:spacing w:after="0" w:line="277" w:lineRule="auto"/>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Selection of mutations to immunoglobulin G1, or IgG1, to functionally eliminate Fcγ binding and avoid associated cytopenias while maintaining neonatal Fc receptor binding that enables antibody-like PK.</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illustrated in the figure below, ALX148 comprises:</w:t>
      </w:r>
    </w:p>
    <w:p>
      <w:pPr>
        <w:spacing w:after="0" w:line="117" w:lineRule="exact"/>
        <w:rPr>
          <w:sz w:val="20"/>
          <w:szCs w:val="20"/>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SIRPα binding domain optimized to bind to CD47 with high affinity at a picomolar level;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inactive Fc domain that reduces cytopenias while preserving the desired PK properties of antibodies with an active Fc domain.</w:t>
      </w:r>
    </w:p>
    <w:p>
      <w:pPr>
        <w:spacing w:after="0" w:line="264"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The resulting fusion protein has approximately one-half the molecular weight of a typical antibody. ALX148’s lower molecular weight enables it to deliver the molar equivalent of an antibody at one half the dose. For example, a 30 mg/kg dose of ALX148, the highest level that we have dosed to date, is approximately equivalent to a 60 mg/kg dose of an antibody. ALX148’s lower molecular weight may also facilitate increased solid tumor penetration and provide greater potency within the tumor microenvironment. Furthermore, ALX148 can be efficiently and consistently produced at high yield at commercial scale utilizing standard monoclonal antibody manufacturing techniques. We believe ALX148’s differentiated properties potentially overcome the limitations of other CD47 blocking agents and may have utility as a combination agent in oncology.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lead candidate is a fusion protein that potently and selectively binds CD47 to block the SIRP</w:t>
      </w:r>
      <w:r>
        <w:rPr>
          <w:rFonts w:ascii="Arial" w:cs="Arial" w:eastAsia="Arial" w:hAnsi="Arial"/>
          <w:sz w:val="18"/>
          <w:szCs w:val="18"/>
          <w:color w:val="auto"/>
        </w:rPr>
        <w:t>α</w:t>
      </w:r>
      <w:r>
        <w:rPr>
          <w:rFonts w:ascii="Arial" w:cs="Arial" w:eastAsia="Arial" w:hAnsi="Arial"/>
          <w:sz w:val="18"/>
          <w:szCs w:val="18"/>
          <w:i w:val="1"/>
          <w:iCs w:val="1"/>
          <w:color w:val="auto"/>
        </w:rPr>
        <w:t xml:space="preserv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151765</wp:posOffset>
            </wp:positionV>
            <wp:extent cx="5332095" cy="2254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3209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Differentiation</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Our preclinical studies of ALX148 support a target product profile of favorable tolerability, the ability to be dosed in high levels and increased anti-tumor activity as compared to other CD47 blocking agents. These data include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hematologic side effects</w:t>
      </w:r>
    </w:p>
    <w:p>
      <w:pPr>
        <w:spacing w:after="0" w:line="117" w:lineRule="exact"/>
        <w:rPr>
          <w:sz w:val="20"/>
          <w:szCs w:val="20"/>
          <w:color w:val="auto"/>
        </w:rPr>
      </w:pPr>
    </w:p>
    <w:p>
      <w:pPr>
        <w:ind w:right="160" w:firstLine="589"/>
        <w:spacing w:after="0" w:line="254" w:lineRule="auto"/>
        <w:rPr>
          <w:sz w:val="20"/>
          <w:szCs w:val="20"/>
          <w:color w:val="auto"/>
        </w:rPr>
      </w:pPr>
      <w:r>
        <w:rPr>
          <w:rFonts w:ascii="Arial" w:cs="Arial" w:eastAsia="Arial" w:hAnsi="Arial"/>
          <w:sz w:val="18"/>
          <w:szCs w:val="18"/>
          <w:color w:val="auto"/>
        </w:rPr>
        <w:t>Our preclinical data demonstrate that CD47 blocking agents with an active Fc domain directly cause adverse hematologic side effects. To support this hypothesis, we engineered a fusion protein with a SIRPα CD47-binding domain identical to ALX148’s binding domain but fused to an active, wild-type IgG1 Fc domain, ALX377. We administered 30 mg/kg ALX148 and 30 mg/kg ALX377 in mouse models and measured red blood cell, or RBC, platelet and white blood cell (lymphocyte, monocytes and granulocytes) counts. As shown in the figure below, mice treated with ALX148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The inactive Fc domain on ALX148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1457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p&lt;0.001</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p&lt;0.0001</w:t>
      </w:r>
    </w:p>
    <w:p>
      <w:pPr>
        <w:spacing w:after="0" w:line="21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To further evaluate ALX148’s preclinical tolerability, cynomolgus monkeys were treated by weekly intravenous injections at doses of zero (control), 10, 30 and 100 mg/kg for five consecutive weeks. No toxicity or adverse findings related to CD47 blockade by ALX148 were seen in analysis of RBCs, white blood cells, platelets, body weight, ophthalmic examination, cytokine analysis, ECG parameters and anatomical pathology assessment. The no-observable-adverse-effect-level in the study was the highest dose tested, 100 mg/kg.</w:t>
      </w:r>
    </w:p>
    <w:p>
      <w:pPr>
        <w:spacing w:after="0" w:line="18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Together, these preclinical studies demonstrate that inactivation of the Fc domain of ALX148 avoids adverse effects on normal blood cells seen on other CD47 blocking agents with an active Fc domain. They also supported our expectation that ALX148’s lack of overlapping toxicities with other anti-cancer therapies would result in fewer adverse outcomes in a clinic when combined with these therapies than combinations with conventional CD47 blocking agents.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ALX148 elicits superior phagocytosis in combination with anti-cancer antibodies</w:t>
      </w:r>
    </w:p>
    <w:p>
      <w:pPr>
        <w:spacing w:after="0" w:line="11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 inactive Fc of ALX148 does not compete with the active Fc domain of other therapeutic antibodies for binding with Fcγ receptors on effector cells of the immune system. This fact, coupled with the high-affinity CD47 binding of our agent, results in enhanced phagocytosis from ALX148 in combination with other anti-cancer antibodies to a greater extent than other CD47 blockers. We believe this will allow us to explore ALX148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ALX148 with cetuximab, an epidermal growth factor receptor, or EGFR, inhibitor that is FDA approved for several solid tumors, to assess phagocytic activity as compared to single-agent cetuximab. Both cetuximab and the active Fc domain of a CD47 blocking agent bind to the same cell surface Fcγ receptors on a macrophage, potentially creating competition. IgG1 binds to receptors with higher affinity than IgG4 does, and ALX148’s inactive Fc does not bind. This experiment shows that CD47 blocking agents with active Fc domains and lower affinity, combined with cetuximab result in lower phagocytic activity from macrophages as compared to ALX148 with cetuximab. This experiment suggests ALX148, the only clinical CD47 blocking agent with an inactive Fc domain and high-affinity CD47 binding, may be unique in its anti-tumor activity when combined with anti-tumor antibodies.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5" w:name="page16"/>
    <w:bookmarkEnd w:id="15"/>
    <w:p>
      <w:pPr>
        <w:ind w:right="360"/>
        <w:spacing w:after="0" w:line="277" w:lineRule="auto"/>
        <w:rPr>
          <w:sz w:val="20"/>
          <w:szCs w:val="20"/>
          <w:color w:val="auto"/>
        </w:rPr>
      </w:pPr>
      <w:r>
        <w:rPr>
          <w:rFonts w:ascii="Arial" w:cs="Arial" w:eastAsia="Arial" w:hAnsi="Arial"/>
          <w:sz w:val="18"/>
          <w:szCs w:val="18"/>
          <w:i w:val="1"/>
          <w:iCs w:val="1"/>
          <w:color w:val="auto"/>
        </w:rPr>
        <w:t>ALX148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383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Favorable tolerability profile</w:t>
      </w:r>
    </w:p>
    <w:p>
      <w:pPr>
        <w:spacing w:after="0" w:line="11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Clinical trials to date continue to support ALX148’s differentiated approach to CD47 blockade. ALX148 has been administered in over 170 subjects with advanced solid or hematologic malignancies, including in combination with a range of standard of care anti-cancer regimens. ALX148 has been consistently well-tolerated, with low occurrences of cytopenias and other toxicities. Adverse events are reported as of April 1, 2020 for ALX148 combined with Keytruda and Herceptin and as of October 1, 2020 for ALX148 combined with Rituxan, Keytruda plus chemotherapy and Herceptin plus chemotherapy.</w:t>
      </w:r>
    </w:p>
    <w:p>
      <w:pPr>
        <w:spacing w:after="0" w:line="188"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have not yet reached a maximum tolerated dose in any trial of ALX148 and are continuing to test higher doses. Because the half-life of ALX148 is longer with higher dose levels, such dosing may allow up to every four weeks, or Q4W, administration schedule. Furthermore, ALX148’s tolerability profile could potentially result in a broad therapeutic window. We believe its tolerability profile to date supports initiation of trials in combination with highly effective, but more toxic, standard of care agents, such as chemotherapies that can cause cytopenias. Many other CD47 blocking agents are unable to combine with these anti-cancer agents due to overlapping toxicity profiles. We believe ALX148 may be uniquely positioned in its ability to combine with standard of care agents including those with associated cytopenias.</w:t>
      </w:r>
    </w:p>
    <w:p>
      <w:pPr>
        <w:spacing w:after="0" w:line="1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665" w:right="51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Initial data suggests that ALX148 demonstrates a consistent tolerability profile in Phase 1 trial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2348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Treatment related adverse events occurring in ≥2 subjects in all histologies at 10 &amp; 15 mg/kg QW. *Data cut off: April 1, 2020 for combination cohorts of ALX148 plus Keytruda and Herceptin; October 1, 2020 for combination cohorts of ALX148 plus Rituxan, Keytruda and chemotherapy (5FU, platinum) and Herceptin and chemotherapy (ramucirumab, paclitaxel).</w:t>
      </w:r>
    </w:p>
    <w:p>
      <w:pPr>
        <w:spacing w:after="0" w:line="184"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Single-digit to no incident rates of treatment-related grade three and higher cytopenias occurred in more than 2 subjects across each of the combination cohorts in this heavily pre-treated group who are typical participants in early stage cancer trials and are often hematologically fragile at baseline. Additionally, the majority of treatment-related adverse events were of low-grade and were easily managed. Overall, ALX148 was well tolerated in an advanced cancer population and can be combined with a wide range of anti-cancer therapeutics.</w:t>
      </w:r>
    </w:p>
    <w:p>
      <w:pPr>
        <w:spacing w:after="0" w:line="171"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All other CD47 blockers that have reported clinical data have reported high rates of both all grade and high grade cytopenias. A magrolimab clinical trial in solid tumors resulted in 56% anemia in the first 48 subjects dosed, despite each subject receiving an initial priming dose to mitigate anemia. A recent trial of magrolimab in 68 subjects with higher-risk MDS or AML presented in November 2020 (Sallman, SITC 2020, Session 304) reported over 35% grade 3 or 4 treatment-related anemia, over 15% grade 3 or 4 treatment-related neutropenia and over 10% grade 4 treatment-related thrombocytopenia. Such a tolerability profile could present challenges to the administration of this compound as a single agent and in combination. In contrast, ALX148’s tolerability profile may enhance the breadth of clinical development by providing better treatment options for patients with cancer.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PK and PD Data</w:t>
      </w:r>
    </w:p>
    <w:p>
      <w:pPr>
        <w:spacing w:after="0" w:line="117"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Initial clinical trials have confirmed that ALX148 exhibits favorable PK, and CD47 target occupancy, or TO. Human PK following intravenous, or IV, doses of ALX148 ranging from 0.3 to 30 mg/kg either as a single-agent, or in combination with pembrolizumab, trastuzumab or rituximab have been characterized in 159 subjects as of October 1, 2020. ALX148 single agent PK profiles showed a trend of non-linear PK with faster clearance at lower doses and slower clearance at higher doses of 10 mg/kg QW and 30 mg/kg once every other week, or QOW, indicating saturation of target mediated clearance.</w:t>
      </w:r>
    </w:p>
    <w:p>
      <w:pPr>
        <w:spacing w:after="0" w:line="157"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The pharmacodynamics, or PD, following AXL148 IV infusion either as a single-agent or in combination with pembrolizumab, trastuzumab or rituximab have been characterized in 156 subjects as of October 1, 2020. Target engagement has been confirmed based on CD47 TO in peripheral blood T lymphocytes and erythrocytes measured by a flow cytometry assay. At lower doses of 0.3 mg/kg and 1 mg/kg ALX148 monotherapy, dose dependent increase of TO was observed. Increased TO was observed following the subsequent IV dosing compared to the first IV dose. Complete TO in periphery across the dosing interval, where TO &gt;85%, was observed at ALX148 single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right="840"/>
        <w:spacing w:after="0" w:line="342" w:lineRule="auto"/>
        <w:rPr>
          <w:sz w:val="20"/>
          <w:szCs w:val="20"/>
          <w:color w:val="auto"/>
        </w:rPr>
      </w:pPr>
      <w:r>
        <w:rPr>
          <w:rFonts w:ascii="Arial" w:cs="Arial" w:eastAsia="Arial" w:hAnsi="Arial"/>
          <w:sz w:val="16"/>
          <w:szCs w:val="16"/>
          <w:color w:val="auto"/>
        </w:rPr>
        <w:t>agent doses ≥3 mg/kg QW and at doses of 30 mg/kg QOW. Complete TO in periphery was observed with ALX148 at doses of 10 mg/kg QW in combination with trastuzumab, or at doses of 10mg/kg QW or 15 mg/kg QW in combination with trastuzumab, ramucirumab and paclitaxel.</w:t>
      </w:r>
    </w:p>
    <w:p>
      <w:pPr>
        <w:spacing w:after="0" w:line="124"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In our Phase 1b expansion trial to date, we have observed a statistically significant positive ALX148 exposure-response relationship in subjects with NHL. While our data support full TO in the periphery at 10 mg/kg, enhanced tumor penetration may explain the higher response rate seen at 15 mg/kg in the clinic. Given the favorable tolerability observed to date at doses up to 15 mg/kg QW, we plan to evaluate these higher doses of ALX148.</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of ALX148 in Hematologic Malignancies</w:t>
      </w:r>
    </w:p>
    <w:p>
      <w:pPr>
        <w:spacing w:after="0" w:line="121"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The potential therapeutic role of CD47 blockade to date has been clearly demonstrated in hematologic malignancies. This includes both our trials of ALX148 as well as trials by other CD47 blockade programs. We have initiated a clinical trial of ALX148 in patients with MDS and are planning to initiate a trial in the second half of 2021 in patients with AML based on our initial trials in the relapsed/refractory NHL clinical setting, preclinical studies and evidence for the clinical utility of the CD47 blockade from other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NHL Proof-of-Principle</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ALX148’s initial hematologic clinical trial was a Phase 1b expansion trial in combination with rituximab to treat subjects with relapsed/refractory NHL. This was an open-label, multisite trial to assess safety. Subjects received ALX148 10 mg/kg QW or 15 mg/kg QW in combination with rituximab 375 mg/m2 administered as an intravenous infusion QW for four doses followed by once monthly for eight doses. In order to meet inclusion criteria, subjects must have had no curative therapy or standard approved therapy option available to them. Across all cohorts, as of October 1, 2020, subjects had received a median of three lines of therapy prior to enrollment in the ALX148 trial. These were heavily pre-treated subjects, all of whom had progressed on previous rituximab-containing regimens.</w:t>
      </w:r>
    </w:p>
    <w:p>
      <w:pPr>
        <w:spacing w:after="0" w:line="192"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Responses were evaluated according to the Lugano 2014 response criteria and reported as of October 1, 2020. As of October 1, 2020, ALX148 had been administered to 33 subjects. Thirty-two subjects were response evaluable. Eleven subjects had indolent lymphomas and 22 had aggressive lymphomas. There were 11 subjects enrolled to the higher dose 15 mg/kg QW cohort, 10 of whom were response evaluable. This cohort achieved an ORR of 70.0% (7/10). The ORR reported in the lower dose 10 mg/kg QW cohort was 40.9% (9/22).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127635</wp:posOffset>
            </wp:positionV>
            <wp:extent cx="5349240" cy="257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8" w:name="page19"/>
    <w:bookmarkEnd w:id="18"/>
    <w:p>
      <w:pPr>
        <w:jc w:val="center"/>
        <w:spacing w:after="0" w:line="342" w:lineRule="auto"/>
        <w:rPr>
          <w:sz w:val="20"/>
          <w:szCs w:val="20"/>
          <w:color w:val="auto"/>
        </w:rPr>
      </w:pPr>
      <w:r>
        <w:rPr>
          <w:rFonts w:ascii="Arial" w:cs="Arial" w:eastAsia="Arial" w:hAnsi="Arial"/>
          <w:sz w:val="16"/>
          <w:szCs w:val="16"/>
          <w:color w:val="auto"/>
        </w:rPr>
        <w:t>Aggressive includes relapsed/refractory Diffuse Large B Cell and Mantle Cell Lymphomas. Indolent includes Follicular and Marginal Zone Lymphomas; N: Response evaluable patients; ORR: Objective response rate (complete + partial response rates). Data cut-off: October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87630</wp:posOffset>
            </wp:positionV>
            <wp:extent cx="5349240" cy="2331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Data Cutoff October 1, 2020; Response evaluable patients; Responses include metabolic response per Lugano Response Criteria. ^ more than 80% increase from baseline. * patient with rapid fatal progressive disease not represented in plot</w:t>
      </w:r>
    </w:p>
    <w:p>
      <w:pPr>
        <w:spacing w:after="0" w:line="14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view ALX148’s initial activity in heavily pre-treated subjects with NHL as compelling evidence for the role of ALX148 in treating hematologic malignancies and as a favorable comparison to outcomes reported by other CD47 blocking agents in similar subjects. We believe the initial data in our 10 and 15 mg/kg QW cohorts, which showed a statistically significant exposure-dependent response, demonstrates ALX148’s activity and supports higher dose administration in trials for subjects with MDS.</w:t>
      </w:r>
    </w:p>
    <w:p>
      <w:pPr>
        <w:spacing w:after="0" w:line="187" w:lineRule="exact"/>
        <w:rPr>
          <w:sz w:val="20"/>
          <w:szCs w:val="20"/>
          <w:color w:val="auto"/>
        </w:rPr>
      </w:pPr>
    </w:p>
    <w:p>
      <w:pPr>
        <w:ind w:right="220" w:firstLine="589"/>
        <w:spacing w:after="0" w:line="279" w:lineRule="auto"/>
        <w:rPr>
          <w:sz w:val="20"/>
          <w:szCs w:val="20"/>
          <w:color w:val="auto"/>
        </w:rPr>
      </w:pPr>
      <w:r>
        <w:rPr>
          <w:rFonts w:ascii="Arial" w:cs="Arial" w:eastAsia="Arial" w:hAnsi="Arial"/>
          <w:sz w:val="17"/>
          <w:szCs w:val="17"/>
          <w:color w:val="auto"/>
        </w:rPr>
        <w:t>Based on the activities seen at the 10 and 15 mg/kg QW doses coupled with a favorable tolerability profile, we are intending to test higher doses, up to 60 mg/kg Q4W in MDS. We believe this dosing schedule may be unique among CD47 blockade programs and can potentially provide a more convenient regimen in combination with monthly azacitidine for patients. This data set also supported our decision to advance ALX148 into solid tumor indications at higher doses of 45 mg/kg once every three weeks, or Q3W, in combination with standard agents also administered Q3W.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ALX148 for the Treatment of MDS</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Our development of ALX148 in hematologic indications is initially focused on MDS. There are approximately 70,000 people living with diagnosed MDS in the U.S. Patients with MDS have a wide range of expected outcomes that can be estimated from their Revised International Prognostic Scoring System, or IPSS-R, risk category. Patients with very low IPSS-R have an mOS of 8.8 years, whereas those with very high IPSS-R have an mOS of under ten months. Since nearly 75% of new cases are in patients aged 70 or older, balancing a patient’s age at prognosis with potential treatment-related impact on quality of life is important in considering treatment options. Regardless of age, treatment goals for patients with MDS are a balance of improved survival, symptom alleviation and quality of life.</w:t>
      </w:r>
    </w:p>
    <w:p>
      <w:pPr>
        <w:spacing w:after="0" w:line="192"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For patients with higher-risk MDS (intermediate, high and very high IPSS-R), standard of care treatments include stem cell transplant, or SCT, high and low-intensity chemotherapy regimens and HMAs. SCT is the only therapy that is potentially curative; however, the procedure is difficult to tolerate, especially for older patients, and has a non-relapse mortality rate of approximately 40% at 200 days for all patients with MDS.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right="200" w:firstLine="589"/>
        <w:spacing w:after="0" w:line="291" w:lineRule="auto"/>
        <w:rPr>
          <w:sz w:val="20"/>
          <w:szCs w:val="20"/>
          <w:color w:val="auto"/>
        </w:rPr>
      </w:pPr>
      <w:r>
        <w:rPr>
          <w:rFonts w:ascii="Arial" w:cs="Arial" w:eastAsia="Arial" w:hAnsi="Arial"/>
          <w:sz w:val="16"/>
          <w:szCs w:val="16"/>
          <w:color w:val="auto"/>
        </w:rPr>
        <w:t>For patients who are ineligible for SCT, azacitidine, an HMA, is a standard backbone therapy for combination treatment regimens in MDS. The drug continues to be used in combination with investigational agents in a number of current MDS trials. Single-agent azacitidine is one of the few FDA-approved agents for patients with MDS. However, its FDA label indicates a complete response, or CR, rate of only 5.6% and an mOS of 2.0 years. A clinical complete response comprises normalizing peripheral blood counts, resolution of bone marrow dysplasia and reduction in the percentage of immature blood cells, or myeloblasts, to less than 5%. CD47 blockade in combination with azacitidine has shown early clinical evidence that suggests it may improve CR rates in MDS. For patients with higher-risk MDS, achieving a CR and improving overall survival are the central treatment goals. Treatment goals for patients with lower-risk MDS are different. The primary goal for those patients is resolution of cytopenias.</w:t>
      </w:r>
    </w:p>
    <w:p>
      <w:pPr>
        <w:spacing w:after="0" w:line="166"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Red blood cell transfusions are a key element of treatment intended to address cytopenias in patients with MDS. The majority of patients have a hemoglobin count of less than 10 g/dL and approximately one-third of patients are RBC transfusion dependent. Transfusions impose significant time and cost burdens on patients and also cause clinical sequelae such as iron overload and associated liver fibrosis and cardiomyopathy. Therefore, achieving transfusion independence is an important secondary goal of treating patients with higher-risk MDS. A competitive CD47 blocking agent has generated encouraging clinical data, however, it is associated with high rates of anemia that may require additional transfusions upon treatment initiation, mitigating any success in peripheral blood count normalization.</w:t>
      </w:r>
    </w:p>
    <w:p>
      <w:pPr>
        <w:spacing w:after="0" w:line="19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current clinical experience with CD47 blocking agents in MDS underscores the need for combination therapy to increase CR rates above that seen with standard of care azacitidine monotherapy. As previously discussed, pro-phagocytic signals in ALX148-based combinations can be provided by drugs that increase display of the “eat me” signal calreticulin on the surface of tumor cells. We have conducted preclinical studies that showed that azacitidine and venetoclax increase both the display of the “eat me” signal calreticulin and the “don’t eat me” signal CD47 on AML cells, suggesting that a CD47 blocking agent could maximize the activity of venetoclax and azacitidine in these models. Additionally, we have shown that ALX148 with venetoclax or azacitidine in combination produces increased phagocytosis in vitro and anti-tumor activity in mouse models compared to azacitidine or venetoclax alone.</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0" w:name="page21"/>
    <w:bookmarkEnd w:id="20"/>
    <w:p>
      <w:pPr>
        <w:ind w:right="40" w:firstLine="589"/>
        <w:spacing w:after="0" w:line="275" w:lineRule="auto"/>
        <w:rPr>
          <w:sz w:val="20"/>
          <w:szCs w:val="20"/>
          <w:color w:val="auto"/>
        </w:rPr>
      </w:pPr>
      <w:r>
        <w:rPr>
          <w:rFonts w:ascii="Arial" w:cs="Arial" w:eastAsia="Arial" w:hAnsi="Arial"/>
          <w:sz w:val="17"/>
          <w:szCs w:val="17"/>
          <w:color w:val="auto"/>
        </w:rPr>
        <w:t>Furthermore, combination treatment of ALX148 with azacitidine or venetoclax led to tumor elimination and prolonged survival in leukemia mouse models. Azacitidine and ALX148 monotherapies produced moderate tumor growth inhibition with all mice succumbing to disease by day 85 post inoculation. In contrast, the combination of ALX148 and azacitidine completely eliminated tumor growth with 100% animal survival up to study termination on day 147. We have also demonstrated in preclinical studies that ALX148 when combined with venetoclax, a BCL-2 inhibitor that is FDA approved for the treatment of patients with AML, led to tumor elimination in a leukemia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120650</wp:posOffset>
            </wp:positionV>
            <wp:extent cx="5349240" cy="31375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firstLine="594"/>
        <w:spacing w:after="0" w:line="293" w:lineRule="auto"/>
        <w:rPr>
          <w:sz w:val="20"/>
          <w:szCs w:val="20"/>
          <w:color w:val="auto"/>
        </w:rPr>
      </w:pPr>
      <w:r>
        <w:rPr>
          <w:rFonts w:ascii="Arial" w:cs="Arial" w:eastAsia="Arial" w:hAnsi="Arial"/>
          <w:sz w:val="16"/>
          <w:szCs w:val="16"/>
          <w:color w:val="auto"/>
        </w:rPr>
        <w:t>Recent data from a competitive CD47 blockade program, magrolimab, further support trials of ALX148 for treatment of MDS. Magrolimab was studied both as a single-agent and in combination with azacitidine in subjects with higher-risk MDS or AML. As reported at ASCO 2020, magrolimab plus azacitidine achieved a 42% CR rate in previously untreated MDS and a 40% CR in previously untreated AML. As a single-agent, magrolimab achieved no CRs in relapsed/refractory MDS and AML, suggesting that a separate pro-phagocytic signal is required for the observed clinical activity. Despite the high rate of CRs achieved in combination, over 38% of subjects in these trials have experienced grade 3 or higher treatment-related anemia. Notwithstanding these limitations, magrolimab’s data support the potential role of CD47 blockade in treating these subjects.</w:t>
      </w:r>
    </w:p>
    <w:p>
      <w:pPr>
        <w:spacing w:after="0" w:line="164" w:lineRule="exact"/>
        <w:rPr>
          <w:sz w:val="20"/>
          <w:szCs w:val="20"/>
          <w:color w:val="auto"/>
        </w:rPr>
      </w:pPr>
    </w:p>
    <w:p>
      <w:pPr>
        <w:ind w:firstLine="594"/>
        <w:spacing w:after="0" w:line="272" w:lineRule="auto"/>
        <w:rPr>
          <w:sz w:val="20"/>
          <w:szCs w:val="20"/>
          <w:color w:val="auto"/>
        </w:rPr>
      </w:pPr>
      <w:r>
        <w:rPr>
          <w:rFonts w:ascii="Arial" w:cs="Arial" w:eastAsia="Arial" w:hAnsi="Arial"/>
          <w:sz w:val="17"/>
          <w:szCs w:val="17"/>
          <w:color w:val="auto"/>
        </w:rPr>
        <w:t>Our strategy is to pursue ALX148 as a potentially critical component for future combination treatment options for patients with higher-risk MDS. Our preclinical models, activity of ALX148 in NHL where magrolimab has reported similar data and available CD47 clinical data in this indication support a potential role for ALX148 for treatment of patients with MDS. Baseline characteristics of subjects in a recent trial of azacitidine plus venetoclax in treatment-naïve higher-risk MDS illustrated the need for therapies that do not induce cytopenias. Prior to treatment, 56% of subjects had grade 3 or higher neutropenia, 33% had grade 3 or higher thrombocytopenia, 40% had grade 3 or higher leukopenia and 12% had grade 3 or higher anemia. We believe that it is important to develop a CD47 blocking therapy that does not exacerbate cytopenias that patients may already exhibit pre-treatment. ALX148’s tolerability profile to date suggests it may address this unmet need in patients who suffer from MDS.</w:t>
      </w:r>
    </w:p>
    <w:p>
      <w:pPr>
        <w:spacing w:after="0" w:line="177" w:lineRule="exact"/>
        <w:rPr>
          <w:sz w:val="20"/>
          <w:szCs w:val="20"/>
          <w:color w:val="auto"/>
        </w:rPr>
      </w:pPr>
    </w:p>
    <w:p>
      <w:pPr>
        <w:jc w:val="both"/>
        <w:ind w:right="220" w:firstLine="594"/>
        <w:spacing w:after="0" w:line="296" w:lineRule="auto"/>
        <w:rPr>
          <w:sz w:val="20"/>
          <w:szCs w:val="20"/>
          <w:color w:val="auto"/>
        </w:rPr>
      </w:pPr>
      <w:r>
        <w:rPr>
          <w:rFonts w:ascii="Arial" w:cs="Arial" w:eastAsia="Arial" w:hAnsi="Arial"/>
          <w:sz w:val="16"/>
          <w:szCs w:val="16"/>
          <w:color w:val="auto"/>
        </w:rPr>
        <w:t>In October 2020, we initiated a Phase 1b/2 trial of ALX148 in combination with azacitidine for the treatment of subjects with higher-risk MDS. The Phase 1b portion of the trial will seek to evaluate up to 60 mg/kg Q4W of ALX148 plus standard azacitidine in subjects with relapsed/refractory and previously untreated MDS. The Phase 2 portion of the trial will assess the combination of ALX148 and azacitidine in subjects with previously untreated higher-risk MDS. The primary endpoint will be complete remission rate by six months. We intend to pursue a strategy in which we will leverage the data generated from the Phase 1b/2 trial to request from the FDA that ALX148 be a candidate for accelerated approval in the treatment of MDS.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ALX148 for the treatment of AML</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Our preclinical studies and clinical trials from competing CD47 agents support the potential role of ALX148 in the treatment of patients with AML. In the United States, there are over 35,000 people living with AML with an expected 20,000 newly diagnosed cases and over 11,000 deaths from the disease in 2020. Overall survival for patients with AML is generally worse than patients with higher-risk MDS. Median overall survival for patients with AML ranges from approximately 15 months for patients with favorable cytogenetic risk factors to less than 5 months for those with adverse risk factors. Similar to MDS, patients tend to be older with a median age at diagnosis of 68.</w:t>
      </w:r>
    </w:p>
    <w:p>
      <w:pPr>
        <w:spacing w:after="0" w:line="188"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First-line treatment options for patients can be broadly stratified into high-intensity and low-intensity induction regimens. High-intensity induction chemotherapy is typically cytarabine plus an anthracycline (so called “7+3”) administered over a 28-day cycle. While patients can derive long term benefit from 7+3, the risks of the regimen are substantial. 60-day treatment-related mortality from 7+3 induction have been as high as 27% and have declined to 6-8% in recent years, likely due in part to more stringent patient selection and the decreased average age of patients who receive 7+3. Patients who are not candidates for intensive induction chemotherapy due to preference, performance status, or other reasons are likely to receive low-intensity regimens characterized by the use of HMAs, venetoclax or combined HMA plus venetoclax. In the past decade, the percentage of patients 65 and older who receive first-line high-intensity treatment has declined from approximately 70% to 40%, while the use of HMAs in this population increased from 11% to 44%. Venetoclax combined with an HMA recently received approval from the FDA for use in adults who are 75 years or older or who have comorbidities that exclude the use of intensive induction chemotherapy. In the Phase 3 VIALE-A trial, venetoclax achieved a 37% CR rate in combination with azacitidine and a median duration of CR of 18.0 months. Despite these results, we believe there is a significant unmet need for more effective and well-tolerated first-line treatment options for patients who are not candidates for high-intensity therapy.</w:t>
      </w:r>
    </w:p>
    <w:p>
      <w:pPr>
        <w:spacing w:after="0" w:line="172"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The mechanistic rationale for combining ALX148 with azacitidine in AML is similar to the rationale for MDS. Preclinical studies show that azacitidine increases the display of calreticulin, a pro-phagocytic signal, on cancer cells in AML models. The preclinical studies that support the use of ALX148 combinations in MDS also support its use in AML. Clinically, the CD47 agent magrolimab has achieved a 40% CR rate in untreated AML when used in combination with azacitidine. In a separate study in patients 65 and older with untreated AML, single-agent azacitidine as achieved a 20% CR rate. We believe this indicates CD47 agents could increase the activity of HMAs above their single-agent levels. Furthermore, our preclinical data of ALX148 in combination with venetoclax supports the combination with this agent that is increasingly being used in the treatment of patients with AML.</w:t>
      </w:r>
    </w:p>
    <w:p>
      <w:pPr>
        <w:spacing w:after="0" w:line="164"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We plan to initiate a Phase 1b/2 trial of ALX148 in combination with venetoclax and azacitidine for the first-line treatment of patients with AML in the second half of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ALX148 in Solid Tumors</w:t>
      </w:r>
    </w:p>
    <w:p>
      <w:pPr>
        <w:spacing w:after="0" w:line="117"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We have generated clinical data with ALX148 in combination with multiple anti-cancer agents in solid tumors. We believe the smaller molecular weight of ALX148 as compared to a typical antibody may facilitate greater penetration into solid tumors. In addition, we believe the favorable tolerability profile of ALX148 will allow for higher administered doses in a range of combination strategies with leading therapies for solid tumors. Solid tumors represent the largest markets within oncology and many of these oncology indications are poorly served by current therapies, both in front-line as well as in the relapsed and refractory settings. We have demonstrated proof of concept with ALX148 in combination treatment in two solid tumor settings in initial clinical trials: HNSCC and HER2-positive gastric/GEJ cancer. We believe these indications offer registration pathways in combination with existing approved therapies and we intend to advance ALX148 into randomized Phase 2 trials in both oncology indications in 2021.</w:t>
      </w:r>
    </w:p>
    <w:p>
      <w:pPr>
        <w:spacing w:after="0" w:line="166"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ALX148 can be combined with PD-1/programmed death-ligand 1, or PD-(L)1, agents in a broad range of solid tumors. As part of our development strategy, we are exploring the use of ALX148 in combination with a PD-1 inhibitor with and without chemotherapy in HNSCC. PD-(L)1 inhibitors are currently approved by the FDA for 18 indications and had over $20 billion in 2019 sales. Other CD47 blocking approaches may be limited in their ability to combine with PD-(L)1 inhibitors due to cumulative or overlapping toxicities.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ind w:right="20" w:firstLine="589"/>
        <w:spacing w:after="0" w:line="275" w:lineRule="auto"/>
        <w:rPr>
          <w:sz w:val="20"/>
          <w:szCs w:val="20"/>
          <w:color w:val="auto"/>
        </w:rPr>
      </w:pPr>
      <w:r>
        <w:rPr>
          <w:rFonts w:ascii="Arial" w:cs="Arial" w:eastAsia="Arial" w:hAnsi="Arial"/>
          <w:sz w:val="17"/>
          <w:szCs w:val="17"/>
          <w:color w:val="auto"/>
        </w:rPr>
        <w:t>We investigated ALX148 in subjects with solid tumors in additional cohorts as part of an extensive Phase 1 trial. Part 1 was a dose escalation trial of single-agent ALX148 intended to examine tolerability and recommended dosing and was not expected to show single-agent activity. Sixteen subjects with solid tumors received ALX148 as a single-agent on a QW schedule at doses ranging from 0.1 mg/kg to 10 mg/kg and 12 subjects received ALX148 as a single-agent on a QoW dosing schedule at a dose of 30 mg/kg. The maximum tolerated dose was not determined on either schedule. However, the maximum administered dose was 30 mg/kg for the Q2W dosing schedule and 10 mg/kg for the QW schedule.</w:t>
      </w:r>
    </w:p>
    <w:p>
      <w:pPr>
        <w:spacing w:after="0" w:line="17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Part 2 was comprised of ALX148 escalation and expansion cohorts. In subjects with solid tumors, ALX148 was combined with various anti-cancer agents including pembrolizumab, trastuzumab and chemotherapy. Adverse events from these cohorts are reported above. As previously discussed, ALX148 has consistently displayed a favorable tolerability profile. Many of the reported adverse events have been associated with either pembrolizumab or trastuzumab.</w:t>
      </w:r>
    </w:p>
    <w:p>
      <w:pPr>
        <w:spacing w:after="0" w:line="187"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In HNSCC, our initial Phase 1b expansion trial combined ALX148 with pembrolizumab, an anti-PD-1 agent, which is a standard of care for subjects with HNSCC. Final results from the cohort of ALX148 combined with pembrolizumab were reported at the 2020 American Society of Clinical Oncology, Virtual Scientific Program, or ASCO 2020, and provided the first demonstration of ALX148’s ability to enhance checkpoint inhibitor antibody activity in solid tumors and is the basis for FDA Fast Track designation in first-line treatment of HNSCC. Data from this trial supported our second trial in HNSCC that adds chemotherapy (5-fluoropyrimidine plus cisplatin) to the combination of pembrolizumab and ALX148 and preliminary data for this cohort was presented at the Society for Immunotherapy of Cancer’s 35</w:t>
      </w:r>
      <w:r>
        <w:rPr>
          <w:rFonts w:ascii="Arial" w:cs="Arial" w:eastAsia="Arial" w:hAnsi="Arial"/>
          <w:sz w:val="15"/>
          <w:szCs w:val="15"/>
          <w:color w:val="auto"/>
        </w:rPr>
        <w:t>th</w:t>
      </w:r>
      <w:r>
        <w:rPr>
          <w:rFonts w:ascii="Arial" w:cs="Arial" w:eastAsia="Arial" w:hAnsi="Arial"/>
          <w:sz w:val="18"/>
          <w:szCs w:val="18"/>
          <w:color w:val="auto"/>
        </w:rPr>
        <w:t xml:space="preserve"> Anniversary Annual Meeting, or SITC 2020. We also recently entered into a clinical trial collaboration with Merck to study the combination of ALX148 and pembrolizumab with and without chemotherapy in a randomized Phase 2 trial.</w:t>
      </w:r>
    </w:p>
    <w:p>
      <w:pPr>
        <w:spacing w:after="0" w:line="192"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In HER2-positive gastric/GEJ cancer, our Phase 1b expansion trial included a combination with trastuzumab, an anti-HER2 agent, that is the standard of care for subjects with HER2-positive gastric/GEJ cancer and is FDA-approved for other HER2-expressing tumors. Final results from the cohort of ALX148 combined with trastuzumab were reported at ASCO 2020 and provided the first demonstration of ALX148 activity with an anti-tumor targeted antibody in subjects with solid tumors. Data from this trial formed the basis for FDA Fast Track designation in second-line subjects with advanced HER2-positive gastric/GEJ cancer and supported our second trial in gastric/GEJ cancer that adds second-line standard of care agents (ramucirumab plus paclitaxel) to the combination of trastuzumab and ALX148. Preliminary data for this cohort was also presented at SITC 2020.</w:t>
      </w:r>
    </w:p>
    <w:p>
      <w:pPr>
        <w:spacing w:after="0" w:line="164"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We also plan to advance ALX148 into a Phase 1 clinical trial in combination with zanidatamab, an investigational anti-HER2 bispecific antibody, in patients with HER2-expressing breast cancer and other solid tumors. We recently entered into a clinical trial collaboration with Zymeworks, the developer of zanidatamab, to explore this combination.</w:t>
      </w:r>
    </w:p>
    <w:p>
      <w:pPr>
        <w:spacing w:after="0" w:line="184"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Overall, we believe our development plan for ALX148 in solid tumors has significant potential and represents a strong complement to our program in hematologic malignancies. With encouraging data in multiple drug combinations initially evaluated in the clinic, we plan to advance trials to assess efficacy in the solid tumor indications with substantial unmet medical need.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ALX148 in HNSCC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background</w:t>
      </w:r>
    </w:p>
    <w:p>
      <w:pPr>
        <w:spacing w:after="0" w:line="117" w:lineRule="exact"/>
        <w:rPr>
          <w:sz w:val="20"/>
          <w:szCs w:val="20"/>
          <w:color w:val="auto"/>
        </w:rPr>
      </w:pPr>
    </w:p>
    <w:p>
      <w:pPr>
        <w:jc w:val="both"/>
        <w:ind w:right="420" w:firstLine="589"/>
        <w:spacing w:after="0" w:line="263" w:lineRule="auto"/>
        <w:rPr>
          <w:sz w:val="20"/>
          <w:szCs w:val="20"/>
          <w:color w:val="auto"/>
        </w:rPr>
      </w:pPr>
      <w:r>
        <w:rPr>
          <w:rFonts w:ascii="Arial" w:cs="Arial" w:eastAsia="Arial" w:hAnsi="Arial"/>
          <w:sz w:val="18"/>
          <w:szCs w:val="18"/>
          <w:color w:val="auto"/>
        </w:rPr>
        <w:t>There are estimated to be over 38,000 people living in the United States with metastatic HNSCC, with over 50,000 newly incident cases at all stages estimated to be diagnosed in 2020. Five-year survival is 85% for patients diagnosed with localized disease but decreases to only 40% for those diagnosed with metastatic disease, underlying the need for improved treatment options.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ind w:firstLine="589"/>
        <w:spacing w:after="0" w:line="272" w:lineRule="auto"/>
        <w:rPr>
          <w:sz w:val="20"/>
          <w:szCs w:val="20"/>
          <w:color w:val="auto"/>
        </w:rPr>
      </w:pPr>
      <w:r>
        <w:rPr>
          <w:rFonts w:ascii="Arial" w:cs="Arial" w:eastAsia="Arial" w:hAnsi="Arial"/>
          <w:sz w:val="17"/>
          <w:szCs w:val="17"/>
          <w:color w:val="auto"/>
        </w:rPr>
        <w:t>FDA-approved and National Comprehensive Cancer Network, or NCCN, recommended therapies for the first-line treatment of recurrent/metastatic disease include pembrolizumab monotherapy, pembrolizumab combined with chemotherapy, platinum and fluorouracil, and cetuximab, an anti-epidermal growth factor receptor antibody, combined with chemotherapy among other treatments. The KEYNOTE-048 clinical trial led to the FDA approval of pembrolizumab monotherapy as a first-line treatment in patients with HNSCC whose tumors express PD-L1 on a Combined Positive Score, or CPS, ≥1 and approval of pembrolizumab plus chemotherapy as a first-line treatment in patients with HNSCC regardless of CPS . In KEYNOTE-048, pembrolizumab monotherapy achieved 17% ORR with a median progression-free survival, or mPFS, of 2.3 months in subjects with HNSCC regardless of CPS. Of particular note, in subjects with CPS &lt;1 pembrolizumab monotherapy only achieved a 5% ORR.</w:t>
      </w:r>
    </w:p>
    <w:p>
      <w:pPr>
        <w:spacing w:after="0" w:line="17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Pembrolizumab monotherapy in previously treated HNSCC was reported in the Phase 3 KEYNOTE-040 trial. Subjects were excluded if they had prior therapy with an anti-PD-1 or anti-PD-L1 therapy. In KEYNOTE-040, pembrolizumab achieved a 15% ORR, mPFS of only 2.1 months and mOS of 8.4 months. While we believe pembrolizumab is an important treatment option for both first- and second-line HNSCC, the majority of patients do not have an objective response to pembrolizumab-based therapy.</w:t>
      </w:r>
    </w:p>
    <w:p>
      <w:pPr>
        <w:spacing w:after="0" w:line="187"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Despite the recent approval of pembrolizumab, we believe that there is significant unmet need remaining for patients with HNSCC. The addition of ALX148 to pembrolizumab, or pembrolizumab plus chemotherapy, may have the potential to improve response rates and provide additional clinical benefit to patients with metastatic HNSCC. We have evaluated ALX148 in subjects with metastatic HNSCC and continue to develop ALX148 in this setting.</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design</w:t>
      </w:r>
    </w:p>
    <w:p>
      <w:pPr>
        <w:spacing w:after="0" w:line="11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ALX148 was investigated in two combinations and lines of therapy in subjects with recurrent/metastatic HNSCC. First, ALX148 was investigated in combination with pembrolizumab in subjects with recurrent/metastatic HNSCC who had received at least one prior systemic therapy. The clinical evaluation of ALX148 in HNSCC was an open-label, multisite expansion of our Phase 1 trial to assess safety and tolerability with response rate and duration as secondary endpoints. There was no requirement for PD-L1 expression. Subjects received ALX148 10 mg/kg QW in combination with pembrolizumab 200 mg on a Q3W dosing schedule. Subject response was evaluated based on RECIST version 1.1. Twenty subjects were dosed with ALX148 and as of October 1, 2020, all subjects in the ALX148 with pembrolizumab HNSCC expansion cohort were response evaluable. Because standard of care in first-line HNSCC was evolving during the course of this trial to include checkpoint inhibitors, 50% (10) of the subjects who enrolled were checkpoint inhibitor naïve and 50% (10) had previously received a checkpoint inhibitor.</w:t>
      </w:r>
    </w:p>
    <w:p>
      <w:pPr>
        <w:spacing w:after="0" w:line="17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Additionally, ALX148 was investigated in the ongoing trial of ALX148 in combination with pembrolizumab, 5FU and platinum therapy in subjects with recurrent/metastatic HNSCC who had received no prior treatment for advanced disease. As of October 1, 2020, five subjects had been dosed and four were response evaluable.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Outcomes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primary objective of the trial was to assess safety. Final results of the fully enrolled ALX148 with pembrolizumab cohort and partially enrolled ALX148 plus pembrolizumab and chemotherapy cohort were reported at SITC 2020. As reported above in the summary tables of treatment-related adverse events from all ALX148 trials, the combination was well tolerated. As of October 1, 2020, ALX148 with pembrolizumab achieved an ORR of 40% (4/10) in checkpoint inhibitor naïve subjects while maintaining a tolerability profile consistent with earlier trials. Some of the 20 subjects had a CPS of zero and response was also observed within this subject population. We believe the addition of ALX148 to pembrolizumab represents a potentially significant advance over pembrolizumab monotherapy based on a review of the KEYNOTE-040 trial results that showed an ORR of 15% in a similar checkpoint inhibitor therapy naïve population. Based on our clinical trial data, the FDA granted ALX148 Fast Track designation for first-line treatment of subjects with HNSCC. ALX148 with pembrolizumab and chemotherapy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achieved an ORR of 75% (3/4), including a complete response, in subjects who had received no prior treatment for advanced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288925</wp:posOffset>
            </wp:positionV>
            <wp:extent cx="5349240" cy="4474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Notes: Data Cutoff October 1, 2020. Subjects who received at least one dose of ALX148 in the expansion phase, had a baseline assessment, and at least one post-baseline disease assessment. ORR = Overall Response Rate. DCR = disease control rate. DOR = duration of response. mPFS = median progression free survival. mOS = median overall survival. NC = not calculated. CI = confidence interval. ITT Intent to treat population in chemotherapy cohort: HNSCC (10+15 mg/kg) N=5; HNSCC (15mg/kg) N=2</w:t>
      </w:r>
    </w:p>
    <w:p>
      <w:pPr>
        <w:spacing w:after="0" w:line="187"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We also analyzed paired pre- and on-treatment tumor biopsies from subjects for the presence of CD8+ T cells, CD68+ and CD163+ myeloid cells. After treatment with ALX148, tumor samples showed increased infiltration of CD8+, CD68+ and CD163+ cells in the tumor, which suggests that ALX148 also engages the innate and adaptive immune system consistent with its mechanism of action.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w:t>
      </w:r>
    </w:p>
    <w:p>
      <w:pPr>
        <w:spacing w:after="0" w:line="11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Our HNSCC development plan is to build on the initial results of ALX148 in checkpoint inhibitor naïve patients in combination with pembrolizumab. Given the results of KEYNOTE-048, we expect pembrolizumab, or pembrolizumab plus chemotherapy, to continue to be widely used in the first-line treatment of metastatic HNSCC. Therefore, our future plans will be focused on establishing additional efficacy, in the context of acceptable safety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80"/>
        <w:spacing w:after="0" w:line="268" w:lineRule="auto"/>
        <w:rPr>
          <w:sz w:val="20"/>
          <w:szCs w:val="20"/>
          <w:color w:val="auto"/>
        </w:rPr>
      </w:pPr>
      <w:r>
        <w:rPr>
          <w:rFonts w:ascii="Arial" w:cs="Arial" w:eastAsia="Arial" w:hAnsi="Arial"/>
          <w:sz w:val="17"/>
          <w:szCs w:val="17"/>
          <w:color w:val="auto"/>
        </w:rPr>
        <w:t>and tolerability, over pembrolizumab alone, or pembrolizumab plus chemotherapy, in the front-line metastatic HNSCC setting. In January 2020, we initiated a Phase 1b trial that is evaluating ALX148 plus pembrolizumab plus chemotherapy in subjects with no PD-L1 expression requirements. In addition to our initial dosing of 10 mg/kg QW, a higher dosing will be explored with 15 mg/kg QW dosing planned. In September 2020, we announced a clinical trial collaboration with Merck to evaluate ALX148 in combination with pembrolizumab with and without chemotherapy in two randomized Phase 2 trials in subjects with HNSCC who have not received prior therapy for advanced disease. The first trial will evaluate the efficacy of ALX148 in combination with pembrolizumab for the first-line treatment of patients with PD-L1 expressing metastatic or unresectable, recurrent HNSCC. The second trial will evaluate ALX148 in combination with pembrolizumab and standard chemotherapy for the first-line treatment of patients with metastatic or unresectable, recurrent HNSCC. In December 2020, the FDA verbally informed us, that given our planned initiation of two randomized Phase 2 HNSCC clinical trials that could be potentially registrational, they require completion of a routine non-clinical safety study that we currently have in process. The FDA noted that for any drug development program moving swiftly through development, this non-clinical study is still required prior to the initiation of a clinical trial that could be considered pivotal. We are allowed to initiate both Phase 2 HNSCC clinical trials with the enrollment capped at a total of 50 subjects treated with ALX148 across both trials (excluding safety lead-in cohorts) pending acceptance of the non-clinical safety study report. We expect to provide the required report to the FDA prior to reaching the 50-patient enrollment cap. While this cap on enrollment is defined as a partial clinical hold, no delays are anticipated in our current clinical trial timelines.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ALX148 in HER2-Positive Gastric/GEJ</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background</w:t>
      </w:r>
    </w:p>
    <w:p>
      <w:pPr>
        <w:spacing w:after="0" w:line="11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Over 25,000 people are estimated to be living in the United States with diagnosed metastatic gastric/GEJ carcinoma. A large, international Phase 3 trial of trastuzumab in gastric/GEJ cancer found that of the nearly 4,000 subjects screened for inclusion in the trial, 17% of them were HER2-positive, which suggests a general HER2-positive rate for patients with gastric/GEJ cancer. In East Asian countries, gastric/GEJ cancer is much more common than in the United States, with incidence rates 4-10 times higher. China alone has a diagnosed incidence of over 900,000 patients with gastric/GEJ cancer per year.</w:t>
      </w:r>
    </w:p>
    <w:p>
      <w:pPr>
        <w:spacing w:after="0" w:line="188"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First-line standard of care treatment is trastuzumab combined with the chemotherapy agents platinum and fluoropyrimidine. Trastuzumab, marketed as Herceptin, is an anti-HER2 antibody that has multiple FDA approvals in patients with HER2-positive cancers. In the second-line HER2-positive gastric setting, there are no HER2 targeted FDA-approved therapies. As such, the standard of care regimen in the U.S. is ramucirumab, marketed as Cyramza, a vascular endothelial growth factor 2 receptor monoclonal antibody, in combination with paclitaxel, a widely used chemotherapy. In a Phase 3 trial leading to FDA approval, ramucirumab plus paclitaxel achieved a 28% ORR with a 9.6 month mOS in subjects with previously treated gastric/GEJ cancer.</w:t>
      </w:r>
    </w:p>
    <w:p>
      <w:pPr>
        <w:spacing w:after="0" w:line="192"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HER2-positive patients with gastric/GEJ cancers in second-line treatment are likely to have received an anti-HER2 antibody-based treatment in their first line of treatment. A recently reported prospective clinical trial studied trastuzumab plus paclitaxel compared to paclitaxel alone in previously treated HER2-positive subjects with gastric/GEJ cancer. Subjects were required to have progressed during the first line of treatment with trastuzumab plus chemotherapy (fluoropyrimidine plus platinum). The objective of this trial was to assess the clinical effect of trastuzumab after patients had progressed on prior trastuzumab treatment. The trial results showed that the addition of trastuzumab added no meaningful clinical benefit over paclitaxel alone. There was no significant improvement in mOS, mPFS or ORR compared to the paclitaxel arm. Based on these data, we hypothesized that we could attribute any observed responses when treating a similar subject population with ALX148 paired with trastuzumab, to a combination effect of the two agents and not simply a response to trastuzumab alone.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design</w:t>
      </w:r>
    </w:p>
    <w:p>
      <w:pPr>
        <w:spacing w:after="0" w:line="11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ALX148 was investigated in two combinations in subjects with HER2-positive gastric/GEJ cancer. First, ALX148 was investigated with trastuzumab in subjects with relapsed/refractory HER2-positive gastric/GEJ cancer. This trial was an open-label, multisite expansion of our Phase 1 trial to assess safety and tolerability with response rate and duration as secondary endpoints. Twenty subjects from the gastric/GEJ expansion cohort received ALX148 10 mg/kg QW in combination with trastuzumab at an initial dose of 8 mg/kg followed by 6 mg/kg intravenous infusion Q3W. As of October 1, 2020, 19 subjects were response evaluable. One of the twenty subjects administered ALX148 discontinued the trial due to clinical symptoms of progression prior to their first scheduled on trial scan and therefore was not response evaluable per protocol definition.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right="300" w:firstLine="589"/>
        <w:spacing w:after="0" w:line="263" w:lineRule="auto"/>
        <w:rPr>
          <w:sz w:val="20"/>
          <w:szCs w:val="20"/>
          <w:color w:val="auto"/>
        </w:rPr>
      </w:pPr>
      <w:r>
        <w:rPr>
          <w:rFonts w:ascii="Arial" w:cs="Arial" w:eastAsia="Arial" w:hAnsi="Arial"/>
          <w:sz w:val="18"/>
          <w:szCs w:val="18"/>
          <w:color w:val="auto"/>
        </w:rPr>
        <w:t>As of April 1, 2020, in our trial of ALX148 plus trastuzumab, 18 of 19 response evaluable subjects from the gastric/GEJ expansion cohort, including all subjects who achieved a response, had been treated with at least one HER2-containing regimen prior to enrollment. Multiple subjects also received an investigational anti-HER2 agent and a PD-1 checkpoint inhibitor as prior treatment.</w:t>
      </w:r>
    </w:p>
    <w:p>
      <w:pPr>
        <w:spacing w:after="0" w:line="184"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Additionally, ALX148 was investigated with trastuzumab, ramucirumab and paclitaxel in subjects with relapsed/refractory HER2-postive gastric/GEJ cancer who had progressed on prior trastuzumab, fluoropyrimidine or platinum. As of October 1, 2020, 14 subjects had enrolled, all of whom were response evaluable.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4131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380"/>
        <w:spacing w:after="0" w:line="279" w:lineRule="auto"/>
        <w:rPr>
          <w:sz w:val="20"/>
          <w:szCs w:val="20"/>
          <w:color w:val="auto"/>
        </w:rPr>
      </w:pPr>
      <w:r>
        <w:rPr>
          <w:rFonts w:ascii="Arial" w:cs="Arial" w:eastAsia="Arial" w:hAnsi="Arial"/>
          <w:sz w:val="17"/>
          <w:szCs w:val="17"/>
          <w:color w:val="auto"/>
        </w:rPr>
        <w:t>Data Cutoff October 1, 2020. Subjects who received at least one dose of ALX148 in the expansion phase, had a baseline assessment, and at least one post-baseline disease assessment. One subject administered ALX148+pembrolizumab with rapid fatal clinical progression is not included in plots. ORR = Overall Response Rate. DOR = duration of response. mPFS = median progression free survival. mOS = median overall survival. CI = confidence interval. ND = Not Done. HER2 Score retrospectively assessed using archival tissue by a central IHC lab.</w:t>
      </w:r>
    </w:p>
    <w:p>
      <w:pPr>
        <w:spacing w:after="0" w:line="17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primary objective of the trial was to assess safety and the combination regimen was well tolerated. Final results of the fully enrolled cohort were reported at SITC 2020. Importantly, ALX148 with trastuzumab achieved an ORR of 21.1% (4/19) in subjects treated with the doublet and an ORR of 64.3% (9/14) in subjects treated with ALX148 with trastuzumab, ramucirumab and paclitaxel. The FDA granted ALX148 Fast Track designation for second-line treatment of advanced HER2-positive gastric/GEJ carcinoma partly due to the data for ALX148 in combination with trastuzumab alone for the treatment of gastric cancer. Based on prior studies, one of which is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7" w:name="page28"/>
    <w:bookmarkEnd w:id="27"/>
    <w:p>
      <w:pPr>
        <w:ind w:right="40"/>
        <w:spacing w:after="0" w:line="286" w:lineRule="auto"/>
        <w:rPr>
          <w:sz w:val="20"/>
          <w:szCs w:val="20"/>
          <w:color w:val="auto"/>
        </w:rPr>
      </w:pPr>
      <w:r>
        <w:rPr>
          <w:rFonts w:ascii="Arial" w:cs="Arial" w:eastAsia="Arial" w:hAnsi="Arial"/>
          <w:sz w:val="17"/>
          <w:szCs w:val="17"/>
          <w:color w:val="auto"/>
        </w:rPr>
        <w:t>described above, any observed response can likely be attributed to the combination effect and not a response to single-agent trastuzumab. As described above, ramucirumab and paclitaxel in a second-line setting resulted in an ORR of 28% in a Phase 3 trial leading to FDA approval. We believe that an ORR of 64.3% in this second-line or later population supports further development of ALX148 in HER2-positive cancers.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plans</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intend to initiate a randomized Phase 2 trial of ALX148 with trastuzumab and chemotherapy for subjects with HER2-positive gastric/GEJ cancer adenocarcinoma with disease progression on or after prior trastuzumab (or other HER2-directed therapy), and fluoropyrimidine or platinum-containing chemotherapy as the first line of therapy for advanced disease, by the second half of 2021. Data from this trial would confirm whether ALX148 improves the response rate to anti-HER2-based therapy in patients with HER2-positive gastric/GEJ cancer. Of note, there are multiple emerging agents, predominantly antibody-based therapies, in development for patients with HER2-positive cancer. Because these agents target HER2 as does trastuzumab, we believe that ALX148 has the potential to maximize the anti-cancer activity of these novel agents should they supplant trastuzumab in the treatment paradigm for these patients.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ALX148 in HER2-expressing breast cancer and other solid tumors</w:t>
      </w:r>
    </w:p>
    <w:p>
      <w:pPr>
        <w:spacing w:after="0" w:line="121"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We plan to continue developing ALX148 in a broad range of tumor types and in novel combinations. In November 2020, we announced a clinical trial collaboration with Zymeworks to investigate ALX148 in combination with Zymeworks’ HER2-targeted bispecific antibody, zanidatamab, in patients with advanced HER2-expressing tumors.</w:t>
      </w:r>
    </w:p>
    <w:p>
      <w:pPr>
        <w:spacing w:after="0" w:line="184" w:lineRule="exact"/>
        <w:rPr>
          <w:sz w:val="20"/>
          <w:szCs w:val="20"/>
          <w:color w:val="auto"/>
        </w:rPr>
      </w:pPr>
    </w:p>
    <w:p>
      <w:pPr>
        <w:ind w:right="220" w:firstLine="589"/>
        <w:spacing w:after="0" w:line="279" w:lineRule="auto"/>
        <w:rPr>
          <w:sz w:val="20"/>
          <w:szCs w:val="20"/>
          <w:color w:val="auto"/>
        </w:rPr>
      </w:pPr>
      <w:r>
        <w:rPr>
          <w:rFonts w:ascii="Arial" w:cs="Arial" w:eastAsia="Arial" w:hAnsi="Arial"/>
          <w:sz w:val="17"/>
          <w:szCs w:val="17"/>
          <w:color w:val="auto"/>
        </w:rPr>
        <w:t>Under the terms of the agreement, Zymeworks will conduct an open label, multi-center Phase 1b trial to assess the safety and efficacy of the combination of zanidatamab and ALX148 in a two-part trial. The first part of the trial will evaluate the safety of the combination treatment. The second part of the trial will evaluate the safety, tolerability and anti-tumor activity of the combination in separate cohorts of subjects with HER2-overexpressing breast cancer, HER2-low breast cancer and non-breast HER2-expressing solid tumors.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121" w:lineRule="exact"/>
        <w:rPr>
          <w:sz w:val="20"/>
          <w:szCs w:val="20"/>
          <w:color w:val="auto"/>
        </w:rPr>
      </w:pPr>
    </w:p>
    <w:p>
      <w:pPr>
        <w:ind w:right="340" w:firstLine="589"/>
        <w:spacing w:after="0" w:line="254" w:lineRule="auto"/>
        <w:rPr>
          <w:sz w:val="20"/>
          <w:szCs w:val="20"/>
          <w:color w:val="auto"/>
        </w:rPr>
      </w:pPr>
      <w:r>
        <w:rPr>
          <w:rFonts w:ascii="Arial" w:cs="Arial" w:eastAsia="Arial" w:hAnsi="Arial"/>
          <w:sz w:val="18"/>
          <w:szCs w:val="18"/>
          <w:color w:val="auto"/>
        </w:rPr>
        <w:t>We also have a preclinical program focused on developing a SIRPα TRAAC that may offer additional ways to engage the innate and adaptive immune response to cancer. SIRPα TRAAC is complementary to our CD47 blocker approach. SIRPα is expressed on myeloid cells and dendritic cells which have TLR9, an intracellular receptor present in a wide variety of immune cells, including B-cells, myeloid cells and dendritic cells. TRAAC, or TLR9 agonist antibody conjugate, is designed specifically for compatibility with antibody conjugation, superior pharmacokinetics, receptor-mediated uptake, and TLR9 stimulation with the potential for intravenous administration. SIRPα TRAAC is an agonistic molecule targeting myeloid cells and directly activates them, resulting in cytokine release, antigen presentation, and initiation of a coordinated innate and adaptive immune response against cancer.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and Intellectual Property</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 trade secrets, knowhow, continuing technological innovation and confidential information to develop and maintain our proprietary position.</w:t>
      </w:r>
    </w:p>
    <w:p>
      <w:pPr>
        <w:spacing w:after="0" w:line="195"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As of March 1, 2021, we own two issued U.S. patents, nine pending U.S. nonprovisional patent applications, twelve pending U.S. provisional patent applications and a portfolio of national patent application filings in a variety of non-U.S. jurisdictions, including Europe, Hong Kong, Brazil, Mexico, New Zealand, Japan, Australia, Canada, China, India, Israel, Republic of Korea, Singapore and Russia. Of these patents and patent applications,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8" w:name="page29"/>
    <w:bookmarkEnd w:id="28"/>
    <w:p>
      <w:pPr>
        <w:ind w:right="60"/>
        <w:spacing w:after="0" w:line="263" w:lineRule="auto"/>
        <w:rPr>
          <w:sz w:val="20"/>
          <w:szCs w:val="20"/>
          <w:color w:val="auto"/>
        </w:rPr>
      </w:pPr>
      <w:r>
        <w:rPr>
          <w:rFonts w:ascii="Arial" w:cs="Arial" w:eastAsia="Arial" w:hAnsi="Arial"/>
          <w:sz w:val="18"/>
          <w:szCs w:val="18"/>
          <w:color w:val="auto"/>
        </w:rPr>
        <w:t>following relate to ALX148: two issued U.S. patents, six pending U.S. nonprovisional patent applications, twelve pending U.S. provisional patent applications and a portfolio of national patent application filings in a variety of non-U.S. jurisdictions, including Europe, Hong Kong, Brazil, Mexico, New Zealand, Japan, Australia, Canada, China, India, Israel, Republic of Korea, Singapore and Russia.</w:t>
      </w:r>
    </w:p>
    <w:p>
      <w:pPr>
        <w:spacing w:after="0" w:line="184"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term of individual patents depends upon the legal term for patents in the countries in which they are granted. Our two U.S. issued patents and, if issued as U.S. patents, our ten U.S. nonprovisional patent applications and twelve U.S. provisional patent applications are expected to expire between August 2036 and February 2042, excluding any additional term for patent term adjustments or patent term extensions, with an expiration of between August 2036 and December 2041 with respect to our patent and patent applications related to ALX148, excluding any additional term for patent term extensions.</w:t>
      </w:r>
    </w:p>
    <w:p>
      <w:pPr>
        <w:spacing w:after="0" w:line="188"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obtained a worldwide, royalty-bearing, sublicensable license from the Board of Trustees of the Leland Stanford Junior University, or Stanford, under certain patents relating to high-affinity SIRPα variant polypeptides, to develop, manufacture and commercialize products for use in certain licensed fields, the scope of which would include the application of the licensed intellectual property in oncology. Our portfolio of exclusively licensed patents from Stanford includes six issued patents (one of which is in the United States) and applications are pending in five jurisdictions (including the United States and the European Patent Office). For more information regarding our license agreement with Stanford, please see “—Exclusive (Equity) Agreement with The Board of Trustees of the Leland Stanford Junior University.”</w:t>
      </w:r>
    </w:p>
    <w:p>
      <w:pPr>
        <w:spacing w:after="0" w:line="192"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Our patent portfolio exclusively licensed from Stanford contains patent families relating to high-affinity SIRPα variant polypeptides, which includes one issued patent in each of U.S., Australia, China, Europe, Hong Kong and Japan, one pending U.S. patent application and one pending European patent application. The European patent has been validated as national patents in 37 different European countries.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178"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are aware of a revoked European patent (EP 2 429 574) owned by UHN and The Hospital for Sick Children that may encompass certain therapies for the treatment of cancer using polypeptides comprising soluble human SIRPα, or a CD47-binding fragment thereof. This revoked patent related to the treatment of cancer with polypeptides comprising soluble human SIRPα, or a CD47-binding fragment thereof. This patent was revoked by the European Patent Office and UHN and The Hospital for Sick Children have appealed the decision. If UHN and the Hospital for Sick Children win their appeal of the European Patent Office decision revoking their European patent, the resulting patent claims could potentially limit our ability to pursue ALX148 in certain new indications or geographies in the future. The U.S. counterpart was recently granted as US patent 10,907,209. However, we believe that we do not infringe claims listed in this U.S. patent.</w:t>
      </w:r>
    </w:p>
    <w:p>
      <w:pPr>
        <w:spacing w:after="0" w:line="195"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For more information regarding the risks related to our intellectual property, including the above referenced intellectual property proceedings, see “Risk Factors—Risks Related to Our Intellectual Property.”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(Equity) Agreement with The Board of Trustees of the Leland Stanford Junior University</w:t>
      </w:r>
    </w:p>
    <w:p>
      <w:pPr>
        <w:spacing w:after="0" w:line="12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In March 2015, we entered into a license agreement, or the Stanford Agreement, with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77"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common stock. In addition, we are obligated to pay Stanford ongoing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line="272" w:lineRule="auto"/>
        <w:rPr>
          <w:sz w:val="20"/>
          <w:szCs w:val="20"/>
          <w:color w:val="auto"/>
        </w:rPr>
      </w:pPr>
      <w:r>
        <w:rPr>
          <w:rFonts w:ascii="Arial" w:cs="Arial" w:eastAsia="Arial" w:hAnsi="Arial"/>
          <w:sz w:val="17"/>
          <w:szCs w:val="17"/>
          <w:color w:val="auto"/>
        </w:rPr>
        <w:t>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December 31, 2020.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77"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Third-Party Agreements</w:t>
      </w:r>
    </w:p>
    <w:p>
      <w:pPr>
        <w:spacing w:after="0" w:line="12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We have entered into license agreements with third parties related to the development and commercialization of our product candidates, including ALX148, and SIRPα antibodies which we are exploring in our research program. In consideration of the foregoing, we have agreed to customary payments terms in these agreements, including certain milestone payments upon the achievement of clinical and commercial milestones and low single-digit royalties. See the section titled “Management’s Discussion and Analysis of Financial Condition and Results of Operations—Contractual Obligations and Commitments—License and Collaboration Agreements.”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520" w:firstLine="589"/>
        <w:spacing w:after="0" w:line="255" w:lineRule="auto"/>
        <w:rPr>
          <w:sz w:val="20"/>
          <w:szCs w:val="20"/>
          <w:color w:val="auto"/>
        </w:rPr>
      </w:pPr>
      <w:r>
        <w:rPr>
          <w:rFonts w:ascii="Arial" w:cs="Arial" w:eastAsia="Arial" w:hAnsi="Arial"/>
          <w:sz w:val="18"/>
          <w:szCs w:val="18"/>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We do not own or operate and do not intend to establish our own manufacturing facilities. We rely on, and will continue to rely on, CMOs for both drug substance and drug product. Both ALX148 bulk drug substance and finished drug product are produced in accordance with current good manufacturing practices, or cGMPs.</w:t>
      </w:r>
    </w:p>
    <w:p>
      <w:pPr>
        <w:spacing w:after="0" w:line="184"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Our existing supply of ALX148 drug product is sufficient to complete our clinical trials through the first half of 2021. We plan to manufacture additional supplies with our existing CMOs to produce ALX148 drug product sufficient to complete the ongoing and planned clinical trials described in this document. We first entered into an engagement with KBI Biopharma, Inc. in 2015 for analytical method development, formulation development, bulk drug manufacturing, release and stability testing. We first entered into a drug product manufacturing agreement with Lyophilization Services of New England, Inc. in 2016 and have subsequently used them for all ALX148 drug product used in clinical trials to date.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7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recent acquisition of Forty Seven), I-Mab, Innovent, Kahr, Novimmune, OSE Immunotherapeutics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77"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ind w:firstLine="589"/>
        <w:spacing w:after="0" w:line="296"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Any future product candidates must be approved by the FDA through the BLA process before they may be legally marketed in the United States.</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process generally involves the following:</w:t>
      </w:r>
    </w:p>
    <w:p>
      <w:pPr>
        <w:spacing w:after="0" w:line="117" w:lineRule="exact"/>
        <w:rPr>
          <w:sz w:val="20"/>
          <w:szCs w:val="20"/>
          <w:color w:val="auto"/>
        </w:rPr>
      </w:pPr>
    </w:p>
    <w:p>
      <w:pPr>
        <w:ind w:left="1160" w:right="12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performed in accordance with the FDA’s current Good Laboratory Practices, or GLP, regulation.</w:t>
      </w:r>
    </w:p>
    <w:p>
      <w:pPr>
        <w:spacing w:after="0" w:line="62"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or IND, application, which must become effective before clinical trials may begin and must be updated annually or when significant changes are made.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155" w:lineRule="exact"/>
        <w:rPr>
          <w:rFonts w:ascii="Arial" w:cs="Arial" w:eastAsia="Arial" w:hAnsi="Arial"/>
          <w:sz w:val="17"/>
          <w:szCs w:val="17"/>
          <w:color w:val="auto"/>
        </w:rPr>
      </w:pPr>
    </w:p>
    <w:p>
      <w:pPr>
        <w:ind w:left="1160" w:right="200" w:hanging="572"/>
        <w:spacing w:after="0" w:line="263"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the applicable IND regulations, good clinical practice, or GCP, requirements to establish the safety, purity and potency (</w:t>
      </w:r>
      <w:r>
        <w:rPr>
          <w:rFonts w:ascii="Arial" w:cs="Arial" w:eastAsia="Arial" w:hAnsi="Arial"/>
          <w:sz w:val="18"/>
          <w:szCs w:val="18"/>
          <w:i w:val="1"/>
          <w:iCs w:val="1"/>
          <w:color w:val="auto"/>
        </w:rPr>
        <w:t>i.e.</w:t>
      </w:r>
      <w:r>
        <w:rPr>
          <w:rFonts w:ascii="Arial" w:cs="Arial" w:eastAsia="Arial" w:hAnsi="Arial"/>
          <w:sz w:val="18"/>
          <w:szCs w:val="18"/>
          <w:color w:val="auto"/>
        </w:rPr>
        <w:t>, safety and effectiveness) of the proposed biologic product candidate for its intended purpose.</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Satisfactory completion of any FDA audit of preclinical studies and/or clinical trial sites that generated the data in support of the BLA.</w:t>
      </w:r>
    </w:p>
    <w:p>
      <w:pPr>
        <w:spacing w:after="0" w:line="155" w:lineRule="exact"/>
        <w:rPr>
          <w:rFonts w:ascii="Arial" w:cs="Arial" w:eastAsia="Arial" w:hAnsi="Arial"/>
          <w:sz w:val="17"/>
          <w:szCs w:val="17"/>
          <w:color w:val="auto"/>
        </w:rPr>
      </w:pPr>
    </w:p>
    <w:p>
      <w:pPr>
        <w:ind w:left="1160" w:right="140" w:hanging="572"/>
        <w:spacing w:after="0" w:line="311"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w:t>
      </w:r>
    </w:p>
    <w:p>
      <w:pPr>
        <w:spacing w:after="0" w:line="40" w:lineRule="exact"/>
        <w:rPr>
          <w:rFonts w:ascii="Arial" w:cs="Arial" w:eastAsia="Arial" w:hAnsi="Arial"/>
          <w:sz w:val="16"/>
          <w:szCs w:val="16"/>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FDA review and approval of a BLA to permit commercial marketing of the product for particular indications for use in the United States.</w:t>
      </w:r>
    </w:p>
    <w:p>
      <w:pPr>
        <w:spacing w:after="0" w:line="167" w:lineRule="exact"/>
        <w:rPr>
          <w:rFonts w:ascii="Arial" w:cs="Arial" w:eastAsia="Arial" w:hAnsi="Arial"/>
          <w:sz w:val="16"/>
          <w:szCs w:val="16"/>
          <w:color w:val="auto"/>
        </w:rPr>
      </w:pPr>
    </w:p>
    <w:p>
      <w:pPr>
        <w:ind w:left="1160" w:right="42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17"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2" w:name="page33"/>
    <w:bookmarkEnd w:id="32"/>
    <w:p>
      <w:pPr>
        <w:ind w:right="60" w:firstLine="589"/>
        <w:spacing w:after="0" w:line="293" w:lineRule="auto"/>
        <w:rPr>
          <w:sz w:val="20"/>
          <w:szCs w:val="20"/>
          <w:color w:val="auto"/>
        </w:rPr>
      </w:pPr>
      <w:r>
        <w:rPr>
          <w:rFonts w:ascii="Arial" w:cs="Arial" w:eastAsia="Arial" w:hAnsi="Arial"/>
          <w:sz w:val="16"/>
          <w:szCs w:val="16"/>
          <w:color w:val="auto"/>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64"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Prior to beginning the first clinical trial with a product candidate, we must submit an IND to the FDA. An IND is a request for authorization from the FDA to administer an investigational new biopharmaceutical product to humans.</w:t>
      </w:r>
    </w:p>
    <w:p>
      <w:pPr>
        <w:spacing w:after="0" w:line="170"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168"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BLA.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117" w:lineRule="exact"/>
        <w:rPr>
          <w:sz w:val="20"/>
          <w:szCs w:val="20"/>
          <w:color w:val="auto"/>
        </w:rPr>
      </w:pPr>
    </w:p>
    <w:p>
      <w:pPr>
        <w:ind w:left="1160" w:hanging="572"/>
        <w:spacing w:after="0" w:line="259"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Phase 1. For biologics being studied in oncology indications, the investigational product is initially introduced into patients with the target disease or condition. These trials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78" w:lineRule="exact"/>
        <w:rPr>
          <w:rFonts w:ascii="Arial" w:cs="Arial" w:eastAsia="Arial" w:hAnsi="Arial"/>
          <w:sz w:val="18"/>
          <w:szCs w:val="18"/>
          <w:color w:val="auto"/>
        </w:rPr>
      </w:pPr>
    </w:p>
    <w:p>
      <w:pPr>
        <w:ind w:left="1160" w:right="280" w:hanging="572"/>
        <w:spacing w:after="0" w:line="259"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3" w:name="page34"/>
    <w:bookmarkEnd w:id="33"/>
    <w:p>
      <w:pPr>
        <w:ind w:left="1160" w:right="20" w:hanging="572"/>
        <w:spacing w:after="0" w:line="25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spacing w:after="0" w:line="188"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17"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61"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2"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right="20" w:firstLine="589"/>
        <w:spacing w:after="0" w:line="289"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BLA with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1"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78"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17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ind w:firstLine="589"/>
        <w:spacing w:after="0" w:line="263" w:lineRule="auto"/>
        <w:rPr>
          <w:sz w:val="20"/>
          <w:szCs w:val="20"/>
          <w:color w:val="auto"/>
        </w:rPr>
      </w:pPr>
      <w:r>
        <w:rPr>
          <w:rFonts w:ascii="Arial" w:cs="Arial" w:eastAsia="Arial" w:hAnsi="Arial"/>
          <w:sz w:val="18"/>
          <w:szCs w:val="18"/>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64"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92"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right="80" w:firstLine="589"/>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1160" w:hanging="572"/>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44"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44"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jc w:val="both"/>
        <w:ind w:right="380" w:firstLine="589"/>
        <w:spacing w:after="0" w:line="263"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184"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184"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80" w:firstLine="589"/>
        <w:spacing w:after="0" w:line="290"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spacing w:after="0" w:line="165"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121" w:lineRule="exact"/>
        <w:rPr>
          <w:sz w:val="20"/>
          <w:szCs w:val="20"/>
          <w:color w:val="auto"/>
        </w:rPr>
      </w:pPr>
    </w:p>
    <w:p>
      <w:pPr>
        <w:ind w:right="140" w:firstLine="589"/>
        <w:spacing w:after="0" w:line="271" w:lineRule="auto"/>
        <w:rPr>
          <w:sz w:val="20"/>
          <w:szCs w:val="20"/>
          <w:color w:val="auto"/>
        </w:rPr>
      </w:pPr>
      <w:r>
        <w:rPr>
          <w:rFonts w:ascii="Arial" w:cs="Arial" w:eastAsia="Arial" w:hAnsi="Arial"/>
          <w:sz w:val="17"/>
          <w:szCs w:val="17"/>
          <w:color w:val="auto"/>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the U.S. Centers for Medicare &amp; Medicaid Services, or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70" w:lineRule="exact"/>
        <w:rPr>
          <w:sz w:val="20"/>
          <w:szCs w:val="20"/>
          <w:color w:val="auto"/>
        </w:rPr>
      </w:pPr>
    </w:p>
    <w:p>
      <w:pPr>
        <w:ind w:left="1160" w:right="140" w:hanging="572"/>
        <w:spacing w:after="0" w:line="290"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or FCA. In addition, the intent standard under the federal Anti-Kickback Statute was amended by the ACA to eliminate the need to prove specific intent and actual knowledge to establish an Anti-Kickback Statute violation.</w:t>
      </w:r>
    </w:p>
    <w:p>
      <w:pPr>
        <w:spacing w:after="0" w:line="57" w:lineRule="exact"/>
        <w:rPr>
          <w:rFonts w:ascii="Arial" w:cs="Arial" w:eastAsia="Arial" w:hAnsi="Arial"/>
          <w:sz w:val="16"/>
          <w:szCs w:val="16"/>
          <w:color w:val="auto"/>
        </w:rPr>
      </w:pPr>
    </w:p>
    <w:p>
      <w:pPr>
        <w:ind w:left="1160" w:right="160" w:hanging="572"/>
        <w:spacing w:after="0" w:line="25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160" w:hanging="572"/>
        <w:spacing w:after="0" w:line="25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left="572" w:right="60" w:hanging="572"/>
        <w:spacing w:after="0" w:line="254" w:lineRule="auto"/>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ind w:left="572" w:right="40" w:hanging="572"/>
        <w:spacing w:after="0" w:line="277" w:lineRule="auto"/>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auto"/>
        </w:rPr>
      </w:pPr>
    </w:p>
    <w:p>
      <w:pPr>
        <w:ind w:left="572" w:hanging="572"/>
        <w:spacing w:after="0"/>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44" w:lineRule="exact"/>
        <w:rPr>
          <w:rFonts w:ascii="Arial" w:cs="Arial" w:eastAsia="Arial" w:hAnsi="Arial"/>
          <w:sz w:val="18"/>
          <w:szCs w:val="18"/>
          <w:color w:val="auto"/>
        </w:rPr>
      </w:pPr>
    </w:p>
    <w:p>
      <w:pPr>
        <w:ind w:left="572" w:right="100" w:hanging="572"/>
        <w:spacing w:after="0" w:line="286" w:lineRule="auto"/>
        <w:tabs>
          <w:tab w:leader="none" w:pos="57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w:t>
      </w:r>
    </w:p>
    <w:p>
      <w:pPr>
        <w:spacing w:after="0" w:line="1" w:lineRule="exact"/>
        <w:rPr>
          <w:rFonts w:ascii="Arial" w:cs="Arial" w:eastAsia="Arial" w:hAnsi="Arial"/>
          <w:sz w:val="16"/>
          <w:szCs w:val="16"/>
          <w:color w:val="auto"/>
        </w:rPr>
      </w:pPr>
    </w:p>
    <w:p>
      <w:pPr>
        <w:ind w:left="572" w:right="20"/>
        <w:spacing w:after="0" w:line="253" w:lineRule="auto"/>
        <w:rPr>
          <w:rFonts w:ascii="Arial" w:cs="Arial" w:eastAsia="Arial" w:hAnsi="Arial"/>
          <w:sz w:val="16"/>
          <w:szCs w:val="16"/>
          <w:color w:val="auto"/>
        </w:rPr>
      </w:pPr>
      <w:r>
        <w:rPr>
          <w:rFonts w:ascii="Arial" w:cs="Arial" w:eastAsia="Arial" w:hAnsi="Arial"/>
          <w:sz w:val="18"/>
          <w:szCs w:val="18"/>
          <w:color w:val="auto"/>
        </w:rPr>
        <w:t>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under the Physician Payments Sunshine Act to physician assistants, nurse practitioners and other mid-level practitioners, with reporting requirements beginning in 2022 for payments made or ownership or investment interests held in 2021.</w:t>
      </w:r>
    </w:p>
    <w:p>
      <w:pPr>
        <w:spacing w:after="0" w:line="82" w:lineRule="exact"/>
        <w:rPr>
          <w:rFonts w:ascii="Arial" w:cs="Arial" w:eastAsia="Arial" w:hAnsi="Arial"/>
          <w:sz w:val="16"/>
          <w:szCs w:val="16"/>
          <w:color w:val="auto"/>
        </w:rPr>
      </w:pPr>
    </w:p>
    <w:p>
      <w:pPr>
        <w:ind w:left="612" w:right="40" w:hanging="598"/>
        <w:spacing w:after="0" w:line="272" w:lineRule="auto"/>
        <w:tabs>
          <w:tab w:leader="none" w:pos="612"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69" w:lineRule="exact"/>
        <w:rPr>
          <w:rFonts w:ascii="Arial" w:cs="Arial" w:eastAsia="Arial" w:hAnsi="Arial"/>
          <w:sz w:val="17"/>
          <w:szCs w:val="17"/>
          <w:color w:val="auto"/>
        </w:rPr>
      </w:pPr>
    </w:p>
    <w:p>
      <w:pPr>
        <w:ind w:left="612" w:hanging="598"/>
        <w:spacing w:after="0" w:line="273" w:lineRule="auto"/>
        <w:tabs>
          <w:tab w:leader="none" w:pos="612"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69" w:lineRule="exact"/>
        <w:rPr>
          <w:rFonts w:ascii="Arial" w:cs="Arial" w:eastAsia="Arial" w:hAnsi="Arial"/>
          <w:sz w:val="17"/>
          <w:szCs w:val="17"/>
          <w:color w:val="auto"/>
        </w:rPr>
      </w:pPr>
    </w:p>
    <w:p>
      <w:pPr>
        <w:ind w:left="612" w:right="20" w:hanging="598"/>
        <w:spacing w:after="0" w:line="269" w:lineRule="auto"/>
        <w:tabs>
          <w:tab w:leader="none" w:pos="612"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185" w:lineRule="exact"/>
        <w:rPr>
          <w:sz w:val="20"/>
          <w:szCs w:val="20"/>
          <w:color w:val="auto"/>
        </w:rPr>
      </w:pPr>
    </w:p>
    <w:p>
      <w:pPr>
        <w:ind w:left="4952"/>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52"/>
          </w:cols>
          <w:pgMar w:left="908" w:top="449" w:right="339" w:bottom="1440" w:gutter="0" w:footer="0" w:header="0"/>
        </w:sectPr>
      </w:pPr>
    </w:p>
    <w:bookmarkStart w:id="39" w:name="page40"/>
    <w:bookmarkEnd w:id="39"/>
    <w:p>
      <w:pPr>
        <w:ind w:firstLine="589"/>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82"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8"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Other Healthcare 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76"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remain judicial and Congressional challenges to certain aspects of the ACA, as well as efforts by the Trump administration to repeal or replace certain aspects of the ACA. Since January 2017, President Trump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68"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On December 22, 2017, President Trump signed into law new federal tax legislation commonly referred to as the Tax Cuts and Jobs Act, or Tax Act,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 mandated “Cadillac” tax on high-cost employer-sponsored health coverage and medical device tax and, effective January 1, 2021, also eliminates the health insurer tax. 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On December 14, 2018, a Texas U.S. District Court Judge ruled that the ACA is unconstitutional in its entirety because the “individual mandate” was repealed by Congress as part of the Tax Act. Additionally, on December 18, 2019, the U.S Court of Appeals for the Fifth Circuit upheld the District Court ruling that the individual mandate was unconstitutional and remanded the case back to the District Court to determine whether the remaining provisions of the ACA are invalid as well. In November 2020, the United States Supreme Court held oral arguments and is expected to issue a decision by mid-2021. It is uncertain how the Supreme Court will rule on this case. We cannot predict how this decision or future litigation will impact our business, or what other healthcare measures and regulations will ultimately be implemented at the federal or state level or the effect of any future legislation or regulation may have on our business.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1" w:name="page42"/>
    <w:bookmarkEnd w:id="41"/>
    <w:p>
      <w:pPr>
        <w:ind w:right="100" w:firstLine="589"/>
        <w:spacing w:after="0" w:line="290"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These changes included aggregate reductions to Medicare payments to providers of up to 2% per fiscal year, which went into effect in April 2013 and will remain in effect through 2030, with the exception of a temporary suspension implemented under various COVID-19 relief legislation from May 1, 2020 through March 31, 2021, unless additional action is taken by Congress. Additionally, it is possible that additional governmental action is taken to address the COVID-19 pandemic, resulting in a material adverse effect on our business. For example, on August 6, 2020, the Trump administration issued another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w:t>
      </w:r>
    </w:p>
    <w:p>
      <w:pPr>
        <w:spacing w:after="0" w:line="165"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to use step therapy for Part B drugs beginning January 1, 2020, codifying a policy change that was effective January 1, 2019. In 2020, the U.S. Department of Health and Human Services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new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current administration. The impact of these lawsuits as well as legislative, executive, and administrative actions of the current administration on us and the biopharmaceutical industry as a whole is unclear.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and other new laws and regulations may result in additional reductions in Medicare and other healthcare funding, which could have a material adverse effect on customers for our biopharmaceutical products, if approved, and accordingly, our financial operations.</w:t>
      </w:r>
    </w:p>
    <w:p>
      <w:pPr>
        <w:spacing w:after="0" w:line="17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Additionally, the Right to Try Act, which was enacted on May 30, 2018, provides a federal framework for certain patients with life-threatening diseases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680" w:firstLine="589"/>
        <w:spacing w:after="0" w:line="342" w:lineRule="auto"/>
        <w:rPr>
          <w:sz w:val="20"/>
          <w:szCs w:val="20"/>
          <w:color w:val="auto"/>
        </w:rPr>
      </w:pPr>
      <w:r>
        <w:rPr>
          <w:rFonts w:ascii="Arial" w:cs="Arial" w:eastAsia="Arial" w:hAnsi="Arial"/>
          <w:sz w:val="16"/>
          <w:szCs w:val="16"/>
          <w:color w:val="auto"/>
        </w:rPr>
        <w:t>As of December 31, 2020, we had 23 employees, 11 of whom hold Ph.D. or M.D. degrees and 12 of whom were engaged in research and development activities. None of our employees are represented by a labor union and we believe we maintain good relations with our employees.</w:t>
      </w:r>
    </w:p>
    <w:p>
      <w:pPr>
        <w:spacing w:after="0" w:line="124"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ALX Oncology Holdings Inc. as they did in ALX Oncology Limited immediately prior to the reorganization. We present the information included in this Annual Report on Form 10-K as that of ALX Oncology Holdings Inc. unless such information refers to a date prior to April 1, 2020, in which case it will reflect that of our predecessor company.</w:t>
      </w:r>
    </w:p>
    <w:p>
      <w:pPr>
        <w:spacing w:after="0" w:line="192"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Our principal executive offices are located at 866 Malcolm Road, Suite 100, Burlingame, California 94010. Our telephone number is 650-466-7125. Our website address is http://alxoncology.com.</w:t>
      </w:r>
    </w:p>
    <w:p>
      <w:pPr>
        <w:spacing w:after="0" w:line="170" w:lineRule="exact"/>
        <w:rPr>
          <w:sz w:val="20"/>
          <w:szCs w:val="20"/>
          <w:color w:val="auto"/>
        </w:rPr>
      </w:pPr>
    </w:p>
    <w:p>
      <w:pPr>
        <w:ind w:right="160" w:firstLine="589"/>
        <w:spacing w:after="0" w:line="255" w:lineRule="auto"/>
        <w:rPr>
          <w:sz w:val="20"/>
          <w:szCs w:val="20"/>
          <w:color w:val="auto"/>
        </w:rPr>
      </w:pPr>
      <w:r>
        <w:rPr>
          <w:rFonts w:ascii="Arial" w:cs="Arial" w:eastAsia="Arial" w:hAnsi="Arial"/>
          <w:sz w:val="18"/>
          <w:szCs w:val="18"/>
          <w:color w:val="auto"/>
        </w:rPr>
        <w:t>We use ALX Oncology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firstLine="589"/>
        <w:spacing w:after="0" w:line="218" w:lineRule="exact"/>
        <w:rPr>
          <w:sz w:val="20"/>
          <w:szCs w:val="20"/>
          <w:color w:val="auto"/>
        </w:rPr>
      </w:pPr>
      <w:r>
        <w:rPr>
          <w:rFonts w:ascii="Arial" w:cs="Arial" w:eastAsia="Arial" w:hAnsi="Arial"/>
          <w:sz w:val="16"/>
          <w:szCs w:val="16"/>
          <w:color w:val="auto"/>
        </w:rPr>
        <w:t>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proxy and information statements and amendments to reports filed pursuant to Sections 13(a), and 15(d) of the Securities Exchange Act of 1934, as amended (the Exchange Act) are filed with the U.S. Securities and Exchange Commission (SEC). We are subject to the informational requirements of the Exchange Act and file or furnish reports, proxy statements and other information with the SEC. The SEC maintains an Internet site that contains reports, proxy and information statements and other information regarding issuers that file electronically with the SEC at www.sec.gov. Such documents and other information filed by us with the SEC are available free of charge on the Investor section of our website (ir.alxoncology.com) when such reports are available on the SEC’s website.</w:t>
      </w:r>
    </w:p>
    <w:p>
      <w:pPr>
        <w:spacing w:after="0" w:line="206"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Investors and others should note that we may announce material information to the public through filings with the SEC, our website (alxoncology.com),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1A. Risk Factors.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together with the other information contained elsewhere in this Annual Report on Form 10-K, including our consolidated financial statements and the related notes, Part II, Item 7.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Investing in our common stock involves a high degree of risk because our business is subject to numerous risks and uncertainties, as fully described below. These risks include, but are not limited to, the following:</w:t>
      </w:r>
    </w:p>
    <w:p>
      <w:pPr>
        <w:spacing w:after="0" w:line="62" w:lineRule="exact"/>
        <w:rPr>
          <w:sz w:val="20"/>
          <w:szCs w:val="20"/>
          <w:color w:val="auto"/>
        </w:rPr>
      </w:pPr>
    </w:p>
    <w:p>
      <w:pPr>
        <w:ind w:left="1160" w:right="3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we expect to continue to incur significant net losses for the foreseeable future;</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such capital may not be available to us or may only be available on terms that are unfavorable to us;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limited operating history and have no products approved for commercial sale;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of our stock may be volatile, and you could lose all or part of your investment;</w:t>
      </w:r>
    </w:p>
    <w:p>
      <w:pPr>
        <w:spacing w:after="0" w:line="144"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ALX148, which is in clinical development and which has not completed a pivotal trial;</w:t>
      </w:r>
    </w:p>
    <w:p>
      <w:pPr>
        <w:spacing w:after="0" w:line="62"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candidates may cause significant adverse events or other undesirable side effects when used alone or in combination with other treatments;</w:t>
      </w:r>
    </w:p>
    <w:p>
      <w:pPr>
        <w:spacing w:after="0" w:line="62"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62"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time-consuming and inherently unpredictable, which could lead to our inability to generate product revenue;</w:t>
      </w:r>
    </w:p>
    <w:p>
      <w:pPr>
        <w:spacing w:after="0" w:line="62"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and other intellectual property for our product candidates and related technology, our business could be materially harmed;</w:t>
      </w:r>
    </w:p>
    <w:p>
      <w:pPr>
        <w:spacing w:after="0" w:line="62" w:lineRule="exact"/>
        <w:rPr>
          <w:rFonts w:ascii="Arial" w:cs="Arial" w:eastAsia="Arial" w:hAnsi="Arial"/>
          <w:sz w:val="18"/>
          <w:szCs w:val="18"/>
          <w:color w:val="auto"/>
        </w:rPr>
      </w:pPr>
    </w:p>
    <w:p>
      <w:pPr>
        <w:ind w:left="1160" w:right="64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1160" w:right="120" w:hanging="572"/>
        <w:spacing w:after="0" w:line="26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preclinical research is conducted solely by a third party service provider, Tallac Therapeutics, Inc. (formerly known as Tollnine, Inc.), or Tallac Therapeutics, and we are dependent on Tallac Therapeutics to perform its contractual research obligations on an effective and timely basis;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left="1160" w:right="20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ongoing and planned clinical trials and preclinical research; and</w:t>
      </w:r>
    </w:p>
    <w:p>
      <w:pPr>
        <w:spacing w:after="0" w:line="62"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remediation measures are not effective, investors may lose confidence in our financial reports.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40"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have incurred significant net losses in each reporting period since our inception, have not generated any revenue to date and have financed our operations principally through private placements of our convertible preferred stock. Our net losses were $45.7 million, $19.2 million and $13.7 million for the years ended December 31, 2020, 2019 and 2018, respectively. As of December 31, 2020, we had an accumulated deficit of $118.5 million. We have devoted substantially all of our resources and efforts to research and development. Our lead product candidate, ALX148,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92"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284"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ALX148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comply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68" w:lineRule="exact"/>
        <w:rPr>
          <w:sz w:val="20"/>
          <w:szCs w:val="20"/>
          <w:color w:val="auto"/>
        </w:rPr>
      </w:pPr>
    </w:p>
    <w:p>
      <w:pPr>
        <w:ind w:right="240" w:firstLine="589"/>
        <w:spacing w:after="0" w:line="275" w:lineRule="auto"/>
        <w:rPr>
          <w:sz w:val="20"/>
          <w:szCs w:val="20"/>
          <w:color w:val="auto"/>
        </w:rPr>
      </w:pPr>
      <w:r>
        <w:rPr>
          <w:rFonts w:ascii="Arial" w:cs="Arial" w:eastAsia="Arial" w:hAnsi="Arial"/>
          <w:sz w:val="17"/>
          <w:szCs w:val="17"/>
          <w:color w:val="auto"/>
        </w:rPr>
        <w:t>As of December 31, 2020, we had cash and cash equivalents of $434.2 million. Based on our current operating plan, we believe that our existing cash and cash equivalents, will be sufficient to fund our operations through 2024.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120" w:firstLine="589"/>
        <w:spacing w:after="0" w:line="296" w:lineRule="auto"/>
        <w:rPr>
          <w:sz w:val="20"/>
          <w:szCs w:val="20"/>
          <w:color w:val="auto"/>
        </w:rPr>
      </w:pPr>
      <w:r>
        <w:rPr>
          <w:rFonts w:ascii="Arial" w:cs="Arial" w:eastAsia="Arial" w:hAnsi="Arial"/>
          <w:sz w:val="16"/>
          <w:szCs w:val="16"/>
          <w:color w:val="auto"/>
        </w:rPr>
        <w:t>We plan to use our cash and cash equivalents to advance the clinical development of ALX148,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ALX148 and our other programs will require a significant amount of capital. Our current cash and cash equivalents on hand, may not be sufficient to fund all of the actions that are necessary to complete the development of ALX148 or our other programs.</w:t>
      </w:r>
    </w:p>
    <w:p>
      <w:pPr>
        <w:spacing w:after="0" w:line="161"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expect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65" w:lineRule="exact"/>
        <w:rPr>
          <w:sz w:val="20"/>
          <w:szCs w:val="20"/>
          <w:color w:val="auto"/>
        </w:rPr>
      </w:pPr>
    </w:p>
    <w:p>
      <w:pPr>
        <w:ind w:right="420" w:firstLine="589"/>
        <w:spacing w:after="0" w:line="263" w:lineRule="auto"/>
        <w:rPr>
          <w:sz w:val="20"/>
          <w:szCs w:val="20"/>
          <w:color w:val="auto"/>
        </w:rPr>
      </w:pPr>
      <w:r>
        <w:rPr>
          <w:rFonts w:ascii="Arial" w:cs="Arial" w:eastAsia="Arial" w:hAnsi="Arial"/>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ALX148.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w:t>
      </w:r>
    </w:p>
    <w:p>
      <w:pPr>
        <w:spacing w:after="0" w:line="192"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jc w:val="both"/>
        <w:ind w:right="120" w:firstLine="589"/>
        <w:spacing w:after="0" w:line="301" w:lineRule="auto"/>
        <w:rPr>
          <w:sz w:val="20"/>
          <w:szCs w:val="20"/>
          <w:color w:val="auto"/>
        </w:rPr>
      </w:pPr>
      <w:r>
        <w:rPr>
          <w:rFonts w:ascii="Arial" w:cs="Arial" w:eastAsia="Arial" w:hAnsi="Arial"/>
          <w:sz w:val="16"/>
          <w:szCs w:val="16"/>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49" w:lineRule="exact"/>
        <w:rPr>
          <w:sz w:val="20"/>
          <w:szCs w:val="20"/>
          <w:color w:val="auto"/>
        </w:rPr>
      </w:pPr>
    </w:p>
    <w:p>
      <w:pPr>
        <w:ind w:left="1160" w:right="40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our lead product candidate, ALX148, and our other future product candidates;</w:t>
      </w:r>
    </w:p>
    <w:p>
      <w:pPr>
        <w:spacing w:after="0" w:line="62" w:lineRule="exact"/>
        <w:rPr>
          <w:rFonts w:ascii="Arial" w:cs="Arial" w:eastAsia="Arial" w:hAnsi="Arial"/>
          <w:sz w:val="18"/>
          <w:szCs w:val="18"/>
          <w:color w:val="auto"/>
        </w:rPr>
      </w:pPr>
    </w:p>
    <w:p>
      <w:pPr>
        <w:ind w:left="1160" w:right="52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relationships with CROs and clinical sites for the clinical development of ALX148 and our other future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left="116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44" w:lineRule="exact"/>
        <w:rPr>
          <w:rFonts w:ascii="Arial" w:cs="Arial" w:eastAsia="Arial" w:hAnsi="Arial"/>
          <w:sz w:val="18"/>
          <w:szCs w:val="18"/>
          <w:color w:val="auto"/>
        </w:rPr>
      </w:pPr>
    </w:p>
    <w:p>
      <w:pPr>
        <w:ind w:left="1160" w:right="380" w:hanging="572"/>
        <w:spacing w:after="0" w:line="263"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ALX148 and any future product candidates, including establishing and maintaining commercially viable supply and manufacturing relationships with third parties to obtain finished products that are appropriately packaged for sale;</w:t>
      </w:r>
    </w:p>
    <w:p>
      <w:pPr>
        <w:spacing w:after="0" w:line="75" w:lineRule="exact"/>
        <w:rPr>
          <w:rFonts w:ascii="Arial" w:cs="Arial" w:eastAsia="Arial" w:hAnsi="Arial"/>
          <w:sz w:val="18"/>
          <w:szCs w:val="18"/>
          <w:color w:val="auto"/>
        </w:rPr>
      </w:pPr>
    </w:p>
    <w:p>
      <w:pPr>
        <w:ind w:left="1160" w:right="80" w:hanging="572"/>
        <w:spacing w:after="0" w:line="263"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5"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44"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commercial acceptance of ALX148 and any future product candidates as viable treatment options by patients, the medical community and third-party payors;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favorable coverage and adequate reimbursement by third-party payors for our product candidates;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assessing, acquiring and developing new product candidates;</w:t>
      </w:r>
    </w:p>
    <w:p>
      <w:pPr>
        <w:spacing w:after="0" w:line="144" w:lineRule="exact"/>
        <w:rPr>
          <w:rFonts w:ascii="Arial" w:cs="Arial" w:eastAsia="Arial" w:hAnsi="Arial"/>
          <w:sz w:val="18"/>
          <w:szCs w:val="18"/>
          <w:color w:val="auto"/>
        </w:rPr>
      </w:pPr>
    </w:p>
    <w:p>
      <w:pPr>
        <w:ind w:left="1160" w:right="28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including our licensed intellectual property;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44"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to develop, manufacture or commercialize our product candidate;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ALX148, which is in clinical development and which has not completed a pivotal trial. If we do not obtain regulatory approval for and successfully commercialize ALX148 in one or more indications, or we experience significant delays in doing so, we may never generate any revenue or become profitable.</w:t>
      </w:r>
    </w:p>
    <w:p>
      <w:pPr>
        <w:spacing w:after="0" w:line="76"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ALX148, in our ongoing clinical trials. As a result, our business currently depends heavily on the successful development, regulatory approval and, if approved, commercialization of ALX148 in one or more of these indications, such as MDS, AML, HNSCC, or gastric/ GEJ carcinoma. We cannot be certain that ALX148 will receive regulatory approval or will be successfully commercialized even if it receives regulatory approval. The research, testing, manufacturing, safety, efficacy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right="20"/>
        <w:spacing w:after="0" w:line="296" w:lineRule="auto"/>
        <w:rPr>
          <w:sz w:val="20"/>
          <w:szCs w:val="20"/>
          <w:color w:val="auto"/>
        </w:rPr>
      </w:pPr>
      <w:r>
        <w:rPr>
          <w:rFonts w:ascii="Arial" w:cs="Arial" w:eastAsia="Arial" w:hAnsi="Arial"/>
          <w:sz w:val="16"/>
          <w:szCs w:val="16"/>
          <w:color w:val="auto"/>
        </w:rPr>
        <w:t>potency, labeling, approval, sale, marketing and distribution of ALX148 is, and will remain, subject to comprehensive regulation by the FDA and similar foreign regulatory authorities. Our failure to timely complete clinical trials, obtain regulatory approval or, if approved, commercialize ALX148 or any of our future product candidates, would materially harm our business, financial condition and results of operations. We are not permitted to market or promote ALX148, or any other product candidate, before we receive marketing approval from the FDA and comparable foreign regulatory authorities, and we may never receive such marketing approvals. If we do not receive marketing approvals for ALX148, we may not be able to continue our operations.</w:t>
      </w:r>
    </w:p>
    <w:p>
      <w:pPr>
        <w:spacing w:after="0" w:line="26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4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64" w:lineRule="exact"/>
        <w:rPr>
          <w:sz w:val="20"/>
          <w:szCs w:val="20"/>
          <w:color w:val="auto"/>
        </w:rPr>
      </w:pPr>
    </w:p>
    <w:p>
      <w:pPr>
        <w:ind w:right="120" w:firstLine="589"/>
        <w:spacing w:after="0" w:line="290" w:lineRule="auto"/>
        <w:rPr>
          <w:sz w:val="20"/>
          <w:szCs w:val="20"/>
          <w:color w:val="auto"/>
        </w:rPr>
      </w:pPr>
      <w:r>
        <w:rPr>
          <w:rFonts w:ascii="Arial" w:cs="Arial" w:eastAsia="Arial" w:hAnsi="Arial"/>
          <w:sz w:val="16"/>
          <w:szCs w:val="16"/>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ALX148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27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38"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95"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We do not know whether our future clinical trials will begin on time or enroll subjects on time or whether our ongoing and/or future clinical trials will be completed on schedule or at all. Clinical trials can be delayed for a variety of reasons, including delays related to:</w:t>
      </w:r>
    </w:p>
    <w:p>
      <w:pPr>
        <w:spacing w:after="0" w:line="62" w:lineRule="exact"/>
        <w:rPr>
          <w:sz w:val="20"/>
          <w:szCs w:val="20"/>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approval to commence a clinical trial;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institutional review board approval at each clinical trial site;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adding necessary new clinical trial sites;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recruiting suitable subjects to participate in a trial; failing in having clinical trial sites or subjects comply with trial protocols;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suffering clinical trial sites or subjects dropping out of trials; or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25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2" w:lineRule="exact"/>
        <w:rPr>
          <w:sz w:val="20"/>
          <w:szCs w:val="20"/>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44"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2" w:lineRule="exact"/>
        <w:rPr>
          <w:rFonts w:ascii="Arial" w:cs="Arial" w:eastAsia="Arial" w:hAnsi="Arial"/>
          <w:sz w:val="18"/>
          <w:szCs w:val="18"/>
          <w:color w:val="auto"/>
        </w:rPr>
      </w:pPr>
    </w:p>
    <w:p>
      <w:pPr>
        <w:ind w:left="1160" w:right="64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being larger than anticipated, enrollment in these clinical trials being slower than anticipated or subjects dropping out of these clinical trials at a higher rate than anticipated;</w:t>
      </w:r>
    </w:p>
    <w:p>
      <w:pPr>
        <w:spacing w:after="0" w:line="62"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clinical trials due to outbreaks or public health crises, such as the COVID-19 pandemic, that impact both trial site operations and subject selection;</w:t>
      </w:r>
    </w:p>
    <w:p>
      <w:pPr>
        <w:spacing w:after="0" w:line="62"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160" w:right="180" w:hanging="572"/>
        <w:spacing w:after="0" w:line="308" w:lineRule="auto"/>
        <w:tabs>
          <w:tab w:leader="none" w:pos="1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are greater than anticipated;</w:t>
      </w:r>
    </w:p>
    <w:p>
      <w:pPr>
        <w:spacing w:after="0" w:line="144"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252"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84"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In December 2020, the FDA verbally informed us, that given our planned initiation of two Phase 2 HNSCC clinical trials that could be potentially registrational, they require completion of a routine non-clinical safety study that we currently have in process. The FDA noted that for any drug development program moving swiftly through development, this non-clinical study is still required prior to the initiation of a clinical trial that could be considered pivotal. We are allowed to initiate both Phase 2 HNSCC clinical trials with the enrollment capped at a total of 50 subjects treated with ALX148 across both trials (excluding safety lead-in cohorts) pending acceptance of the non-clinical safety study report. We expect to provide the required report to the FDA prior to reaching the 50-patient enrollment cap. While this cap on enrollment is defined as a partial clinical hold, no delays are anticipated in our current clinical trial timelines. Delays in our clinical trials may result in increased development costs for our product candidates and jeopardize our ability to obtain marketing approval for the sale of our drugs.</w:t>
      </w:r>
    </w:p>
    <w:p>
      <w:pPr>
        <w:spacing w:after="0" w:line="178"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49" w:name="page50"/>
    <w:bookmarkEnd w:id="49"/>
    <w:p>
      <w:pPr>
        <w:ind w:right="5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and/or retention of subjects in clinical trials, our regulatory submissions or receipt of necessary marketing approvals could be delayed or prevented.</w:t>
      </w:r>
    </w:p>
    <w:p>
      <w:pPr>
        <w:spacing w:after="0" w:line="62"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ALX148 are focused on indications with small patient populations, our ability to enroll eligible subjects may be limited or may result in slower enrollment than we anticipate.</w:t>
      </w:r>
    </w:p>
    <w:p>
      <w:pPr>
        <w:spacing w:after="0" w:line="17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Enrollment of subjects in our clinical trials may be delayed or limited if our clinical trial sites limit their onsite staff or temporarily close as a result of the COVID-19 pandemic. In addition, subjects may not be able to visit clinical trial sites for dosing or data collection purposes due to limitations on travel and physical distancing imposed or recommended by federal or state governments or subjects’ reluctance to visit the clinical trial sites during the pandemic. The drop-out rates in our clinical trials may be increased during the pandemic. Subjects who enroll in our clinical trials and then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64"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Subject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Subject enrollment may also be affected by other factors, including:</w:t>
      </w:r>
    </w:p>
    <w:p>
      <w:pPr>
        <w:spacing w:after="0" w:line="76" w:lineRule="exact"/>
        <w:rPr>
          <w:sz w:val="20"/>
          <w:szCs w:val="20"/>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and efficacy or potency of approved drugs for the disease under investigation;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 by us and the clinical trial sites;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the clinical trial;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proximity of clinical trial sites to prospective subjects;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 of subjects enrolled in clinical trials dropping out before completion; and</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or delay in enrollment of subjects due to a variety of reasons, including outbreaks and public health crises, such as the COVID-19 pandemic.</w:t>
      </w:r>
    </w:p>
    <w:p>
      <w:pPr>
        <w:spacing w:after="0" w:line="170"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Our inability to enroll a sufficient number of subjects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50" w:name="page51"/>
    <w:bookmarkEnd w:id="50"/>
    <w:p>
      <w:pPr>
        <w:ind w:right="16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38"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2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6"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If ALX148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each of the trial cohorts in our ALX148 combination clinical trials with pembrolizumab, trastuzumab and rituximab in a heavily pre-treated group of subjects who are typical participants in early stage cancer trials and are often hematologically fragile at baseline. Subjects in our ALX148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ALX148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right="60" w:firstLine="589"/>
        <w:spacing w:after="0" w:line="293" w:lineRule="auto"/>
        <w:rPr>
          <w:sz w:val="20"/>
          <w:szCs w:val="20"/>
          <w:color w:val="auto"/>
        </w:rPr>
      </w:pPr>
      <w:r>
        <w:rPr>
          <w:rFonts w:ascii="Arial" w:cs="Arial" w:eastAsia="Arial" w:hAnsi="Arial"/>
          <w:sz w:val="16"/>
          <w:szCs w:val="16"/>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acquisition of Forty Seven), I-Mab, Innovent, Kahr, Novimmune, OSE Immunotherapeutics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ind w:right="260" w:firstLine="589"/>
        <w:spacing w:after="0" w:line="255" w:lineRule="auto"/>
        <w:rPr>
          <w:sz w:val="20"/>
          <w:szCs w:val="20"/>
          <w:color w:val="auto"/>
        </w:rPr>
      </w:pPr>
      <w:r>
        <w:rPr>
          <w:rFonts w:ascii="Arial" w:cs="Arial" w:eastAsia="Arial" w:hAnsi="Arial"/>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ALX148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9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77"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52"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78"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320"/>
        <w:spacing w:after="0" w:line="277" w:lineRule="auto"/>
        <w:rPr>
          <w:sz w:val="20"/>
          <w:szCs w:val="20"/>
          <w:color w:val="auto"/>
        </w:rPr>
      </w:pPr>
      <w:r>
        <w:rPr>
          <w:rFonts w:ascii="Arial" w:cs="Arial" w:eastAsia="Arial" w:hAnsi="Arial"/>
          <w:sz w:val="18"/>
          <w:szCs w:val="18"/>
          <w:color w:val="auto"/>
        </w:rPr>
        <w:t>or suspension of manufacturing. In addition, failure to comply with FDA, EMA and other comparable foreign regulatory requirements may subject our company to administrative or judicially imposed sanctions or enforcement actions, including:</w:t>
      </w:r>
    </w:p>
    <w:p>
      <w:pPr>
        <w:spacing w:after="0" w:line="62" w:lineRule="exact"/>
        <w:rPr>
          <w:sz w:val="20"/>
          <w:szCs w:val="20"/>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52"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The occurrence of any of these sanctions, enforcement actions or penalties described above may inhibit our ability to commercialize our product candidates, even if approved, and generate revenue.</w:t>
      </w:r>
    </w:p>
    <w:p>
      <w:pPr>
        <w:spacing w:after="0" w:line="2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rely on Tallac Therapeutics, a third-party service provider, to conduct substantially all of our preclinical research activities. If Tallac Therapeutics does not successfully carry out its contractual duties or meet expected deadlines, there may be disruptions or delays to our development pipeline and our business could be substantially harmed.</w:t>
      </w:r>
    </w:p>
    <w:p>
      <w:pPr>
        <w:spacing w:after="0" w:line="76"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We do not have the ability to independently conduct our preclinical research activities as we rely on a third-party service provider to conduct all of our preclinical research activities. Effective as of July 1, 2020, we transferred all of our preclinical research capabilities and nine of our employees, including our former Chief Scientific Officer, Dr. Hong Wan,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p>
    <w:p>
      <w:pPr>
        <w:spacing w:after="0" w:line="176"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delayed or terminated, and there may be disruptions or delays to our development pipeline. As a result, our product candidate research and development efforts may be delayed or harmed, and our costs could increase and our future ability to generate revenues could be delayed.</w:t>
      </w:r>
    </w:p>
    <w:p>
      <w:pPr>
        <w:spacing w:after="0" w:line="176"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preclinical research efforts and studies. If Tallac Therapeutics fails to devote sufficient resources to the research and development of our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3" w:name="page54"/>
    <w:bookmarkEnd w:id="53"/>
    <w:p>
      <w:pPr>
        <w:ind w:right="100" w:firstLine="589"/>
        <w:spacing w:after="0" w:line="271" w:lineRule="auto"/>
        <w:rPr>
          <w:sz w:val="20"/>
          <w:szCs w:val="20"/>
          <w:color w:val="auto"/>
        </w:rPr>
      </w:pPr>
      <w:r>
        <w:rPr>
          <w:rFonts w:ascii="Arial" w:cs="Arial" w:eastAsia="Arial" w:hAnsi="Arial"/>
          <w:sz w:val="17"/>
          <w:szCs w:val="17"/>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or adding additional preclinical research providers will involve additional costs and divert our management’s time and focus. In addition, there is a natural transition period when a new service provider commences work.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on an accelerated timeline and on even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178"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300" w:lineRule="exact"/>
        <w:rPr>
          <w:sz w:val="20"/>
          <w:szCs w:val="20"/>
          <w:color w:val="auto"/>
        </w:rPr>
      </w:pPr>
    </w:p>
    <w:p>
      <w:pPr>
        <w:jc w:val="both"/>
        <w:ind w:right="10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23"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66"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20" w:firstLine="589"/>
        <w:spacing w:after="0" w:line="263" w:lineRule="auto"/>
        <w:rPr>
          <w:sz w:val="20"/>
          <w:szCs w:val="20"/>
          <w:color w:val="auto"/>
        </w:rPr>
      </w:pPr>
      <w:r>
        <w:rPr>
          <w:rFonts w:ascii="Arial" w:cs="Arial" w:eastAsia="Arial" w:hAnsi="Arial"/>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84"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modifications in the methods of product candidate manufacturing or formulation may result in additional costs or delay.</w:t>
      </w:r>
    </w:p>
    <w:p>
      <w:pPr>
        <w:spacing w:after="0" w:line="117"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third-party combination drugs may materially and adversely affect demand for our product candidates.</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Our product candidates may be administered in combination with drugs of other pharmaceutical companies as one regimen. In addition, we plan to use third-party drugs in our development and clinical trials as controls for our studies, such as our current plans to conduct Phase 2 clinical trials of ALX148 in combination with pembrolizumab for HNSCC and trastuzumab for gastric/GEJ carcinoma. As a result, both the results of our clinical trials and the sales of our drugs may be affected by the availability of these third-party drugs. For instance, we entered into clinical trial collaboration and supply agreements with Merck and Zymeworks, pursuant to which Merck and Zymeworks will supply doses of pembrolizumab and zanidatamab, respectively, for use in certain of our clinical trials. If these agreements are terminated before our trials are completed, we may need to find another source of pembrolizumab or zanidatamab in order to continue our trial.</w:t>
      </w:r>
    </w:p>
    <w:p>
      <w:pPr>
        <w:spacing w:after="0" w:line="17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5" w:name="page56"/>
    <w:bookmarkEnd w:id="55"/>
    <w:p>
      <w:pPr>
        <w:ind w:right="120"/>
        <w:spacing w:after="0" w:line="279"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63" w:lineRule="exact"/>
        <w:rPr>
          <w:sz w:val="20"/>
          <w:szCs w:val="20"/>
          <w:color w:val="auto"/>
        </w:rPr>
      </w:pPr>
    </w:p>
    <w:p>
      <w:pPr>
        <w:ind w:right="60" w:firstLine="589"/>
        <w:spacing w:after="0" w:line="268"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86"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192"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Our business also may be implicated if any of our CROs violates fraud and abuse or false claims laws and regulations or healthcare privacy and security laws.</w:t>
      </w:r>
    </w:p>
    <w:p>
      <w:pPr>
        <w:spacing w:after="0" w:line="17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2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62"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ind w:right="260"/>
        <w:spacing w:after="0" w:line="277" w:lineRule="auto"/>
        <w:rPr>
          <w:sz w:val="20"/>
          <w:szCs w:val="20"/>
          <w:color w:val="auto"/>
        </w:rPr>
      </w:pPr>
      <w:r>
        <w:rPr>
          <w:rFonts w:ascii="Arial" w:cs="Arial" w:eastAsia="Arial" w:hAnsi="Arial"/>
          <w:sz w:val="18"/>
          <w:szCs w:val="18"/>
          <w:color w:val="auto"/>
        </w:rPr>
        <w:t>product candidates may require significant resources and may not be successful. Market acceptance of ALX148 and any other product candidates, if any are approved, will depend on a number of factors, including, among others:</w:t>
      </w:r>
    </w:p>
    <w:p>
      <w:pPr>
        <w:spacing w:after="0" w:line="62" w:lineRule="exact"/>
        <w:rPr>
          <w:sz w:val="20"/>
          <w:szCs w:val="20"/>
          <w:color w:val="auto"/>
        </w:rPr>
      </w:pPr>
    </w:p>
    <w:p>
      <w:pPr>
        <w:ind w:left="1160" w:right="58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ALX148 and our other product candidates to treat cancer or other applicable targeted diseases, as compared with other available drugs, treatments or therapies;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ALX148 and our other product candidates;</w:t>
      </w:r>
    </w:p>
    <w:p>
      <w:pPr>
        <w:spacing w:after="0" w:line="144"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ALX148 or our other product candidates by the FDA or foreign regulatory authorities;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155" w:lineRule="exact"/>
        <w:rPr>
          <w:rFonts w:ascii="Arial" w:cs="Arial" w:eastAsia="Arial" w:hAnsi="Arial"/>
          <w:sz w:val="17"/>
          <w:szCs w:val="17"/>
          <w:color w:val="auto"/>
        </w:rPr>
      </w:pPr>
    </w:p>
    <w:p>
      <w:pPr>
        <w:ind w:left="1160" w:right="62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of the target patient population and the willingness of the target patient population to try new therapies and of physicians to prescribe these therapies;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and effectiveness of marketing and distribution support and timing of market introduction of competitive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pricing and cost-effectiveness in relation to alternative treatments;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44"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 the willingness of patients to pay out-of-pocket in the absence of third-party coverage; and</w:t>
      </w:r>
    </w:p>
    <w:p>
      <w:pPr>
        <w:spacing w:after="0" w:line="62"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likelihood that the FDA or any foreign regulatory authority may impose additional requirements that limit the promotion, advertising, distribution or sales of our product candidates.</w:t>
      </w:r>
    </w:p>
    <w:p>
      <w:pPr>
        <w:spacing w:after="0" w:line="170"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ALX148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61"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62"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84" w:lineRule="exact"/>
        <w:rPr>
          <w:sz w:val="20"/>
          <w:szCs w:val="20"/>
          <w:color w:val="auto"/>
        </w:rPr>
      </w:pPr>
    </w:p>
    <w:p>
      <w:pPr>
        <w:jc w:val="both"/>
        <w:ind w:right="180" w:firstLine="589"/>
        <w:spacing w:after="0" w:line="311" w:lineRule="auto"/>
        <w:rPr>
          <w:sz w:val="20"/>
          <w:szCs w:val="20"/>
          <w:color w:val="auto"/>
        </w:rPr>
      </w:pPr>
      <w:r>
        <w:rPr>
          <w:rFonts w:ascii="Arial" w:cs="Arial" w:eastAsia="Arial" w:hAnsi="Arial"/>
          <w:sz w:val="16"/>
          <w:szCs w:val="16"/>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jc w:val="both"/>
        <w:ind w:right="460"/>
        <w:spacing w:after="0" w:line="287" w:lineRule="auto"/>
        <w:rPr>
          <w:sz w:val="20"/>
          <w:szCs w:val="20"/>
          <w:color w:val="auto"/>
        </w:rPr>
      </w:pPr>
      <w:r>
        <w:rPr>
          <w:rFonts w:ascii="Arial" w:cs="Arial" w:eastAsia="Arial" w:hAnsi="Arial"/>
          <w:sz w:val="16"/>
          <w:szCs w:val="16"/>
          <w:color w:val="auto"/>
        </w:rPr>
        <w:t>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93" w:lineRule="exact"/>
        <w:rPr>
          <w:sz w:val="20"/>
          <w:szCs w:val="20"/>
          <w:color w:val="auto"/>
        </w:rPr>
      </w:pPr>
    </w:p>
    <w:p>
      <w:pPr>
        <w:ind w:right="160" w:firstLine="589"/>
        <w:spacing w:after="0" w:line="271"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opportunities for the product candidates we develop, if approved, may be limited to certain smaller patient subsets.</w:t>
      </w:r>
    </w:p>
    <w:p>
      <w:pPr>
        <w:spacing w:after="0" w:line="117"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2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79" w:lineRule="exact"/>
        <w:rPr>
          <w:sz w:val="20"/>
          <w:szCs w:val="20"/>
          <w:color w:val="auto"/>
        </w:rPr>
      </w:pPr>
    </w:p>
    <w:p>
      <w:pPr>
        <w:ind w:right="160" w:firstLine="589"/>
        <w:spacing w:after="0" w:line="291" w:lineRule="auto"/>
        <w:rPr>
          <w:sz w:val="20"/>
          <w:szCs w:val="20"/>
          <w:color w:val="auto"/>
        </w:rPr>
      </w:pPr>
      <w:r>
        <w:rPr>
          <w:rFonts w:ascii="Arial" w:cs="Arial" w:eastAsia="Arial" w:hAnsi="Arial"/>
          <w:sz w:val="16"/>
          <w:szCs w:val="16"/>
          <w:color w:val="auto"/>
        </w:rPr>
        <w:t>Our lead product candidate, ALX148, is at an early stage of clinical development and not all adverse effects can be predicted or anticipated. Unforeseen side effects from ALX148 or any of our future product candidates may arise at any time during clinical development or, if approved by regulatory authorities, after the approved drug product has been marketed. Any undesirable or unacceptable side effects of ALX148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66"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Even if any of our product candidates receive marketing approval, if we or others later identify undesirable or unacceptable side effects caused by such products:</w:t>
      </w:r>
    </w:p>
    <w:p>
      <w:pPr>
        <w:spacing w:after="0" w:line="62" w:lineRule="exact"/>
        <w:rPr>
          <w:sz w:val="20"/>
          <w:szCs w:val="20"/>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44"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 precaution or field alerts to physicians and pharmacies;</w:t>
      </w:r>
    </w:p>
    <w:p>
      <w:pPr>
        <w:spacing w:after="0" w:line="62"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limit the patient population who can use the product or conduct additional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8" w:name="page59"/>
    <w:bookmarkEnd w:id="58"/>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360" w:firstLine="589"/>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2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62"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78" w:lineRule="exact"/>
        <w:rPr>
          <w:sz w:val="20"/>
          <w:szCs w:val="20"/>
          <w:color w:val="auto"/>
        </w:rPr>
      </w:pPr>
    </w:p>
    <w:p>
      <w:pPr>
        <w:ind w:right="160" w:firstLine="589"/>
        <w:spacing w:after="0" w:line="290" w:lineRule="auto"/>
        <w:rPr>
          <w:sz w:val="20"/>
          <w:szCs w:val="20"/>
          <w:color w:val="auto"/>
        </w:rPr>
      </w:pPr>
      <w:r>
        <w:rPr>
          <w:rFonts w:ascii="Arial" w:cs="Arial" w:eastAsia="Arial" w:hAnsi="Arial"/>
          <w:sz w:val="16"/>
          <w:szCs w:val="16"/>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65"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9" w:name="page60"/>
    <w:bookmarkEnd w:id="59"/>
    <w:p>
      <w:pPr>
        <w:spacing w:after="0" w:line="277" w:lineRule="auto"/>
        <w:rPr>
          <w:sz w:val="20"/>
          <w:szCs w:val="20"/>
          <w:color w:val="auto"/>
        </w:rPr>
      </w:pPr>
      <w:r>
        <w:rPr>
          <w:rFonts w:ascii="Arial" w:cs="Arial" w:eastAsia="Arial" w:hAnsi="Arial"/>
          <w:sz w:val="18"/>
          <w:szCs w:val="18"/>
          <w:color w:val="auto"/>
        </w:rPr>
        <w:t>products. The continuing efforts of the government, insurance companies, managed care organizations and other payors of health care services to contain or reduce costs of health care may adversely affect:</w:t>
      </w:r>
    </w:p>
    <w:p>
      <w:pPr>
        <w:spacing w:after="0" w:line="62" w:lineRule="exact"/>
        <w:rPr>
          <w:sz w:val="20"/>
          <w:szCs w:val="20"/>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a product;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38"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57" w:lineRule="exact"/>
        <w:rPr>
          <w:sz w:val="20"/>
          <w:szCs w:val="20"/>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the drug from the market or voluntary or mandatory product recalls;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publicity, fines, warning letters or holds on clinical trials;</w:t>
      </w:r>
    </w:p>
    <w:p>
      <w:pPr>
        <w:spacing w:after="0" w:line="144"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drug product seizure or detention, or refusal to permit the import or export of product candidates;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occurrence of any of the foregoing could have a material and adverse effect on our business and results of operations. Further, the policies of the FDA or other comparable foreign regulatory authorities may change,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right="80"/>
        <w:spacing w:after="0" w:line="259" w:lineRule="auto"/>
        <w:rPr>
          <w:sz w:val="20"/>
          <w:szCs w:val="20"/>
          <w:color w:val="auto"/>
        </w:rPr>
      </w:pPr>
      <w:r>
        <w:rPr>
          <w:rFonts w:ascii="Arial" w:cs="Arial" w:eastAsia="Arial" w:hAnsi="Arial"/>
          <w:sz w:val="18"/>
          <w:szCs w:val="18"/>
          <w:color w:val="auto"/>
        </w:rPr>
        <w:t>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295"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23"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ALX148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29" w:lineRule="exact"/>
        <w:rPr>
          <w:sz w:val="20"/>
          <w:szCs w:val="20"/>
          <w:color w:val="auto"/>
        </w:rPr>
      </w:pPr>
    </w:p>
    <w:p>
      <w:pPr>
        <w:ind w:left="1160" w:hanging="572"/>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FDA or comparable international regulatory authorities may disagree with the design, implementation or results of our clinical trials;</w:t>
      </w:r>
    </w:p>
    <w:p>
      <w:pPr>
        <w:spacing w:after="0" w:line="167" w:lineRule="exact"/>
        <w:rPr>
          <w:rFonts w:ascii="Arial" w:cs="Arial" w:eastAsia="Arial" w:hAnsi="Arial"/>
          <w:sz w:val="16"/>
          <w:szCs w:val="16"/>
          <w:color w:val="auto"/>
        </w:rPr>
      </w:pPr>
    </w:p>
    <w:p>
      <w:pPr>
        <w:ind w:left="1160" w:right="40" w:hanging="572"/>
        <w:spacing w:after="0" w:line="263"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75"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potency and safety in the full population for which we seek approval;</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160" w:right="440" w:hanging="572"/>
        <w:spacing w:after="0" w:line="342" w:lineRule="auto"/>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15" w:lineRule="exact"/>
        <w:rPr>
          <w:rFonts w:ascii="Arial" w:cs="Arial" w:eastAsia="Arial" w:hAnsi="Arial"/>
          <w:sz w:val="16"/>
          <w:szCs w:val="16"/>
          <w:color w:val="auto"/>
        </w:rPr>
      </w:pPr>
    </w:p>
    <w:p>
      <w:pPr>
        <w:ind w:left="1160" w:right="40" w:hanging="57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international regulatory authorities that a product candidate’s risk-benefit ratio for its proposed indication is acceptable;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left="1160" w:right="800" w:hanging="572"/>
        <w:spacing w:after="0" w:line="342" w:lineRule="auto"/>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1160" w:right="62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international foreign regulatory authorities may significantly change in a manner rendering our clinical data insufficient for approval.</w:t>
      </w:r>
    </w:p>
    <w:p>
      <w:pPr>
        <w:spacing w:after="0" w:line="170"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87" w:lineRule="exact"/>
        <w:rPr>
          <w:sz w:val="20"/>
          <w:szCs w:val="20"/>
          <w:color w:val="auto"/>
        </w:rPr>
      </w:pPr>
    </w:p>
    <w:p>
      <w:pPr>
        <w:ind w:right="160" w:firstLine="589"/>
        <w:spacing w:after="0" w:line="296"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62"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In February 2020, the FDA granted Fast Track designations to ALX148 for first-line HNSCC and for second-line treatment of advanced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ALX148,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6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right="120"/>
        <w:spacing w:after="0" w:line="277" w:lineRule="auto"/>
        <w:rPr>
          <w:sz w:val="20"/>
          <w:szCs w:val="20"/>
          <w:color w:val="auto"/>
        </w:rPr>
      </w:pPr>
      <w:r>
        <w:rPr>
          <w:rFonts w:ascii="Arial" w:cs="Arial" w:eastAsia="Arial" w:hAnsi="Arial"/>
          <w:sz w:val="18"/>
          <w:szCs w:val="18"/>
          <w:color w:val="auto"/>
        </w:rPr>
        <w:t>other drugs that have a different active ingredient for use in treating the same indication or disease. Furthermore, the FDA can waive orphan exclusivity if we are unable to manufacture a sufficient supply of our product.</w:t>
      </w:r>
    </w:p>
    <w:p>
      <w:pPr>
        <w:spacing w:after="0" w:line="2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62"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8" w:lineRule="exact"/>
        <w:rPr>
          <w:sz w:val="20"/>
          <w:szCs w:val="20"/>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demand for our drugs, if we obtain regulatory approval;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drugs;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52"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The U.S. Supreme Court held oral arguments in November 2020 and is expected to issue a decision by mid-2021, although it is uncertain how the Supreme Court will rule.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84"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with the exception of a temporary suspension implemented under various COVID-19 relief legislation from May 1, 2020 through March 31, 2021, unless additional Congressional action is taken. Additionally, it is possible that additional governmental action is taken in response to the COVID-19 pandemic, resulting in a material adverse effect on our business. For example, on August 6, 2020, the Trump administration issued another executive order that instructs the federal government to</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3" w:name="page64"/>
    <w:bookmarkEnd w:id="63"/>
    <w:p>
      <w:pPr>
        <w:spacing w:after="0" w:line="263" w:lineRule="auto"/>
        <w:rPr>
          <w:sz w:val="20"/>
          <w:szCs w:val="20"/>
          <w:color w:val="auto"/>
        </w:rPr>
      </w:pPr>
      <w:r>
        <w:rPr>
          <w:rFonts w:ascii="Arial" w:cs="Arial" w:eastAsia="Arial" w:hAnsi="Arial"/>
          <w:sz w:val="18"/>
          <w:szCs w:val="18"/>
          <w:color w:val="auto"/>
        </w:rPr>
        <w:t>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w:t>
      </w:r>
    </w:p>
    <w:p>
      <w:pPr>
        <w:spacing w:after="0" w:line="184" w:lineRule="exact"/>
        <w:rPr>
          <w:sz w:val="20"/>
          <w:szCs w:val="20"/>
          <w:color w:val="auto"/>
        </w:rPr>
      </w:pPr>
    </w:p>
    <w:p>
      <w:pPr>
        <w:ind w:right="60" w:firstLine="589"/>
        <w:spacing w:after="0" w:line="285" w:lineRule="auto"/>
        <w:rPr>
          <w:sz w:val="20"/>
          <w:szCs w:val="20"/>
          <w:color w:val="auto"/>
        </w:rPr>
      </w:pPr>
      <w:r>
        <w:rPr>
          <w:rFonts w:ascii="Arial" w:cs="Arial" w:eastAsia="Arial" w:hAnsi="Arial"/>
          <w:sz w:val="16"/>
          <w:szCs w:val="16"/>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to use step therapy for Part B drugs beginning January 1, 2020, codifying a policy change that was effective January 1, 2019. In 2020, the U.S. Department of Health and Human Services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new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current administration. The impact of these lawsuits as well as legislative, executive, and administrative actions of the current administration on us and the biopharmaceutical industry as a whole is unclear.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jc w:val="both"/>
        <w:ind w:right="140" w:firstLine="589"/>
        <w:spacing w:after="0" w:line="272"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7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right="40" w:firstLine="589"/>
        <w:spacing w:after="0" w:line="301"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particularly in light of the recent presidential election,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2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9"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60" w:lineRule="exact"/>
        <w:rPr>
          <w:sz w:val="20"/>
          <w:szCs w:val="20"/>
          <w:color w:val="auto"/>
        </w:rPr>
      </w:pPr>
    </w:p>
    <w:p>
      <w:pPr>
        <w:ind w:left="1160" w:hanging="572"/>
        <w:spacing w:after="0" w:line="255"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FCA.</w:t>
      </w:r>
    </w:p>
    <w:p>
      <w:pPr>
        <w:spacing w:after="0" w:line="84" w:lineRule="exact"/>
        <w:rPr>
          <w:rFonts w:ascii="Arial" w:cs="Arial" w:eastAsia="Arial" w:hAnsi="Arial"/>
          <w:sz w:val="18"/>
          <w:szCs w:val="18"/>
          <w:color w:val="auto"/>
        </w:rPr>
      </w:pPr>
    </w:p>
    <w:p>
      <w:pPr>
        <w:ind w:left="1160" w:right="80" w:hanging="572"/>
        <w:spacing w:after="0" w:line="275" w:lineRule="auto"/>
        <w:tabs>
          <w:tab w:leader="none" w:pos="1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68" w:lineRule="exact"/>
        <w:rPr>
          <w:rFonts w:ascii="Arial" w:cs="Arial" w:eastAsia="Arial" w:hAnsi="Arial"/>
          <w:sz w:val="17"/>
          <w:szCs w:val="17"/>
          <w:color w:val="auto"/>
        </w:rPr>
      </w:pPr>
    </w:p>
    <w:p>
      <w:pPr>
        <w:ind w:left="1160" w:right="60" w:hanging="572"/>
        <w:spacing w:after="0" w:line="275" w:lineRule="auto"/>
        <w:tabs>
          <w:tab w:leader="none" w:pos="1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8" w:lineRule="exact"/>
        <w:rPr>
          <w:rFonts w:ascii="Arial" w:cs="Arial" w:eastAsia="Arial" w:hAnsi="Arial"/>
          <w:sz w:val="17"/>
          <w:szCs w:val="17"/>
          <w:color w:val="auto"/>
        </w:rPr>
      </w:pPr>
    </w:p>
    <w:p>
      <w:pPr>
        <w:ind w:left="1200" w:right="40" w:hanging="598"/>
        <w:spacing w:after="0" w:line="257" w:lineRule="auto"/>
        <w:tabs>
          <w:tab w:leader="none" w:pos="12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left="1200" w:right="20" w:hanging="598"/>
        <w:spacing w:after="0" w:line="271" w:lineRule="auto"/>
        <w:tabs>
          <w:tab w:leader="none" w:pos="12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7"/>
          <w:szCs w:val="17"/>
          <w:i w:val="1"/>
          <w:iCs w:val="1"/>
          <w:color w:val="auto"/>
        </w:rPr>
        <w:t>i.e.</w:t>
      </w:r>
      <w:r>
        <w:rPr>
          <w:rFonts w:ascii="Arial" w:cs="Arial" w:eastAsia="Arial" w:hAnsi="Arial"/>
          <w:sz w:val="17"/>
          <w:szCs w:val="17"/>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70" w:lineRule="exact"/>
        <w:rPr>
          <w:rFonts w:ascii="Arial" w:cs="Arial" w:eastAsia="Arial" w:hAnsi="Arial"/>
          <w:sz w:val="17"/>
          <w:szCs w:val="17"/>
          <w:color w:val="auto"/>
        </w:rPr>
      </w:pPr>
    </w:p>
    <w:p>
      <w:pPr>
        <w:ind w:left="1200" w:right="380" w:hanging="598"/>
        <w:spacing w:after="0" w:line="277" w:lineRule="auto"/>
        <w:tabs>
          <w:tab w:leader="none" w:pos="12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U.S. Federal Food, Drug and Cosmetic Act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1200" w:right="40" w:hanging="598"/>
        <w:spacing w:after="0" w:line="270" w:lineRule="auto"/>
        <w:tabs>
          <w:tab w:leader="none" w:pos="12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under the Physician Payments Sunshine Act to physician assistants, nurse practitioners and other mid-level practitioners, with reporting requirements beginning in 2022 for payments made or ownership or investment interests held in 2021.</w:t>
      </w:r>
    </w:p>
    <w:p>
      <w:pPr>
        <w:spacing w:after="0" w:line="72" w:lineRule="exact"/>
        <w:rPr>
          <w:rFonts w:ascii="Arial" w:cs="Arial" w:eastAsia="Arial" w:hAnsi="Arial"/>
          <w:sz w:val="17"/>
          <w:szCs w:val="17"/>
          <w:color w:val="auto"/>
        </w:rPr>
      </w:pPr>
    </w:p>
    <w:p>
      <w:pPr>
        <w:ind w:left="1200" w:right="20" w:hanging="598"/>
        <w:spacing w:after="0" w:line="273" w:lineRule="auto"/>
        <w:tabs>
          <w:tab w:leader="none" w:pos="12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69" w:lineRule="exact"/>
        <w:rPr>
          <w:rFonts w:ascii="Arial" w:cs="Arial" w:eastAsia="Arial" w:hAnsi="Arial"/>
          <w:sz w:val="17"/>
          <w:szCs w:val="17"/>
          <w:color w:val="auto"/>
        </w:rPr>
      </w:pPr>
    </w:p>
    <w:p>
      <w:pPr>
        <w:ind w:left="1200" w:right="40" w:hanging="598"/>
        <w:spacing w:after="0" w:line="269" w:lineRule="auto"/>
        <w:tabs>
          <w:tab w:leader="none" w:pos="12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77" w:lineRule="exact"/>
        <w:rPr>
          <w:rFonts w:ascii="Arial" w:cs="Arial" w:eastAsia="Arial" w:hAnsi="Arial"/>
          <w:sz w:val="17"/>
          <w:szCs w:val="17"/>
          <w:color w:val="auto"/>
        </w:rPr>
      </w:pPr>
    </w:p>
    <w:p>
      <w:pPr>
        <w:ind w:left="1160" w:right="100" w:hanging="572"/>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also impose legal requirements, including reporting requirements detailing interactions with and payments to healthcare providers.</w:t>
      </w:r>
    </w:p>
    <w:p>
      <w:pPr>
        <w:spacing w:after="0" w:line="170"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spacing w:after="0" w:line="263" w:lineRule="auto"/>
        <w:rPr>
          <w:sz w:val="20"/>
          <w:szCs w:val="20"/>
          <w:color w:val="auto"/>
        </w:rPr>
      </w:pPr>
      <w:r>
        <w:rPr>
          <w:rFonts w:ascii="Arial" w:cs="Arial" w:eastAsia="Arial" w:hAnsi="Arial"/>
          <w:sz w:val="18"/>
          <w:szCs w:val="18"/>
          <w:color w:val="auto"/>
        </w:rPr>
        <w:t>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2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76"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276" w:lineRule="exact"/>
        <w:rPr>
          <w:sz w:val="20"/>
          <w:szCs w:val="20"/>
          <w:color w:val="auto"/>
        </w:rPr>
      </w:pPr>
    </w:p>
    <w:p>
      <w:pPr>
        <w:ind w:right="3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76"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7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7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62"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8" w:name="page69"/>
    <w:bookmarkEnd w:id="68"/>
    <w:p>
      <w:pPr>
        <w:ind w:right="80"/>
        <w:spacing w:after="0" w:line="259" w:lineRule="auto"/>
        <w:rPr>
          <w:sz w:val="20"/>
          <w:szCs w:val="20"/>
          <w:color w:val="auto"/>
        </w:rPr>
      </w:pPr>
      <w:r>
        <w:rPr>
          <w:rFonts w:ascii="Arial" w:cs="Arial" w:eastAsia="Arial" w:hAnsi="Arial"/>
          <w:sz w:val="18"/>
          <w:szCs w:val="18"/>
          <w:color w:val="auto"/>
        </w:rPr>
        <w:t>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187" w:lineRule="exact"/>
        <w:rPr>
          <w:sz w:val="20"/>
          <w:szCs w:val="20"/>
          <w:color w:val="auto"/>
        </w:rPr>
      </w:pPr>
    </w:p>
    <w:p>
      <w:pPr>
        <w:ind w:right="80" w:firstLine="589"/>
        <w:spacing w:after="0" w:line="253" w:lineRule="auto"/>
        <w:rPr>
          <w:sz w:val="20"/>
          <w:szCs w:val="20"/>
          <w:color w:val="auto"/>
        </w:rPr>
      </w:pPr>
      <w:r>
        <w:rPr>
          <w:rFonts w:ascii="Arial" w:cs="Arial" w:eastAsia="Arial" w:hAnsi="Arial"/>
          <w:sz w:val="18"/>
          <w:szCs w:val="18"/>
          <w:color w:val="auto"/>
        </w:rPr>
        <w:t>European data protection laws also generally prohibit the transfer of personal data from Europe, including the European Economic Area,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will not be able to do so in the future, which could increase our costs and limit our ability to process personal data from the EU.</w:t>
      </w:r>
    </w:p>
    <w:p>
      <w:pPr>
        <w:spacing w:after="0" w:line="196" w:lineRule="exact"/>
        <w:rPr>
          <w:sz w:val="20"/>
          <w:szCs w:val="20"/>
          <w:color w:val="auto"/>
        </w:rPr>
      </w:pPr>
    </w:p>
    <w:p>
      <w:pPr>
        <w:ind w:right="20" w:firstLine="594"/>
        <w:spacing w:after="0" w:line="255" w:lineRule="auto"/>
        <w:rPr>
          <w:sz w:val="20"/>
          <w:szCs w:val="20"/>
          <w:color w:val="auto"/>
        </w:rPr>
      </w:pPr>
      <w:r>
        <w:rPr>
          <w:rFonts w:ascii="Arial" w:cs="Arial" w:eastAsia="Arial" w:hAnsi="Arial"/>
          <w:sz w:val="18"/>
          <w:szCs w:val="18"/>
          <w:color w:val="auto"/>
        </w:rPr>
        <w:t>Further, Brexit has created uncertainty with regard to data protection regulation in the UK.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continued to apply in the UK, including the GDPR. In 2021, the UK became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92" w:lineRule="exact"/>
        <w:rPr>
          <w:sz w:val="20"/>
          <w:szCs w:val="20"/>
          <w:color w:val="auto"/>
        </w:rPr>
      </w:pPr>
    </w:p>
    <w:p>
      <w:pPr>
        <w:ind w:firstLine="594"/>
        <w:spacing w:after="0" w:line="287" w:lineRule="auto"/>
        <w:rPr>
          <w:sz w:val="20"/>
          <w:szCs w:val="20"/>
          <w:color w:val="auto"/>
        </w:rPr>
      </w:pPr>
      <w:r>
        <w:rPr>
          <w:rFonts w:ascii="Arial" w:cs="Arial" w:eastAsia="Arial" w:hAnsi="Arial"/>
          <w:sz w:val="16"/>
          <w:szCs w:val="16"/>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Additionally, a new privacy law, the California Privacy Rights Act, or the CPRA, was approved by California voters in the election on November 3, 2020. The CPRA will modify the CCPA significantly, potentially resulting in further uncertainty and requiring us to incur additional costs and expenses in an effort to comply. As we expand our operations, preclinical studies and clinical trials, the CCPA and CPRA may increase our compliance costs and potential liability. Other states are beginning to consider and pass similar laws.</w:t>
      </w:r>
    </w:p>
    <w:p>
      <w:pPr>
        <w:spacing w:after="0" w:line="17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62" w:lineRule="exact"/>
        <w:rPr>
          <w:sz w:val="20"/>
          <w:szCs w:val="20"/>
          <w:color w:val="auto"/>
        </w:rPr>
      </w:pPr>
    </w:p>
    <w:p>
      <w:pPr>
        <w:ind w:right="20" w:firstLine="594"/>
        <w:spacing w:after="0" w:line="268"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86" w:lineRule="exact"/>
        <w:rPr>
          <w:sz w:val="20"/>
          <w:szCs w:val="20"/>
          <w:color w:val="auto"/>
        </w:rPr>
      </w:pPr>
    </w:p>
    <w:p>
      <w:pPr>
        <w:ind w:firstLine="594"/>
        <w:spacing w:after="0" w:line="254" w:lineRule="auto"/>
        <w:rPr>
          <w:sz w:val="20"/>
          <w:szCs w:val="20"/>
          <w:color w:val="auto"/>
        </w:rPr>
      </w:pPr>
      <w:r>
        <w:rPr>
          <w:rFonts w:ascii="Arial" w:cs="Arial" w:eastAsia="Arial" w:hAnsi="Arial"/>
          <w:sz w:val="18"/>
          <w:szCs w:val="18"/>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claims we ultimately get allowed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opposition or derivation proceedings challenging our patent rights or the patent rights of others.</w:t>
      </w:r>
    </w:p>
    <w:p>
      <w:pPr>
        <w:spacing w:after="0" w:line="192" w:lineRule="exact"/>
        <w:rPr>
          <w:sz w:val="20"/>
          <w:szCs w:val="20"/>
          <w:color w:val="auto"/>
        </w:rPr>
      </w:pPr>
    </w:p>
    <w:p>
      <w:pPr>
        <w:ind w:firstLine="594"/>
        <w:spacing w:after="0" w:line="287" w:lineRule="auto"/>
        <w:rPr>
          <w:sz w:val="20"/>
          <w:szCs w:val="20"/>
          <w:color w:val="auto"/>
        </w:rPr>
      </w:pPr>
      <w:r>
        <w:rPr>
          <w:rFonts w:ascii="Arial" w:cs="Arial" w:eastAsia="Arial" w:hAnsi="Arial"/>
          <w:sz w:val="16"/>
          <w:szCs w:val="16"/>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68"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78"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3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62"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1" w:name="page72"/>
    <w:bookmarkEnd w:id="71"/>
    <w:p>
      <w:pPr>
        <w:ind w:right="60"/>
        <w:spacing w:after="0" w:line="308" w:lineRule="auto"/>
        <w:rPr>
          <w:sz w:val="20"/>
          <w:szCs w:val="20"/>
          <w:color w:val="auto"/>
        </w:rPr>
      </w:pPr>
      <w:r>
        <w:rPr>
          <w:rFonts w:ascii="Arial" w:cs="Arial" w:eastAsia="Arial" w:hAnsi="Arial"/>
          <w:sz w:val="17"/>
          <w:szCs w:val="17"/>
          <w:color w:val="auto"/>
        </w:rPr>
        <w:t>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46" w:lineRule="exact"/>
        <w:rPr>
          <w:sz w:val="20"/>
          <w:szCs w:val="20"/>
          <w:color w:val="auto"/>
        </w:rPr>
      </w:pPr>
    </w:p>
    <w:p>
      <w:pPr>
        <w:ind w:right="100" w:firstLine="589"/>
        <w:spacing w:after="0" w:line="289" w:lineRule="auto"/>
        <w:rPr>
          <w:sz w:val="20"/>
          <w:szCs w:val="20"/>
          <w:color w:val="auto"/>
        </w:rPr>
      </w:pPr>
      <w:r>
        <w:rPr>
          <w:rFonts w:ascii="Arial" w:cs="Arial" w:eastAsia="Arial" w:hAnsi="Arial"/>
          <w:sz w:val="16"/>
          <w:szCs w:val="16"/>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66"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6"/>
          <w:szCs w:val="16"/>
          <w:i w:val="1"/>
          <w:iCs w:val="1"/>
          <w:color w:val="auto"/>
        </w:rPr>
        <w:t>e.g.</w:t>
      </w:r>
      <w:r>
        <w:rPr>
          <w:rFonts w:ascii="Arial" w:cs="Arial" w:eastAsia="Arial" w:hAnsi="Arial"/>
          <w:sz w:val="16"/>
          <w:szCs w:val="16"/>
          <w:color w:val="auto"/>
        </w:rPr>
        <w:t xml:space="preserve">, via post-grant reviews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61"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w:t>
      </w:r>
    </w:p>
    <w:p>
      <w:pPr>
        <w:spacing w:after="0" w:line="170" w:lineRule="exact"/>
        <w:rPr>
          <w:sz w:val="20"/>
          <w:szCs w:val="20"/>
          <w:color w:val="auto"/>
        </w:rPr>
      </w:pPr>
    </w:p>
    <w:p>
      <w:pPr>
        <w:jc w:val="both"/>
        <w:ind w:right="500" w:firstLine="589"/>
        <w:spacing w:after="0" w:line="263" w:lineRule="auto"/>
        <w:rPr>
          <w:sz w:val="20"/>
          <w:szCs w:val="20"/>
          <w:color w:val="auto"/>
        </w:rPr>
      </w:pPr>
      <w:r>
        <w:rPr>
          <w:rFonts w:ascii="Arial" w:cs="Arial" w:eastAsia="Arial" w:hAnsi="Arial"/>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 candidates could be found invalid or unenforceable if challenged.</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1"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firstLine="589"/>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prosecution, assertion and defense for some of our product candidates may be dependent on third parties.</w:t>
      </w:r>
    </w:p>
    <w:p>
      <w:pPr>
        <w:spacing w:after="0" w:line="117"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2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62"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60"/>
        <w:spacing w:after="0" w:line="263" w:lineRule="auto"/>
        <w:rPr>
          <w:sz w:val="20"/>
          <w:szCs w:val="20"/>
          <w:color w:val="auto"/>
        </w:rPr>
      </w:pPr>
      <w:r>
        <w:rPr>
          <w:rFonts w:ascii="Arial" w:cs="Arial" w:eastAsia="Arial" w:hAnsi="Arial"/>
          <w:sz w:val="18"/>
          <w:szCs w:val="18"/>
          <w:color w:val="auto"/>
        </w:rPr>
        <w:t>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84" w:lineRule="exact"/>
        <w:rPr>
          <w:sz w:val="20"/>
          <w:szCs w:val="20"/>
          <w:color w:val="auto"/>
        </w:rPr>
      </w:pPr>
    </w:p>
    <w:p>
      <w:pPr>
        <w:ind w:right="140" w:firstLine="589"/>
        <w:spacing w:after="0" w:line="289"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lawsuits to protect or enforce our patents and trade secrets, which could be expensive, time-consuming and unsuccessful.</w:t>
      </w:r>
    </w:p>
    <w:p>
      <w:pPr>
        <w:spacing w:after="0" w:line="15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85" w:lineRule="exact"/>
        <w:rPr>
          <w:sz w:val="20"/>
          <w:szCs w:val="20"/>
          <w:color w:val="auto"/>
        </w:rPr>
      </w:pPr>
    </w:p>
    <w:p>
      <w:pPr>
        <w:jc w:val="both"/>
        <w:ind w:right="100" w:firstLine="589"/>
        <w:spacing w:after="0" w:line="27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6"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initiate litigation or other proceedings against third parties to enforce our patent and trade secret rights;</w:t>
      </w:r>
    </w:p>
    <w:p>
      <w:pPr>
        <w:spacing w:after="0" w:line="144"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jc w:val="both"/>
        <w:ind w:left="1160" w:right="140" w:hanging="572"/>
        <w:spacing w:after="0" w:line="286" w:lineRule="auto"/>
        <w:tabs>
          <w:tab w:leader="none" w:pos="11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57" w:lineRule="exact"/>
        <w:rPr>
          <w:rFonts w:ascii="Arial" w:cs="Arial" w:eastAsia="Arial" w:hAnsi="Arial"/>
          <w:sz w:val="17"/>
          <w:szCs w:val="17"/>
          <w:color w:val="auto"/>
        </w:rPr>
      </w:pPr>
    </w:p>
    <w:p>
      <w:pPr>
        <w:ind w:left="1160" w:hanging="572"/>
        <w:spacing w:after="0" w:line="263"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84"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72"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62"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 We may become involved in lawsuits to protect or enforce our patents and trade secrets, which could be expensive, time consuming and unsuccessful.”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w:t>
      </w:r>
    </w:p>
    <w:p>
      <w:pPr>
        <w:spacing w:after="0" w:line="140"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8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patent application 16/118,038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Trillium Therapeutics, our competitor, has an exclusive license to the U.S. patent and application. The European counterpart patent (EP 2 429 574) was revoked by the European Patent Office and UHN and The Hospital for Sick Children have appealed the decision. The patent claims under the European patent, if the appeal by UHN and The Hospital for Sick Children is successful, could potentially limit our ability to pursue ALX148 in certain new indications or geographies in the future. However, we believe that we do not infringe claims listed in U.S. patent 10,907,209.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74"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77" w:lineRule="exact"/>
        <w:rPr>
          <w:sz w:val="20"/>
          <w:szCs w:val="20"/>
          <w:color w:val="auto"/>
        </w:rPr>
      </w:pPr>
    </w:p>
    <w:p>
      <w:pPr>
        <w:ind w:right="540" w:firstLine="589"/>
        <w:spacing w:after="0" w:line="311" w:lineRule="auto"/>
        <w:rPr>
          <w:sz w:val="20"/>
          <w:szCs w:val="20"/>
          <w:color w:val="auto"/>
        </w:rPr>
      </w:pPr>
      <w:r>
        <w:rPr>
          <w:rFonts w:ascii="Arial" w:cs="Arial" w:eastAsia="Arial" w:hAnsi="Arial"/>
          <w:sz w:val="16"/>
          <w:szCs w:val="16"/>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right="300" w:firstLine="589"/>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8" w:lineRule="exact"/>
        <w:rPr>
          <w:sz w:val="20"/>
          <w:szCs w:val="20"/>
          <w:color w:val="auto"/>
        </w:rPr>
      </w:pPr>
    </w:p>
    <w:p>
      <w:pPr>
        <w:ind w:left="1160" w:right="8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44" w:lineRule="exact"/>
        <w:rPr>
          <w:rFonts w:ascii="Arial" w:cs="Arial" w:eastAsia="Arial" w:hAnsi="Arial"/>
          <w:sz w:val="18"/>
          <w:szCs w:val="18"/>
          <w:color w:val="auto"/>
        </w:rPr>
      </w:pPr>
    </w:p>
    <w:p>
      <w:pPr>
        <w:ind w:left="1160" w:right="60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6" w:name="page77"/>
    <w:bookmarkEnd w:id="76"/>
    <w:p>
      <w:pPr>
        <w:ind w:left="1160" w:right="80" w:hanging="572"/>
        <w:spacing w:after="0" w:line="263"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75" w:lineRule="exact"/>
        <w:rPr>
          <w:rFonts w:ascii="Arial" w:cs="Arial" w:eastAsia="Arial" w:hAnsi="Arial"/>
          <w:sz w:val="18"/>
          <w:szCs w:val="18"/>
          <w:color w:val="auto"/>
        </w:rPr>
      </w:pPr>
    </w:p>
    <w:p>
      <w:pPr>
        <w:ind w:left="1160" w:right="580" w:hanging="572"/>
        <w:spacing w:after="0" w:line="308" w:lineRule="auto"/>
        <w:tabs>
          <w:tab w:leader="none" w:pos="11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44" w:lineRule="exact"/>
        <w:rPr>
          <w:rFonts w:ascii="Arial" w:cs="Arial" w:eastAsia="Arial" w:hAnsi="Arial"/>
          <w:sz w:val="18"/>
          <w:szCs w:val="18"/>
          <w:color w:val="auto"/>
        </w:rPr>
      </w:pPr>
    </w:p>
    <w:p>
      <w:pPr>
        <w:ind w:left="1160" w:right="180" w:hanging="572"/>
        <w:spacing w:after="0" w:line="308" w:lineRule="auto"/>
        <w:tabs>
          <w:tab w:leader="none" w:pos="11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160" w:right="100" w:hanging="572"/>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62"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rights to develop and commercialize our product candidates may be subject, in part, to the terms and conditions of agreements with others.</w:t>
      </w:r>
    </w:p>
    <w:p>
      <w:pPr>
        <w:spacing w:after="0" w:line="140" w:lineRule="exact"/>
        <w:rPr>
          <w:sz w:val="20"/>
          <w:szCs w:val="20"/>
          <w:color w:val="auto"/>
        </w:rPr>
      </w:pPr>
    </w:p>
    <w:p>
      <w:pPr>
        <w:jc w:val="both"/>
        <w:ind w:right="120" w:firstLine="589"/>
        <w:spacing w:after="0" w:line="301" w:lineRule="auto"/>
        <w:rPr>
          <w:sz w:val="20"/>
          <w:szCs w:val="20"/>
          <w:color w:val="auto"/>
        </w:rPr>
      </w:pPr>
      <w:r>
        <w:rPr>
          <w:rFonts w:ascii="Arial" w:cs="Arial" w:eastAsia="Arial" w:hAnsi="Arial"/>
          <w:sz w:val="16"/>
          <w:szCs w:val="16"/>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ind w:right="40" w:firstLine="589"/>
        <w:spacing w:after="0" w:line="253" w:lineRule="auto"/>
        <w:rPr>
          <w:sz w:val="20"/>
          <w:szCs w:val="20"/>
          <w:color w:val="auto"/>
        </w:rPr>
      </w:pPr>
      <w:r>
        <w:rPr>
          <w:rFonts w:ascii="Arial" w:cs="Arial" w:eastAsia="Arial" w:hAnsi="Arial"/>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30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76"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Moreover, disputes may arise regarding intellectual property subject to a collaboration agreement, including:</w:t>
      </w:r>
    </w:p>
    <w:p>
      <w:pPr>
        <w:spacing w:after="0" w:line="117" w:lineRule="exact"/>
        <w:rPr>
          <w:sz w:val="20"/>
          <w:szCs w:val="20"/>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the option or license rights granted under the agreement and other interpretation-related issues;</w:t>
      </w:r>
    </w:p>
    <w:p>
      <w:pPr>
        <w:spacing w:after="0" w:line="144"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collaborator that is not subject to the option or license rights granted under the agreement;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144" w:lineRule="exact"/>
        <w:rPr>
          <w:rFonts w:ascii="Arial" w:cs="Arial" w:eastAsia="Arial" w:hAnsi="Arial"/>
          <w:sz w:val="18"/>
          <w:szCs w:val="18"/>
          <w:color w:val="auto"/>
        </w:rPr>
      </w:pPr>
    </w:p>
    <w:p>
      <w:pPr>
        <w:ind w:left="1160" w:right="68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collaborators and us and our other partners;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As of December 31, 2020, we had 23 employees, including 12 employees engaged in research and development. In order to successfully implement our development and commercialization plans and strategies, and as we continue to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44" w:lineRule="exact"/>
        <w:rPr>
          <w:rFonts w:ascii="Arial" w:cs="Arial" w:eastAsia="Arial" w:hAnsi="Arial"/>
          <w:sz w:val="18"/>
          <w:szCs w:val="18"/>
          <w:color w:val="auto"/>
        </w:rPr>
      </w:pPr>
    </w:p>
    <w:p>
      <w:pPr>
        <w:ind w:left="1160" w:right="300" w:hanging="572"/>
        <w:spacing w:after="0" w:line="342" w:lineRule="auto"/>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managing our internal development efforts effectively, including the clinical and FDA review process for ALX148 and any other future product candidates, while complying with any contractual obligations to contractors and other third parties we may have; and</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52" w:lineRule="exact"/>
        <w:rPr>
          <w:sz w:val="20"/>
          <w:szCs w:val="20"/>
          <w:color w:val="auto"/>
        </w:rPr>
      </w:pPr>
    </w:p>
    <w:p>
      <w:pPr>
        <w:jc w:val="both"/>
        <w:ind w:right="280" w:firstLine="589"/>
        <w:spacing w:after="0" w:line="311"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ALX148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ALX148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6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ALX148 and other future product candidates and, accordingly, may not achieve our research, development and commercialization goals.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are based on a novel technology, which makes it difficult to predict the time and cost of product candidate development.</w:t>
      </w:r>
    </w:p>
    <w:p>
      <w:pPr>
        <w:spacing w:after="0" w:line="140"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ALX148,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9" w:name="page80"/>
    <w:bookmarkEnd w:id="79"/>
    <w:p>
      <w:pPr>
        <w:ind w:right="240"/>
        <w:spacing w:after="0" w:line="277" w:lineRule="auto"/>
        <w:rPr>
          <w:sz w:val="20"/>
          <w:szCs w:val="20"/>
          <w:color w:val="auto"/>
        </w:rPr>
      </w:pPr>
      <w:r>
        <w:rPr>
          <w:rFonts w:ascii="Arial" w:cs="Arial" w:eastAsia="Arial" w:hAnsi="Arial"/>
          <w:sz w:val="18"/>
          <w:szCs w:val="18"/>
          <w:color w:val="auto"/>
        </w:rPr>
        <w:t>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70"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81"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2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2" w:lineRule="exact"/>
        <w:rPr>
          <w:sz w:val="20"/>
          <w:szCs w:val="20"/>
          <w:color w:val="auto"/>
        </w:rPr>
      </w:pPr>
    </w:p>
    <w:p>
      <w:pPr>
        <w:ind w:right="200" w:firstLine="589"/>
        <w:spacing w:after="0" w:line="273" w:lineRule="auto"/>
        <w:rPr>
          <w:sz w:val="20"/>
          <w:szCs w:val="20"/>
          <w:color w:val="auto"/>
        </w:rPr>
      </w:pPr>
      <w:r>
        <w:rPr>
          <w:rFonts w:ascii="Arial" w:cs="Arial" w:eastAsia="Arial" w:hAnsi="Arial"/>
          <w:sz w:val="17"/>
          <w:szCs w:val="17"/>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70" w:lineRule="exact"/>
        <w:rPr>
          <w:sz w:val="20"/>
          <w:szCs w:val="20"/>
          <w:color w:val="auto"/>
        </w:rPr>
      </w:pPr>
    </w:p>
    <w:p>
      <w:pPr>
        <w:ind w:left="1160" w:right="180" w:hanging="572"/>
        <w:spacing w:after="0" w:line="263"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44" w:lineRule="exact"/>
        <w:rPr>
          <w:rFonts w:ascii="Arial" w:cs="Arial" w:eastAsia="Arial" w:hAnsi="Arial"/>
          <w:sz w:val="18"/>
          <w:szCs w:val="18"/>
          <w:color w:val="auto"/>
        </w:rPr>
      </w:pPr>
    </w:p>
    <w:p>
      <w:pPr>
        <w:ind w:left="1160" w:right="800" w:hanging="572"/>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 including as a result of potentially relevant third-party patent rights;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44"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drugs;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144" w:lineRule="exact"/>
        <w:rPr>
          <w:rFonts w:ascii="Arial" w:cs="Arial" w:eastAsia="Arial" w:hAnsi="Arial"/>
          <w:sz w:val="18"/>
          <w:szCs w:val="18"/>
          <w:color w:val="auto"/>
        </w:rPr>
      </w:pPr>
    </w:p>
    <w:p>
      <w:pPr>
        <w:ind w:left="1160" w:right="740" w:hanging="572"/>
        <w:spacing w:after="0" w:line="27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political and economic instability, including wars, terrorism and political unrest, boycotts, curtailment of trade and other business restrictions;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natural disasters, outbreaks or public health crises, such as the COVID-19 pandemic;</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44" w:lineRule="exact"/>
        <w:rPr>
          <w:rFonts w:ascii="Arial" w:cs="Arial" w:eastAsia="Arial" w:hAnsi="Arial"/>
          <w:sz w:val="18"/>
          <w:szCs w:val="18"/>
          <w:color w:val="auto"/>
        </w:rPr>
      </w:pPr>
    </w:p>
    <w:p>
      <w:pPr>
        <w:ind w:left="1160" w:right="20" w:hanging="572"/>
        <w:spacing w:after="0" w:line="308" w:lineRule="auto"/>
        <w:tabs>
          <w:tab w:leader="none" w:pos="1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of these factors could harm our future international expansion and operations and, consequently, our results of operations.</w:t>
      </w:r>
    </w:p>
    <w:p>
      <w:pPr>
        <w:spacing w:after="0" w:line="333"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95"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3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1" w:name="page82"/>
    <w:bookmarkEnd w:id="81"/>
    <w:p>
      <w:pPr>
        <w:ind w:right="160" w:firstLine="589"/>
        <w:spacing w:after="0" w:line="279"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71"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95"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149"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Our spending on current and future research and development programs, such as ALX148,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9"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auto"/>
        </w:rPr>
        <w:t>In December 2019, COVID-19 was reported to have surfaced in Wuhan, China. Since then, the virus has spread to most other countries across the world, including all 50 states within the United States, resulting in the World Health Organization characterizing COVID-19 as a pandemic. As a result of measures imposed by the governments in affected regions, many commercial activities, businesses and schools have been suspended as part of quarantines and other measures intended to contain this pandemic. The extent to which the COVID-19 pandemic ultimately impacts our business will depend on future developments, which are highly uncertain and cannot be predicted, such as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to spread around the globe, we may experience disruptions that could severely impact our business, current and planned clinical trials and preclinical research, including:</w:t>
      </w:r>
    </w:p>
    <w:p>
      <w:pPr>
        <w:spacing w:after="0" w:line="73" w:lineRule="exact"/>
        <w:rPr>
          <w:sz w:val="20"/>
          <w:szCs w:val="20"/>
          <w:color w:val="auto"/>
        </w:rPr>
      </w:pPr>
    </w:p>
    <w:p>
      <w:pPr>
        <w:ind w:left="116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subjects, particularly elderly subjects, who are at a higher risk of severe illness or death from COVID-19, in our ongoing clinical trial of ALX148 and our future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subjects;</w:t>
      </w:r>
    </w:p>
    <w:p>
      <w:pPr>
        <w:spacing w:after="0" w:line="144"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160" w:right="28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limitations in resources, including our employees, that would otherwise be focused on the conduct of our business or our current or planned clinical trials or preclinical research, including because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ind w:left="1160" w:right="620"/>
        <w:spacing w:after="0" w:line="277" w:lineRule="auto"/>
        <w:rPr>
          <w:sz w:val="20"/>
          <w:szCs w:val="20"/>
          <w:color w:val="auto"/>
        </w:rPr>
      </w:pPr>
      <w:r>
        <w:rPr>
          <w:rFonts w:ascii="Arial" w:cs="Arial" w:eastAsia="Arial" w:hAnsi="Arial"/>
          <w:sz w:val="18"/>
          <w:szCs w:val="18"/>
          <w:color w:val="auto"/>
        </w:rPr>
        <w:t>sickness, the desire to avoid contact with large groups of people, or restrictions on movement or access to our facility as a result of government-imposed “shelter in place” or similar working restrictions;</w:t>
      </w:r>
    </w:p>
    <w:p>
      <w:pPr>
        <w:spacing w:after="0" w:line="62" w:lineRule="exact"/>
        <w:rPr>
          <w:sz w:val="20"/>
          <w:szCs w:val="20"/>
          <w:color w:val="auto"/>
        </w:rPr>
      </w:pPr>
    </w:p>
    <w:p>
      <w:pPr>
        <w:ind w:left="1160" w:right="44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in receiving approval from regulatory authorities to initiate our clinical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the CROs conducting such studies;</w:t>
      </w:r>
    </w:p>
    <w:p>
      <w:pPr>
        <w:spacing w:after="0" w:line="144"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other domestic or foreign regulatory authorities, which may impact review and approval timelines;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clinical trials and preclinical research;</w:t>
      </w:r>
    </w:p>
    <w:p>
      <w:pPr>
        <w:spacing w:after="0" w:line="144" w:lineRule="exact"/>
        <w:rPr>
          <w:rFonts w:ascii="Arial" w:cs="Arial" w:eastAsia="Arial" w:hAnsi="Arial"/>
          <w:sz w:val="18"/>
          <w:szCs w:val="18"/>
          <w:color w:val="auto"/>
        </w:rPr>
      </w:pPr>
    </w:p>
    <w:p>
      <w:pPr>
        <w:ind w:left="1160" w:right="300" w:hanging="572"/>
        <w:spacing w:after="0" w:line="308" w:lineRule="auto"/>
        <w:tabs>
          <w:tab w:leader="none" w:pos="11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interruptions or delays to our development pipeline;</w:t>
      </w:r>
    </w:p>
    <w:p>
      <w:pPr>
        <w:spacing w:after="0" w:line="144"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of the United States.</w:t>
      </w:r>
    </w:p>
    <w:p>
      <w:pPr>
        <w:spacing w:after="0" w:line="252"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We are still assessing the impact that the COVID-19 pandemic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or due to shutdowns that may be requested or mandated by federal, state and local governmental authorities. For example, in August 2020, California implemented the Blueprint for a Safer Economy, which uses COVID-19 case rates and test positivity rates in each county to determine the extent to which businesses may reopen. Under the Blueprint for a Safer Economy, most business operations in San Mateo County, where our primary operations are located, remain restricted. As a result, the majority of our employees are currently telecommuting, which may impact certain of our operations over the near term and long term.</w:t>
      </w:r>
    </w:p>
    <w:p>
      <w:pPr>
        <w:spacing w:after="0" w:line="166" w:lineRule="exact"/>
        <w:rPr>
          <w:sz w:val="20"/>
          <w:szCs w:val="20"/>
          <w:color w:val="auto"/>
        </w:rPr>
      </w:pPr>
    </w:p>
    <w:p>
      <w:pPr>
        <w:ind w:firstLine="594"/>
        <w:spacing w:after="0" w:line="268" w:lineRule="auto"/>
        <w:rPr>
          <w:sz w:val="20"/>
          <w:szCs w:val="20"/>
          <w:color w:val="auto"/>
        </w:rPr>
      </w:pPr>
      <w:r>
        <w:rPr>
          <w:rFonts w:ascii="Arial" w:cs="Arial" w:eastAsia="Arial" w:hAnsi="Arial"/>
          <w:sz w:val="17"/>
          <w:szCs w:val="17"/>
          <w:color w:val="auto"/>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COVID-19 pandemic.</w:t>
      </w:r>
    </w:p>
    <w:p>
      <w:pPr>
        <w:spacing w:after="0" w:line="184" w:lineRule="exact"/>
        <w:rPr>
          <w:sz w:val="20"/>
          <w:szCs w:val="20"/>
          <w:color w:val="auto"/>
        </w:rPr>
      </w:pPr>
    </w:p>
    <w:p>
      <w:pPr>
        <w:ind w:right="600" w:firstLine="594"/>
        <w:spacing w:after="0" w:line="277" w:lineRule="auto"/>
        <w:rPr>
          <w:sz w:val="20"/>
          <w:szCs w:val="20"/>
          <w:color w:val="auto"/>
        </w:rPr>
      </w:pPr>
      <w:r>
        <w:rPr>
          <w:rFonts w:ascii="Arial" w:cs="Arial" w:eastAsia="Arial" w:hAnsi="Arial"/>
          <w:sz w:val="18"/>
          <w:szCs w:val="18"/>
          <w:color w:val="auto"/>
        </w:rPr>
        <w:t>Further, as a result of the COVID-19 pandemic, the extent and length of which is uncertain, we may be required to develop and implement additional clinical trial policies and procedures designed to help protect subjects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3" w:name="page84"/>
    <w:bookmarkEnd w:id="83"/>
    <w:p>
      <w:pPr>
        <w:ind w:right="120"/>
        <w:spacing w:after="0" w:line="268" w:lineRule="auto"/>
        <w:rPr>
          <w:sz w:val="20"/>
          <w:szCs w:val="20"/>
          <w:color w:val="auto"/>
        </w:rPr>
      </w:pPr>
      <w:r>
        <w:rPr>
          <w:rFonts w:ascii="Arial" w:cs="Arial" w:eastAsia="Arial" w:hAnsi="Arial"/>
          <w:sz w:val="17"/>
          <w:szCs w:val="17"/>
          <w:color w:val="auto"/>
        </w:rPr>
        <w:t>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7"/>
          <w:szCs w:val="17"/>
          <w:i w:val="1"/>
          <w:iCs w:val="1"/>
          <w:color w:val="auto"/>
        </w:rPr>
        <w:t>e.g.</w:t>
      </w:r>
      <w:r>
        <w:rPr>
          <w:rFonts w:ascii="Arial" w:cs="Arial" w:eastAsia="Arial" w:hAnsi="Arial"/>
          <w:sz w:val="17"/>
          <w:szCs w:val="17"/>
          <w:color w:val="auto"/>
        </w:rPr>
        <w:t>,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86" w:lineRule="exact"/>
        <w:rPr>
          <w:sz w:val="20"/>
          <w:szCs w:val="20"/>
          <w:color w:val="auto"/>
        </w:rPr>
      </w:pPr>
    </w:p>
    <w:p>
      <w:pPr>
        <w:ind w:right="60" w:firstLine="594"/>
        <w:spacing w:after="0" w:line="263" w:lineRule="auto"/>
        <w:rPr>
          <w:sz w:val="20"/>
          <w:szCs w:val="20"/>
          <w:color w:val="auto"/>
        </w:rPr>
      </w:pPr>
      <w:r>
        <w:rPr>
          <w:rFonts w:ascii="Arial" w:cs="Arial" w:eastAsia="Arial" w:hAnsi="Arial"/>
          <w:sz w:val="18"/>
          <w:szCs w:val="18"/>
          <w:color w:val="auto"/>
        </w:rPr>
        <w:t>The COVID-19 pandemic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84"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section and in this “Risk Factors” section.</w:t>
      </w:r>
    </w:p>
    <w:p>
      <w:pPr>
        <w:spacing w:after="0" w:line="2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79"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recently entered into a collaboration agreement with Tallac Therapeutics pursuant to which we expect to jointly develop, manufacture, and commercialize a novel class of cancer immunotherapeutics.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65" w:lineRule="exact"/>
        <w:rPr>
          <w:sz w:val="20"/>
          <w:szCs w:val="20"/>
          <w:color w:val="auto"/>
        </w:rPr>
      </w:pPr>
    </w:p>
    <w:p>
      <w:pPr>
        <w:ind w:right="60" w:firstLine="594"/>
        <w:spacing w:after="0" w:line="273"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78" w:lineRule="exact"/>
        <w:rPr>
          <w:sz w:val="20"/>
          <w:szCs w:val="20"/>
          <w:color w:val="auto"/>
        </w:rPr>
      </w:pPr>
    </w:p>
    <w:p>
      <w:pPr>
        <w:ind w:firstLine="594"/>
        <w:spacing w:after="0" w:line="293" w:lineRule="auto"/>
        <w:rPr>
          <w:sz w:val="20"/>
          <w:szCs w:val="20"/>
          <w:color w:val="auto"/>
        </w:rPr>
      </w:pPr>
      <w:r>
        <w:rPr>
          <w:rFonts w:ascii="Arial" w:cs="Arial" w:eastAsia="Arial" w:hAnsi="Arial"/>
          <w:sz w:val="16"/>
          <w:szCs w:val="16"/>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spacing w:after="0" w:line="272" w:lineRule="auto"/>
        <w:rPr>
          <w:sz w:val="20"/>
          <w:szCs w:val="20"/>
          <w:color w:val="auto"/>
        </w:rPr>
      </w:pPr>
      <w:r>
        <w:rPr>
          <w:rFonts w:ascii="Arial" w:cs="Arial" w:eastAsia="Arial" w:hAnsi="Arial"/>
          <w:sz w:val="17"/>
          <w:szCs w:val="17"/>
          <w:color w:val="auto"/>
        </w:rPr>
        <w:t>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7" w:lineRule="exact"/>
        <w:rPr>
          <w:sz w:val="20"/>
          <w:szCs w:val="20"/>
          <w:color w:val="auto"/>
        </w:rPr>
      </w:pPr>
    </w:p>
    <w:p>
      <w:pPr>
        <w:ind w:right="20" w:firstLine="594"/>
        <w:spacing w:after="0" w:line="268"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businesses or assets and we may not realize the benefits of such acquisitions.</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87" w:lineRule="exact"/>
        <w:rPr>
          <w:sz w:val="20"/>
          <w:szCs w:val="20"/>
          <w:color w:val="auto"/>
        </w:rPr>
      </w:pPr>
    </w:p>
    <w:p>
      <w:pPr>
        <w:ind w:right="320" w:firstLine="589"/>
        <w:spacing w:after="0" w:line="279"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2020, we had net operating loss carryforwards of approximately $7.9 million and $71.4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carries forward indefinitely while the state net operating loss will begin to expire beginning in 2038.</w:t>
      </w:r>
    </w:p>
    <w:p>
      <w:pPr>
        <w:spacing w:after="0" w:line="178"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As of December 31, 2020, we had Irish net operating loss carryforwards of approximately $5.1 million. These Irish net operating loss carryforwards do not expire but may not be fully utilized unless we generate sufficient income in Ireland. Under Irish law, where a company makes a loss in its trade, it can carry that loss forward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subsequent accounting periods and offset the loss against profits or gains of the same trade. The utilization of carried forward losses is disallowed where</w:t>
      </w:r>
    </w:p>
    <w:p>
      <w:pPr>
        <w:spacing w:after="0" w:line="46" w:lineRule="exact"/>
        <w:rPr>
          <w:sz w:val="20"/>
          <w:szCs w:val="20"/>
          <w:color w:val="auto"/>
        </w:rPr>
      </w:pPr>
    </w:p>
    <w:p>
      <w:pPr>
        <w:ind w:right="20" w:firstLine="8"/>
        <w:spacing w:after="0" w:line="285" w:lineRule="auto"/>
        <w:tabs>
          <w:tab w:leader="none" w:pos="2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sustained for our common stock.</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are beyond our control. In addition to those discussed in this “Risk Factors” section and elsewhere in this Annual Report on Form 10-K, the following factors may cause the market price of our common stock to fluctuate:</w:t>
      </w:r>
    </w:p>
    <w:p>
      <w:pPr>
        <w:spacing w:after="0" w:line="76" w:lineRule="exact"/>
        <w:rPr>
          <w:sz w:val="20"/>
          <w:szCs w:val="20"/>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and timing of our preclinical studies and clinical trials and studies and trials of our competitors;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any future approved products;</w:t>
      </w:r>
    </w:p>
    <w:p>
      <w:pPr>
        <w:spacing w:after="0" w:line="144" w:lineRule="exact"/>
        <w:rPr>
          <w:rFonts w:ascii="Arial" w:cs="Arial" w:eastAsia="Arial" w:hAnsi="Arial"/>
          <w:sz w:val="18"/>
          <w:szCs w:val="18"/>
          <w:color w:val="auto"/>
        </w:rPr>
      </w:pPr>
    </w:p>
    <w:p>
      <w:pPr>
        <w:ind w:left="1160" w:right="820" w:hanging="572"/>
        <w:spacing w:after="0" w:line="277"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or anticipated changes in our growth and development relative to our competitors;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introduction of new product candidates or technological innovations by us or our competitors;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6" w:name="page87"/>
    <w:bookmarkEnd w:id="86"/>
    <w:p>
      <w:pPr>
        <w:ind w:left="1160" w:right="180" w:hanging="57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by us, our future strategic partners or our competitors of significant acquisitions, strategic partnerships, joint ventures or capital commitments;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anticipated changes in estimates or recommendations by securities analysts, if any cover our common stock;</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sales of our common stock by us, our insiders or our other stockholders;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overseas;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44"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economic and other external factors such as macroeconomic, disasters, crises or health matters, including the impact of the COVID-19 pandemic;</w:t>
      </w:r>
    </w:p>
    <w:p>
      <w:pPr>
        <w:spacing w:after="0" w:line="62"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payment or receipt of any future milestone or other payments under commercialization or licensing agreements;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overall fluctuations in U.S. equity markets, general market conditions and market conditions for biotechnology stocks;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factors that may be unanticipated or out of our control.</w:t>
      </w:r>
    </w:p>
    <w:p>
      <w:pPr>
        <w:spacing w:after="0" w:line="25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addition, the stock market has recently experienced significant volatility, particularly with respect to biotechnology and other life sciences company stocks as a result of the COVID-19 pandemic and the U.S. presidential election.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19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800" w:right="419" w:bottom="1440" w:gutter="0" w:footer="0" w:header="0"/>
        </w:sectPr>
      </w:pPr>
    </w:p>
    <w:bookmarkStart w:id="87" w:name="page88"/>
    <w:bookmarkEnd w:id="87"/>
    <w:p>
      <w:pPr>
        <w:ind w:right="280"/>
        <w:spacing w:after="0" w:line="277" w:lineRule="auto"/>
        <w:rPr>
          <w:sz w:val="20"/>
          <w:szCs w:val="20"/>
          <w:color w:val="auto"/>
        </w:rPr>
      </w:pPr>
      <w:r>
        <w:rPr>
          <w:rFonts w:ascii="Arial" w:cs="Arial" w:eastAsia="Arial" w:hAnsi="Arial"/>
          <w:sz w:val="18"/>
          <w:szCs w:val="18"/>
          <w:color w:val="auto"/>
        </w:rPr>
        <w:t>awards change over time, including our underlying stock price and stock price volatility, the magnitude of the expense that we must recognize may vary significantly.</w:t>
      </w:r>
    </w:p>
    <w:p>
      <w:pPr>
        <w:spacing w:after="0" w:line="170"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160" w:right="260" w:hanging="572"/>
        <w:spacing w:after="0" w:line="277" w:lineRule="auto"/>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enroll subjects in clinical trials and the timing of enrollment;</w:t>
      </w:r>
    </w:p>
    <w:p>
      <w:pPr>
        <w:spacing w:after="0" w:line="144" w:lineRule="exact"/>
        <w:rPr>
          <w:rFonts w:ascii="Arial" w:cs="Arial" w:eastAsia="Arial" w:hAnsi="Arial"/>
          <w:sz w:val="18"/>
          <w:szCs w:val="18"/>
          <w:color w:val="auto"/>
        </w:rPr>
      </w:pPr>
    </w:p>
    <w:p>
      <w:pPr>
        <w:ind w:left="1160" w:right="20" w:hanging="572"/>
        <w:spacing w:after="0" w:line="263" w:lineRule="auto"/>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timing and outcomes of clinical trials for ALX148, and any of our other product candidates, or competing product candidates;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ALX148 and any of our other product candidates, and changes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delays in regulatory review or approval of ALX148 or any of our other product candidates;</w:t>
      </w:r>
    </w:p>
    <w:p>
      <w:pPr>
        <w:spacing w:after="0" w:line="144"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demand for ALX148 and any of our other product candidates, if approved, which may fluctuate significantly and be difficult to predict;</w:t>
      </w:r>
    </w:p>
    <w:p>
      <w:pPr>
        <w:spacing w:after="0" w:line="62"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ALX148 and any of our other product candidates;</w:t>
      </w:r>
    </w:p>
    <w:p>
      <w:pPr>
        <w:spacing w:after="0" w:line="62"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commercialize ALX148 and any of our other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252" w:lineRule="exact"/>
        <w:rPr>
          <w:sz w:val="20"/>
          <w:szCs w:val="20"/>
          <w:color w:val="auto"/>
        </w:rPr>
      </w:pPr>
    </w:p>
    <w:p>
      <w:pPr>
        <w:ind w:right="160" w:firstLine="589"/>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jc w:val="both"/>
        <w:ind w:right="500" w:firstLine="589"/>
        <w:spacing w:after="0" w:line="28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As of December 31, 2020, we had 39,844,522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165"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8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addition, on July 17, 2020, we filed a registration statement on Form S-8 to register 3,563,962 shares of our common stock reserved for future issuance under our equity compensation plans. As a result, shares registered under this registration statement on Form S-8 will be available for sale in the public market subject to the satisfaction of applicable vesting arrangements and the exercise of such options and, in the case of our affiliates, the restrictions of Rule 144.</w:t>
      </w:r>
    </w:p>
    <w:p>
      <w:pPr>
        <w:spacing w:after="0" w:line="18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Moreover, holders of an aggregate of 24,429,399 shares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and will continue to incur significant increased costs and management resources as a result of operating as a public company.</w:t>
      </w:r>
    </w:p>
    <w:p>
      <w:pPr>
        <w:spacing w:after="0" w:line="140"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We have incurred and will continue to incur significant legal, accounting, compliance and other expenses as a public company and these expenses may increase even more after we are no longer an “emerging growth company.”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161"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In addition, we anticipate implementing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ind w:right="40" w:firstLine="589"/>
        <w:spacing w:after="0" w:line="269"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38"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although, if we have more than $1.07 billion in annual revenue, if the market value of our common stock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2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As of March 12, 2021, our executive officers, directors, holders of 5% or more of our capital stock and their respective affiliates beneficially owned approximately 58.9% of our outstanding voting stock.</w:t>
      </w:r>
    </w:p>
    <w:p>
      <w:pPr>
        <w:spacing w:after="0" w:line="170" w:lineRule="exact"/>
        <w:rPr>
          <w:sz w:val="20"/>
          <w:szCs w:val="20"/>
          <w:color w:val="auto"/>
        </w:rPr>
      </w:pPr>
    </w:p>
    <w:p>
      <w:pPr>
        <w:ind w:right="160" w:firstLine="589"/>
        <w:spacing w:after="0" w:line="272" w:lineRule="auto"/>
        <w:rPr>
          <w:sz w:val="20"/>
          <w:szCs w:val="20"/>
          <w:color w:val="auto"/>
        </w:rPr>
      </w:pPr>
      <w:r>
        <w:rPr>
          <w:rFonts w:ascii="Arial" w:cs="Arial" w:eastAsia="Arial" w:hAnsi="Arial"/>
          <w:sz w:val="17"/>
          <w:szCs w:val="17"/>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share appreciation for any return on their investment.</w:t>
      </w:r>
    </w:p>
    <w:p>
      <w:pPr>
        <w:spacing w:after="0" w:line="140"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12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29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38"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63" w:lineRule="exact"/>
        <w:rPr>
          <w:sz w:val="20"/>
          <w:szCs w:val="20"/>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w:t>
      </w:r>
    </w:p>
    <w:p>
      <w:pPr>
        <w:spacing w:after="0" w:line="144" w:lineRule="exact"/>
        <w:rPr>
          <w:rFonts w:ascii="Arial" w:cs="Arial" w:eastAsia="Arial" w:hAnsi="Arial"/>
          <w:sz w:val="18"/>
          <w:szCs w:val="18"/>
          <w:color w:val="auto"/>
        </w:rPr>
      </w:pPr>
    </w:p>
    <w:p>
      <w:pPr>
        <w:ind w:left="1160" w:right="60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44"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91" w:name="page92"/>
    <w:bookmarkEnd w:id="91"/>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 and</w:t>
      </w:r>
    </w:p>
    <w:p>
      <w:pPr>
        <w:spacing w:after="0" w:line="144" w:lineRule="exact"/>
        <w:rPr>
          <w:rFonts w:ascii="Arial" w:cs="Arial" w:eastAsia="Arial" w:hAnsi="Arial"/>
          <w:sz w:val="18"/>
          <w:szCs w:val="18"/>
          <w:color w:val="auto"/>
        </w:rPr>
      </w:pPr>
    </w:p>
    <w:p>
      <w:pPr>
        <w:ind w:left="1160" w:right="540" w:hanging="572"/>
        <w:spacing w:after="0" w:line="277"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170"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68" w:lineRule="exact"/>
        <w:rPr>
          <w:sz w:val="20"/>
          <w:szCs w:val="20"/>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us;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w:t>
      </w:r>
    </w:p>
    <w:p>
      <w:pPr>
        <w:spacing w:after="0" w:line="144" w:lineRule="exact"/>
        <w:rPr>
          <w:rFonts w:ascii="Arial" w:cs="Arial" w:eastAsia="Arial" w:hAnsi="Arial"/>
          <w:sz w:val="18"/>
          <w:szCs w:val="18"/>
          <w:color w:val="auto"/>
        </w:rPr>
      </w:pPr>
    </w:p>
    <w:p>
      <w:pPr>
        <w:ind w:left="1160" w:right="720" w:hanging="572"/>
        <w:spacing w:after="0" w:line="308" w:lineRule="auto"/>
        <w:tabs>
          <w:tab w:leader="none" w:pos="11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52"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70"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70"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2" w:name="page93"/>
    <w:bookmarkEnd w:id="92"/>
    <w:p>
      <w:pPr>
        <w:ind w:right="280"/>
        <w:spacing w:after="0" w:line="286" w:lineRule="auto"/>
        <w:rPr>
          <w:sz w:val="20"/>
          <w:szCs w:val="20"/>
          <w:color w:val="auto"/>
        </w:rPr>
      </w:pPr>
      <w:r>
        <w:rPr>
          <w:rFonts w:ascii="Arial" w:cs="Arial" w:eastAsia="Arial" w:hAnsi="Arial"/>
          <w:sz w:val="17"/>
          <w:szCs w:val="17"/>
          <w:b w:val="1"/>
          <w:bCs w:val="1"/>
          <w:i w:val="1"/>
          <w:iCs w:val="1"/>
          <w:color w:val="auto"/>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57"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the Sarbanes-Oxley Act of 2002. During our review and testing, we may identify deficiencies and be unable to remediate them before we must provide the required reports. In the past, we and our independent registered public accounting firm identified two material weaknesses in our internal control over financial reporting, all of which have since been remediated. We did not identify any material weakness as of December 31, 2020.</w:t>
      </w:r>
    </w:p>
    <w:p>
      <w:pPr>
        <w:spacing w:after="0" w:line="63"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Furthermore, if in the future,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62"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166"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In connection with our evaluation of our internal controls over financial reporting, we expect to upgrade our finance and accounting systems and team. If we are unable to accomplish these objectives in a timely and effective manner, our ability to comply with the financial reporting requirements and other rules that apply to reporting companies could be adversely impacted. Any failure to maintain effective internal control over financial reporting could have a material adverse effect on our business, financial condition and results of operations and the trading price of our common stock.</w:t>
      </w:r>
    </w:p>
    <w:p>
      <w:pPr>
        <w:spacing w:after="0" w:line="15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3" w:name="page94"/>
    <w:bookmarkEnd w:id="93"/>
    <w:p>
      <w:pPr>
        <w:ind w:right="80" w:firstLine="589"/>
        <w:spacing w:after="0" w:line="275"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76"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2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62" w:lineRule="exact"/>
        <w:rPr>
          <w:sz w:val="20"/>
          <w:szCs w:val="20"/>
          <w:color w:val="auto"/>
        </w:rPr>
      </w:pPr>
    </w:p>
    <w:p>
      <w:pPr>
        <w:ind w:right="100" w:firstLine="589"/>
        <w:spacing w:after="0" w:line="253" w:lineRule="auto"/>
        <w:rPr>
          <w:sz w:val="20"/>
          <w:szCs w:val="20"/>
          <w:color w:val="auto"/>
        </w:rPr>
      </w:pPr>
      <w:r>
        <w:rPr>
          <w:rFonts w:ascii="Arial" w:cs="Arial" w:eastAsia="Arial" w:hAnsi="Arial"/>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95"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140" w:firstLine="589"/>
        <w:spacing w:after="0" w:line="293" w:lineRule="auto"/>
        <w:rPr>
          <w:sz w:val="20"/>
          <w:szCs w:val="20"/>
          <w:color w:val="auto"/>
        </w:rPr>
      </w:pPr>
      <w:r>
        <w:rPr>
          <w:rFonts w:ascii="Arial" w:cs="Arial" w:eastAsia="Arial" w:hAnsi="Arial"/>
          <w:sz w:val="16"/>
          <w:szCs w:val="16"/>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64"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disruptions and delays or incur financial damages as a result of system failures or security breaches.</w:t>
      </w:r>
    </w:p>
    <w:p>
      <w:pPr>
        <w:spacing w:after="0" w:line="117"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 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w:t>
      </w:r>
    </w:p>
    <w:p>
      <w:pPr>
        <w:spacing w:after="0" w:line="18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Our principal executive office is located in Burlingame, California. We currently sub-lease 2,856 square feet of office space in Burlingame, California, under a lease that expires in 2023. We believe that this space is sufficient to meet our needs for the foreseeable future and that any additional space we may require will be available on commercially reasonable terms.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2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Our Common Stock</w:t>
      </w:r>
    </w:p>
    <w:p>
      <w:pPr>
        <w:spacing w:after="0" w:line="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“ALXO” since July 17, 2020. Prior to that date, there was no public trading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As of March 12, 2021, there were 89 holders of record of our common stock. Certain shares are held in "street" name and, accordingly, the number of beneficial owners of such shares is not known or included in the foregoing number.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except to the extent that we specifically incorporate this information by reference therein, whether made before or after the date hereof and irrespective of any general incorporation language in any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ind w:right="20" w:firstLine="594"/>
        <w:spacing w:after="0" w:line="273" w:lineRule="auto"/>
        <w:rPr>
          <w:sz w:val="20"/>
          <w:szCs w:val="20"/>
          <w:color w:val="auto"/>
        </w:rPr>
      </w:pPr>
      <w:r>
        <w:rPr>
          <w:rFonts w:ascii="Arial" w:cs="Arial" w:eastAsia="Arial" w:hAnsi="Arial"/>
          <w:sz w:val="17"/>
          <w:szCs w:val="17"/>
          <w:color w:val="auto"/>
        </w:rPr>
        <w:t>The following graph compares the cumulative total return to stockholder on our common stock relative to the cumulative total returns of the Nasdaq Composite Index and the Nasdaq Biotechnology Index. An investment of $100 is assumed to have been made in our common stock and each index on July 17, 2020 (the first day of trading of our common stock with a closing price on that date of $30.00) and its relative performance is tracked through December 31, 2020. Pursuant to applicable SEC rules, all values assume reinvestment of the full amount of all dividends; however, no dividends have been declared on our common stock to date. The stockholder returns shown on the graph below are based on historical results and are not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31718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4916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In July 2020, we closed the sale of 9,775,000 shares of common stock, which includes the additional overallotment of 1,275,000 shares exercised by the underwriters in the initial public offering, to the public at an initial public offering price of $19.00 per share. The aggregate offering price for shares sold in our initial public offering was $185.7 million. 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spacing w:after="0" w:line="16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received approximately $169.5 million in net proceeds after deducting underwriting discounts and commissions of approximately $13.0 million and offering-related expenses of $3.2 million. No offering expenses were paid directly or indirectly to any of our directors or officers (or their associates) or persons owning ten percent or more of any class of our equity securities or to any other affiliates.</w:t>
      </w:r>
    </w:p>
    <w:p>
      <w:pPr>
        <w:spacing w:after="0" w:line="184"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following tables set forth selected financial and other data. Our historical results are not necessarily indicative of the results that may be expected in the future. You should read the financial and other data below in conjunction with Item 7. "Management’s Discussion and Analysis of Financial Condition and Results of Operations” and Item 8. "Financial Statements" in this Annual Report on Form 10-K. The selected data in this section is not intended to replace the Consolidated Financial Statements.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8"/>
          </w:tcPr>
          <w:p>
            <w:pPr>
              <w:jc w:val="center"/>
              <w:ind w:left="613"/>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 Comprehensive Loss Data:</w:t>
            </w:r>
          </w:p>
        </w:tc>
        <w:tc>
          <w:tcPr>
            <w:tcW w:w="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51"/>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40" w:type="dxa"/>
            <w:vAlign w:val="bottom"/>
            <w:gridSpan w:val="9"/>
          </w:tcPr>
          <w:p>
            <w:pPr>
              <w:jc w:val="center"/>
              <w:ind w:right="71"/>
              <w:spacing w:after="0" w:line="155"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services for related-party revenue</w:t>
            </w:r>
          </w:p>
        </w:tc>
        <w:tc>
          <w:tcPr>
            <w:tcW w:w="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23,979</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(404)</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Loss on early debt extinguishment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Income tax provision</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4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(19,243)</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Cumulative dividends allocated to preferred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stockholders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(5,202)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(4,028)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(7.56)</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196"/>
        </w:trPr>
        <w:tc>
          <w:tcPr>
            <w:tcW w:w="48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of common stock</w:t>
            </w:r>
          </w:p>
        </w:tc>
        <w:tc>
          <w:tcPr>
            <w:tcW w:w="4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used to compute net loss per share</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 basic</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w:t>
            </w:r>
          </w:p>
        </w:tc>
        <w:tc>
          <w:tcPr>
            <w:tcW w:w="4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18,485,343</w:t>
            </w:r>
          </w:p>
        </w:tc>
        <w:tc>
          <w:tcPr>
            <w:tcW w:w="1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3,076,461</w:t>
            </w:r>
          </w:p>
        </w:tc>
        <w:tc>
          <w:tcPr>
            <w:tcW w:w="1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2,750,838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320" w:hanging="572"/>
        <w:spacing w:after="0" w:line="342"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See Note 11 to our audited consolidated financial statements included elsewhere in this Annual Report for an explanation of the method used to calculate historical net loss per share and the weighted-average number of shares used in the computation of the per share amounts.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86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12"/>
              <w:spacing w:after="0" w:line="15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434,219</w:t>
            </w:r>
          </w:p>
        </w:tc>
        <w:tc>
          <w:tcPr>
            <w:tcW w:w="36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9,017</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429,788</w:t>
            </w:r>
          </w:p>
        </w:tc>
        <w:tc>
          <w:tcPr>
            <w:tcW w:w="36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4,825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436,054</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10,676</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Total liabilities</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6,209</w:t>
            </w:r>
          </w:p>
        </w:tc>
        <w:tc>
          <w:tcPr>
            <w:tcW w:w="36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10,952</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70,363</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(118,522)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(72,782)</w:t>
            </w:r>
          </w:p>
        </w:tc>
        <w:tc>
          <w:tcPr>
            <w:tcW w:w="3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(53,539)</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429,845</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(70,639)</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(51,778)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line="277"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consolidated financial statements for further details regarding our current assets and current liabilities.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together with our consolidated financial statements and related notes included elsewhere in this Annual Report on Form 10-K.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As of December 31, 2020, we have dosed over 170 subjects with ALX148 across a range of hematologic and solid malignancies in combination with a number of leading anti-cancer agents. We plan to initiate additional studies in combination with leading anti-cancer agents. In hematologic malignancies, we have dosed the first subjects for the treatment of MDS and intend to advance ALX148 into clinical development for the treatment of AML in the second half of 2021. In solid tumors, we intend to initiate randomized Phase 2 trials of ALX148 for the treatment of first-line head and neck cancer, second line gastric/GEJ cancer and a Phase 1 trial for the treatment of breast cancer in 2021.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68" w:lineRule="exact"/>
        <w:rPr>
          <w:sz w:val="20"/>
          <w:szCs w:val="20"/>
          <w:color w:val="auto"/>
        </w:rPr>
      </w:pPr>
    </w:p>
    <w:p>
      <w:pPr>
        <w:ind w:right="80" w:firstLine="594"/>
        <w:spacing w:after="0" w:line="291" w:lineRule="auto"/>
        <w:rPr>
          <w:sz w:val="20"/>
          <w:szCs w:val="20"/>
          <w:color w:val="auto"/>
        </w:rPr>
      </w:pPr>
      <w:r>
        <w:rPr>
          <w:rFonts w:ascii="Arial" w:cs="Arial" w:eastAsia="Arial" w:hAnsi="Arial"/>
          <w:sz w:val="16"/>
          <w:szCs w:val="16"/>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an internal reorganization effective as of the same date whereby ALX Oncology Limited became our wholly-owned subsidiary and all of the stockholders, warrant holders and option holders of ALX Oncology Limited became our stockholders, warrant holders and option holders, holding the same number of corresponding shares, warrants and/or options in us as they did in ALX Oncology Limited immediately prior to the internal reorganization. The information included herein are presented as that of ALX Oncology Holdings Inc., unless such information refers to a date prior to April 1, 2020, in which case it will reflect that of our predecessor company.</w:t>
      </w:r>
    </w:p>
    <w:p>
      <w:pPr>
        <w:spacing w:after="0" w:line="166" w:lineRule="exact"/>
        <w:rPr>
          <w:sz w:val="20"/>
          <w:szCs w:val="20"/>
          <w:color w:val="auto"/>
        </w:rPr>
      </w:pPr>
    </w:p>
    <w:p>
      <w:pPr>
        <w:ind w:right="140" w:firstLine="594"/>
        <w:spacing w:after="0" w:line="263" w:lineRule="auto"/>
        <w:rPr>
          <w:sz w:val="20"/>
          <w:szCs w:val="20"/>
          <w:color w:val="auto"/>
        </w:rPr>
      </w:pPr>
      <w:r>
        <w:rPr>
          <w:rFonts w:ascii="Arial" w:cs="Arial" w:eastAsia="Arial" w:hAnsi="Arial"/>
          <w:sz w:val="18"/>
          <w:szCs w:val="18"/>
          <w:color w:val="auto"/>
        </w:rPr>
        <w:t>Since our founding, we have devoted substantially all of our resources to identifying and developing ALX148, advancing preclinical programs, scaling up manufacturing, conducting clinical trials and providing general and administrative support for these operations. We have no products approved for marketing and we have never received any revenue from drug product sales.</w:t>
      </w:r>
    </w:p>
    <w:p>
      <w:pPr>
        <w:spacing w:after="0" w:line="184" w:lineRule="exact"/>
        <w:rPr>
          <w:sz w:val="20"/>
          <w:szCs w:val="20"/>
          <w:color w:val="auto"/>
        </w:rPr>
      </w:pPr>
    </w:p>
    <w:p>
      <w:pPr>
        <w:ind w:right="140" w:firstLine="594"/>
        <w:spacing w:after="0" w:line="273" w:lineRule="auto"/>
        <w:rPr>
          <w:sz w:val="20"/>
          <w:szCs w:val="20"/>
          <w:color w:val="auto"/>
        </w:rPr>
      </w:pPr>
      <w:r>
        <w:rPr>
          <w:rFonts w:ascii="Arial" w:cs="Arial" w:eastAsia="Arial" w:hAnsi="Arial"/>
          <w:sz w:val="17"/>
          <w:szCs w:val="17"/>
          <w:color w:val="auto"/>
        </w:rPr>
        <w:t>In July 2020, we consummated our initial public offering, raising net proceeds of $169.5 million, after deducting underwriting discounts and commissions of $13.0 million and offering-related expenses of $3.2 million. In December 2020, we consummated a follow-on public offering, raising net proceeds of $194.9 million, after deducting underwriting discounts and commissions of $12.5 million and offering-related expenses of $0.7 million. From inception through December 31, 2020, we have raised an aggregate of $545.3 million to fund our operations, of which $175.1 million were net proceeds from sales of our convertible preferred stock, $5.8 million were net proceeds from borrowings under a term loan, $169.5 million were net proceeds from our initial public offering and $194.9 million were net proceeds from our follow-on public offering.</w:t>
      </w:r>
    </w:p>
    <w:p>
      <w:pPr>
        <w:spacing w:after="0" w:line="178" w:lineRule="exact"/>
        <w:rPr>
          <w:sz w:val="20"/>
          <w:szCs w:val="20"/>
          <w:color w:val="auto"/>
        </w:rPr>
      </w:pPr>
    </w:p>
    <w:p>
      <w:pPr>
        <w:ind w:right="260" w:firstLine="594"/>
        <w:spacing w:after="0" w:line="259" w:lineRule="auto"/>
        <w:rPr>
          <w:sz w:val="20"/>
          <w:szCs w:val="20"/>
          <w:color w:val="auto"/>
        </w:rPr>
      </w:pPr>
      <w:r>
        <w:rPr>
          <w:rFonts w:ascii="Arial" w:cs="Arial" w:eastAsia="Arial" w:hAnsi="Arial"/>
          <w:sz w:val="18"/>
          <w:szCs w:val="18"/>
          <w:color w:val="auto"/>
        </w:rPr>
        <w:t>We have incurred net losses in each year since inception. Our net losses were $45.7 million, $19.2 million and $13.7 million for the years ended December 31, 2020, 2019 and 2018, respectively. As of December 31, 2020, we had an accumulated deficit of $118.5 million. Substantially all of our operating losses are a result of expenses incurred in connection with our research and development programs, primarily ALX148, and from general and administrative expenses associated with our operations.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0" w:name="page101"/>
    <w:bookmarkEnd w:id="100"/>
    <w:p>
      <w:pPr>
        <w:ind w:right="300" w:firstLine="589"/>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62" w:lineRule="exact"/>
        <w:rPr>
          <w:sz w:val="20"/>
          <w:szCs w:val="20"/>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advance ALX148 through multiple clinical trials in multiple indications;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pursue regulatory approval of ALX148 in hematological malignancies and solid tumors;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our discovery and preclinical and clinical development efforts;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obtain and maintain patent, trade secret and other intellectual property protection and regulatory exclusivity for our product candidates;</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Revenue</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which ceased as of July 1, 2020, as further described in “—License and Collaboration Agreements—Related-Party Agreement” below.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ALX148. We may never succeed in obtaining regulatory approval for any of our product candidates.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Research and development expenses consist primarily of costs incurred for the development of our lead product candidate, ALX148, which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103" w:lineRule="exact"/>
        <w:rPr>
          <w:sz w:val="20"/>
          <w:szCs w:val="20"/>
          <w:color w:val="auto"/>
        </w:rPr>
      </w:pPr>
    </w:p>
    <w:p>
      <w:pPr>
        <w:ind w:left="1160" w:right="40" w:hanging="572"/>
        <w:spacing w:after="0" w:line="277"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incurred in connection with the preclinical and clinical development, including expenses incurred under agreements with contract research organizations, or CROs;</w:t>
      </w:r>
    </w:p>
    <w:p>
      <w:pPr>
        <w:spacing w:after="0" w:line="62"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related to production of clinical materials, including fees paid to contract manufacturing organizations, or CMOs;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preclinical studies and clinical trials; and</w:t>
      </w:r>
    </w:p>
    <w:p>
      <w:pPr>
        <w:spacing w:after="0" w:line="117"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facilities and other expenses, which include expenses for rent and maintenance of facilities, depreciation and amortization expense and other supplies.</w:t>
      </w:r>
    </w:p>
    <w:p>
      <w:pPr>
        <w:spacing w:after="0" w:line="170"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1" w:name="page102"/>
    <w:bookmarkEnd w:id="101"/>
    <w:p>
      <w:pPr>
        <w:ind w:right="20" w:firstLine="589"/>
        <w:spacing w:after="0" w:line="259" w:lineRule="auto"/>
        <w:rPr>
          <w:sz w:val="20"/>
          <w:szCs w:val="20"/>
          <w:color w:val="auto"/>
        </w:rPr>
      </w:pPr>
      <w:r>
        <w:rPr>
          <w:rFonts w:ascii="Arial" w:cs="Arial" w:eastAsia="Arial" w:hAnsi="Arial"/>
          <w:sz w:val="18"/>
          <w:szCs w:val="18"/>
          <w:color w:val="auto"/>
        </w:rPr>
        <w:t>Our research and development expenses consist primarily of costs associated with the development of our lead product candidate ALX148 and include external costs, such as fees paid to consultants, central laboratories, contractors, CMOs and CROs in connection with our preclinical and clinical development activities. We allocate expenses, such as employee salaries, benefits, facilities, travel and other miscellaneous expenses, based on an estimated percentage of time worked on each program.</w:t>
      </w:r>
    </w:p>
    <w:p>
      <w:pPr>
        <w:spacing w:after="0" w:line="18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Almost all of our research and development expenses to date related to the clinical development of our lead product candidate, ALX148. 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services that we contract from Tallac Therapeutics, as further described in “—License and Collaboration Agreements—Related-Party Agreement” below.</w:t>
      </w:r>
    </w:p>
    <w:p>
      <w:pPr>
        <w:spacing w:after="0" w:line="178"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The successful development of our current and future product candidates is highly uncertain. This is due to the numerous risks and uncertainties, including the following:</w:t>
      </w:r>
    </w:p>
    <w:p>
      <w:pPr>
        <w:spacing w:after="0" w:line="62" w:lineRule="exact"/>
        <w:rPr>
          <w:sz w:val="20"/>
          <w:szCs w:val="20"/>
          <w:color w:val="auto"/>
        </w:rPr>
      </w:pPr>
    </w:p>
    <w:p>
      <w:pPr>
        <w:ind w:left="1160" w:hanging="572"/>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7"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delays in regulators or institutional review boards authorizing us or our investigators to commence our clinical trials or in our ability to negotiate agreements with clinical trial sites or CROs;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and location of clinical sites included in the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our product candidates;</w:t>
      </w:r>
    </w:p>
    <w:p>
      <w:pPr>
        <w:spacing w:after="0" w:line="117" w:lineRule="exact"/>
        <w:rPr>
          <w:rFonts w:ascii="Arial" w:cs="Arial" w:eastAsia="Arial" w:hAnsi="Arial"/>
          <w:sz w:val="18"/>
          <w:szCs w:val="18"/>
          <w:color w:val="auto"/>
        </w:rPr>
      </w:pPr>
    </w:p>
    <w:p>
      <w:pPr>
        <w:ind w:left="1160" w:right="740" w:hanging="572"/>
        <w:spacing w:after="0" w:line="277" w:lineRule="auto"/>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obtaining and maintaining patent, trade secret and other intellectual property protection and regulatory exclusivity for our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contracting with third-party manufacturers for clinical supplies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including, if necessary, litigation;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8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20" w:firstLine="589"/>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 Facilities costs consist of rent and maintenance of facilities.</w:t>
      </w:r>
    </w:p>
    <w:p>
      <w:pPr>
        <w:spacing w:after="0" w:line="187"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We anticipate that our general and administrative expenses will continue to increase as a result of increased headcount, expanded infrastructure and higher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for Related-Party Revenue</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We incur costs associated with related-party contract research services including direct labor and associated employee benefits, laboratory supplies and other expenses. These costs are recorded in cost of services for related-party transactions as a component of total operating expenses in the accompanying consolidated statements of operations and comprehensive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interest expense consists primarily of interest expense on the term loan and amortization of deferred debt issuance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Our other expense, net, consists of interest income on cash balances, changes in the fair value of our convertible preferred stock warrant liability and compound derivative liability, gain on assignment of lease, and foreign currency re-measurement and transaction gains and losses. Prior to our initial public offering, the underlying shares of our Series B convertible preferred stock warrants were contingently redeemable, and we accounted for these warrants as a liability at fair value and re-measured the fair value at each balance sheet date. As a result of the completion of our initial public offering, the Series B convertible preferred stock warrant liability was reclassified to stockholders’ equity and re-measurement was no longer required. The compound derivative liability was extinguished upon the extinguishment of the host instrument in December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Debt Extinguishment</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December 2020, we used approximately $6.5 million of the net proceeds from our follow-on public offering to repay the outstanding principal amount of $6.0 million and early extinguish the outstanding Term Loan with SVB and WestRiver. As a result of the early repayment, we recognized a $0.6 million loss on early debt extinguishment, representing the difference between the reacquisition price of debt and the net carrying amount of the loan as of the date of the payoff.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Results of Operations and Net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Years Ended December 31, 2020, 2019 and 2018</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our results of operations for the years ended December 31, 2020, 2019 and 2018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ind w:left="340"/>
              <w:spacing w:after="0"/>
              <w:rPr>
                <w:sz w:val="20"/>
                <w:szCs w:val="20"/>
                <w:color w:val="auto"/>
              </w:rPr>
            </w:pPr>
            <w:r>
              <w:rPr>
                <w:rFonts w:ascii="Arial" w:cs="Arial" w:eastAsia="Arial" w:hAnsi="Arial"/>
                <w:sz w:val="14"/>
                <w:szCs w:val="14"/>
                <w:b w:val="1"/>
                <w:bCs w:val="1"/>
                <w:color w:val="auto"/>
                <w:w w:val="91"/>
              </w:rPr>
              <w:t>2020 vs 2019</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ind w:left="300"/>
              <w:spacing w:after="0"/>
              <w:rPr>
                <w:sz w:val="20"/>
                <w:szCs w:val="20"/>
                <w:color w:val="auto"/>
              </w:rPr>
            </w:pPr>
            <w:r>
              <w:rPr>
                <w:rFonts w:ascii="Arial" w:cs="Arial" w:eastAsia="Arial" w:hAnsi="Arial"/>
                <w:sz w:val="14"/>
                <w:szCs w:val="14"/>
                <w:b w:val="1"/>
                <w:bCs w:val="1"/>
                <w:color w:val="auto"/>
                <w:w w:val="91"/>
              </w:rPr>
              <w:t>2019 vs 2018</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55"/>
        </w:trPr>
        <w:tc>
          <w:tcPr>
            <w:tcW w:w="340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3"/>
                <w:szCs w:val="13"/>
                <w:color w:val="auto"/>
              </w:rPr>
            </w:pPr>
          </w:p>
        </w:tc>
      </w:tr>
      <w:tr>
        <w:trPr>
          <w:trHeight w:val="223"/>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11,496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ind w:left="12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w:t>
            </w: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30"/>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(3,285)</w:t>
            </w:r>
          </w:p>
        </w:tc>
        <w:tc>
          <w:tcPr>
            <w:tcW w:w="3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 %</w:t>
            </w: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20,866</w:t>
            </w:r>
          </w:p>
        </w:tc>
        <w:tc>
          <w:tcPr>
            <w:tcW w:w="2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8,228</w:t>
            </w:r>
          </w:p>
        </w:tc>
        <w:tc>
          <w:tcPr>
            <w:tcW w:w="2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(43,663)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(19,183)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(13,684)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(24,480)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(5,499)</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9"/>
                <w:szCs w:val="19"/>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(399)</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Loss on early debt extinguishment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(621)</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9"/>
                <w:szCs w:val="19"/>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7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(45,499)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(19,209)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(13,686)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(26,290)</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(5,523)</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Income tax provision</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609</w:t>
            </w:r>
          </w:p>
        </w:tc>
        <w:tc>
          <w:tcPr>
            <w:tcW w:w="280" w:type="dxa"/>
            <w:vAlign w:val="bottom"/>
          </w:tcPr>
          <w:p>
            <w:pPr>
              <w:ind w:left="12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7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(45,740)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(19,243)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(13,731)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(26,497)</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(5,512)</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3400" w:type="dxa"/>
            <w:vAlign w:val="bottom"/>
          </w:tcPr>
          <w:p>
            <w:pPr>
              <w:spacing w:after="0"/>
              <w:rPr>
                <w:sz w:val="20"/>
                <w:szCs w:val="20"/>
                <w:color w:val="auto"/>
              </w:rPr>
            </w:pPr>
            <w:r>
              <w:rPr>
                <w:rFonts w:ascii="Arial" w:cs="Arial" w:eastAsia="Arial" w:hAnsi="Arial"/>
                <w:sz w:val="18"/>
                <w:szCs w:val="18"/>
                <w:color w:val="auto"/>
              </w:rPr>
              <w:t>Cumulative dividends allocated to</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preferred stockholders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(5,202)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(4,028)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(1,174)</w:t>
            </w: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ind w:left="12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w:t>
            </w:r>
          </w:p>
        </w:tc>
        <w:tc>
          <w:tcPr>
            <w:tcW w:w="7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r>
      <w:tr>
        <w:trPr>
          <w:trHeight w:val="230"/>
        </w:trPr>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(50,942)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(23,271)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(17,402)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(27,671)</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(5,869)</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meaningful</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Related-party revenue for the years ended December 31, 2020, 2019 and 2018 was $1.2 million, $4.8 million and $2.1 million, respectively, which was generated solely from payments received for reimbursement of research and development expenses pursuant to the Research and Development Services Agreement with Tallac Therapeutics, or the Tollnine Agreement, as further described in Note 10 to our consolidated financial statements appearing elsewhere in this Annual Report on Form 10-K. The decrease of $3.6 million from 2019 to 2020 relates to decreased fee-for-service hours provided to Tallac Therapeutics as a result of winding down the Tollnine Agreement, which was terminated on July 1, 2020. The increase of $2.7 million from 2018 to 2019 relates to increased fee-for-service hours provided to Tallac Therapeutics during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for the years ended December 31, 2020, 2019 and 2018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1"/>
              </w:rPr>
              <w:t>2020 vs 2019</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1"/>
              </w:rPr>
              <w:t>2019 vs 2018</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5"/>
        </w:trPr>
        <w:tc>
          <w:tcPr>
            <w:tcW w:w="4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3"/>
                <w:szCs w:val="13"/>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Clinical and development costs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Personnel and related costs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(1,185)</w:t>
            </w: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Other research and development costs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 %</w:t>
            </w: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11,270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meaningful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4" w:name="page105"/>
    <w:bookmarkEnd w:id="104"/>
    <w:p>
      <w:pPr>
        <w:ind w:right="60" w:firstLine="589"/>
        <w:spacing w:after="0" w:line="293" w:lineRule="auto"/>
        <w:rPr>
          <w:sz w:val="20"/>
          <w:szCs w:val="20"/>
          <w:color w:val="auto"/>
        </w:rPr>
      </w:pPr>
      <w:r>
        <w:rPr>
          <w:rFonts w:ascii="Arial" w:cs="Arial" w:eastAsia="Arial" w:hAnsi="Arial"/>
          <w:sz w:val="16"/>
          <w:szCs w:val="16"/>
          <w:color w:val="auto"/>
        </w:rPr>
        <w:t>Research and development expenses for the year ended December 31, 2020 were $29.0 million, compared to $16.3 million for the year ended December 31, 2019. The increase of $12.7 million was primarily attributable to an increase of $7.7 million in clinical and development costs due to higher expenses associated with increased pre-clinical, clinical and other research costs in advancement of our current lead product candidate, ALX148, as well as an increase of $2.4 million in stock-based compensation expense primarily resulting from additional stock option awards granted in 2020 at higher fair values and the modification of stock option awards for former employees who transferred to Tallac Therapeutics, which increased stock-based compensation expense by $1.3 million. In addition, we incurred increased personnel-related costs of $2.4 million due to higher headcount.</w:t>
      </w:r>
    </w:p>
    <w:p>
      <w:pPr>
        <w:spacing w:after="0" w:line="164"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Research and development expenses for the year ended December 31, 2019 was $16.3 million, compared to $11.3 million for the year ended December 31, 2018. The increase of $5.0 million was primarily due to increases in external research and development expenses related to our lead product candidate, as we significantly increased trial recruitment for our Phase 1 clinical trials for ALX 148 in the year ended December 31,2019. In addition, in the year ended December 31, 2019, we incurred increased costs for additional preclinical studies and CMC manufacturing.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The following table summarizes our general and administrative expenses incurred for the years ended December 31, 2020, 2019 and 2018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1"/>
              </w:rPr>
              <w:t>2020 vs 2019</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1"/>
              </w:rPr>
              <w:t>2019 vs 2018</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34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3"/>
                <w:szCs w:val="13"/>
                <w:color w:val="auto"/>
              </w:rPr>
            </w:pPr>
          </w:p>
        </w:tc>
      </w:tr>
      <w:tr>
        <w:trPr>
          <w:trHeight w:val="223"/>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Personnel and related costs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costs</w:t>
            </w:r>
          </w:p>
        </w:tc>
        <w:tc>
          <w:tcPr>
            <w:tcW w:w="7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4,585</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7"/>
              </w:rPr>
              <w:t>%</w:t>
            </w: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480" w:type="dxa"/>
            <w:vAlign w:val="bottom"/>
          </w:tcPr>
          <w:p>
            <w:pPr>
              <w:spacing w:after="0"/>
              <w:rPr>
                <w:sz w:val="20"/>
                <w:szCs w:val="20"/>
                <w:color w:val="auto"/>
              </w:rPr>
            </w:pPr>
            <w:r>
              <w:rPr>
                <w:rFonts w:ascii="Arial" w:cs="Arial" w:eastAsia="Arial" w:hAnsi="Arial"/>
                <w:sz w:val="18"/>
                <w:szCs w:val="18"/>
                <w:color w:val="auto"/>
              </w:rPr>
              <w:t>Total general and administrative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expenses</w:t>
            </w:r>
          </w:p>
        </w:tc>
        <w:tc>
          <w:tcPr>
            <w:tcW w:w="8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14,809</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3,313</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2,601</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11,496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meaningful</w:t>
      </w:r>
    </w:p>
    <w:p>
      <w:pPr>
        <w:spacing w:after="0" w:line="252" w:lineRule="exact"/>
        <w:rPr>
          <w:sz w:val="20"/>
          <w:szCs w:val="20"/>
          <w:color w:val="auto"/>
        </w:rPr>
      </w:pPr>
    </w:p>
    <w:p>
      <w:pPr>
        <w:ind w:right="400" w:firstLine="589"/>
        <w:spacing w:after="0" w:line="273" w:lineRule="auto"/>
        <w:rPr>
          <w:sz w:val="20"/>
          <w:szCs w:val="20"/>
          <w:color w:val="auto"/>
        </w:rPr>
      </w:pPr>
      <w:r>
        <w:rPr>
          <w:rFonts w:ascii="Arial" w:cs="Arial" w:eastAsia="Arial" w:hAnsi="Arial"/>
          <w:sz w:val="17"/>
          <w:szCs w:val="17"/>
          <w:color w:val="auto"/>
        </w:rPr>
        <w:t>General and administrative expenses for the year ended December 31, 2020 were $14.8 million, compared to $3.3 million for the year ended December 31, 2019. The increase of $11.5 million was primarily attributable to an increase in personnel-related costs of $4.1 million due to higher headcount, an increase in stock-based compensation expense of $2.9 million, which consists of $0.4 million related to the modification of stock option awards for former employees as well as additional stock option awards granted in 2020 at higher fair values, and an increase in other general and administrative costs of $4.6 million, which includes higher professional service fees of $2.8 million associated with increased accounting, legal and recruiting activities, as well as $1.0 million of directors and officers liability insurance premium.</w:t>
      </w:r>
    </w:p>
    <w:p>
      <w:pPr>
        <w:spacing w:after="0" w:line="178"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General and administrative expenses for the year ended December 31, 2019 was $3.3 million, compared to $2.6 million during the year ended December 31, 2018. This increase of $0.7 million was due to increased administrative costs supporting the increased activities in connection with our Phase 1 clinical trials for ALX 148, resulting in increased other general and administrative expenses of $0.6 million, which included increases in business development activities, legal, accounting and audit services, as well as increased personnel-related costs of $0.1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 for Related-Party Revenue</w:t>
      </w:r>
    </w:p>
    <w:p>
      <w:pPr>
        <w:spacing w:after="0" w:line="11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Cost of services for related-party revenue for the years ended December 31, 2020, 2019 and 2018 was $1.1 million, $4.4 million and $1.9 million, respectively. The decrease of $3.3 million from 2019 to 2020 was attributable to decreased fee-for-service hours provided to Tallac Therapeutics as a result of winding down the Tollnine Agreement, which was terminated on July 1, 2020. The increase of $2.5 million from 2018 to 2019 was attributable to an increase in services rendered to Tallac Therapeutics.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color w:val="auto"/>
        </w:rPr>
        <w:t>Loss on Early Debt Extinguishment</w:t>
      </w:r>
    </w:p>
    <w:p>
      <w:pPr>
        <w:spacing w:after="0" w:line="117"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For the year-ended December 31, 2020 we recognized a $0.6 million loss on early debt extinguishment, representing the difference between the reacquisition price of debt and the net carrying amount of the loan as of the date of the payoff.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Through December 31, 2020, we have received net proceeds from sales of our convertible preferred stock, borrowings under our term loan, our initial public offering and our follow-on public offering of $175.1 million, $5.8 million, $169.5 million and $194.9 million, respectively. As of December 31, 2020, we had cash and cash equivalents of $434.2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w:t>
      </w:r>
    </w:p>
    <w:p>
      <w:pPr>
        <w:spacing w:after="0" w:line="225"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In December 2020, we used approximately $6.5 million of the net proceeds from our follow-on public offering to repay the outstanding principal amount of $6.0 million and early extinguish the outstanding Term Loan with SVB and WestRiver. As a result, we recognized a $0.6 million loss on early debt extinguishment, representing the difference between the reacquisition price of debt and the net carrying amount of the loan as of the date of the payoff.</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We have incurred losses and negative cash flows from operations since inception and anticipate that we will continue to incur net losses for the foreseeable future. As of December 31, 2020, we had an accumulated deficit of $118.5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84" w:lineRule="exact"/>
        <w:rPr>
          <w:sz w:val="20"/>
          <w:szCs w:val="20"/>
          <w:color w:val="auto"/>
        </w:rPr>
      </w:pPr>
    </w:p>
    <w:p>
      <w:pPr>
        <w:ind w:left="1160" w:hanging="572"/>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17" w:lineRule="exact"/>
        <w:rPr>
          <w:rFonts w:ascii="Arial" w:cs="Arial" w:eastAsia="Arial" w:hAnsi="Arial"/>
          <w:sz w:val="18"/>
          <w:szCs w:val="18"/>
          <w:color w:val="auto"/>
        </w:rPr>
      </w:pPr>
    </w:p>
    <w:p>
      <w:pPr>
        <w:ind w:left="1160" w:right="580" w:hanging="572"/>
        <w:spacing w:after="0" w:line="277"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establish agreements with third-party manufacturers for clinical supply for our clinical trials and, if any of our product candidates are approved, commercial manufacturing;</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addition and retention of key research and development personnel;</w:t>
      </w:r>
    </w:p>
    <w:p>
      <w:pPr>
        <w:spacing w:after="0" w:line="117"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efforts to enhance operational, financial and information management systems, and hire additional personnel, including personnel to support development of our product candidates;</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legal patent costs involved in prosecuting patent applications and enforcing patent claims and other intellectual property claims;</w:t>
      </w:r>
    </w:p>
    <w:p>
      <w:pPr>
        <w:spacing w:after="0" w:line="128" w:lineRule="exact"/>
        <w:rPr>
          <w:rFonts w:ascii="Arial" w:cs="Arial" w:eastAsia="Arial" w:hAnsi="Arial"/>
          <w:sz w:val="17"/>
          <w:szCs w:val="17"/>
          <w:color w:val="auto"/>
        </w:rPr>
      </w:pPr>
    </w:p>
    <w:p>
      <w:pPr>
        <w:ind w:left="1160" w:right="520" w:hanging="572"/>
        <w:spacing w:after="0" w:line="277"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and royalty payments thereunder;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6" w:name="page107"/>
    <w:bookmarkEnd w:id="106"/>
    <w:p>
      <w:pPr>
        <w:ind w:left="1160" w:hanging="572"/>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25"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86"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18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spacing w:after="0" w:line="187" w:lineRule="exact"/>
        <w:rPr>
          <w:sz w:val="20"/>
          <w:szCs w:val="20"/>
          <w:color w:val="auto"/>
        </w:rPr>
      </w:pPr>
    </w:p>
    <w:p>
      <w:pPr>
        <w:jc w:val="both"/>
        <w:ind w:right="400" w:firstLine="589"/>
        <w:spacing w:after="0" w:line="263" w:lineRule="auto"/>
        <w:rPr>
          <w:sz w:val="20"/>
          <w:szCs w:val="20"/>
          <w:color w:val="auto"/>
        </w:rPr>
      </w:pPr>
      <w:r>
        <w:rPr>
          <w:rFonts w:ascii="Arial" w:cs="Arial" w:eastAsia="Arial" w:hAnsi="Arial"/>
          <w:sz w:val="18"/>
          <w:szCs w:val="18"/>
          <w:color w:val="auto"/>
        </w:rPr>
        <w:t>We believe our existing cash and cash equivalents will enable us to fund our operating expenses and capital expenditure requirements through 2024. We have based these estimates on assumptions that may prove to be wrong, and we could utilize our available capital resources sooner than we expect.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the net cash flow activity for the years ended December 31, 2020, 2019 and 2018:</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left="496"/>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4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Operating activities</w:t>
            </w:r>
          </w:p>
        </w:tc>
        <w:tc>
          <w:tcPr>
            <w:tcW w:w="10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(38,289)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(14,249)</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(13,190)</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(653)</w:t>
            </w: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462,881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425,202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In the year ended December 31, 2020, cash used in operating activities of $38.3 million was attributable to a net loss of $45.7 million and a net change of $0.2 million in our net operating assets and liabilities, partially offset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7" w:name="page108"/>
    <w:bookmarkEnd w:id="107"/>
    <w:p>
      <w:pPr>
        <w:spacing w:after="0" w:line="273" w:lineRule="auto"/>
        <w:rPr>
          <w:sz w:val="20"/>
          <w:szCs w:val="20"/>
          <w:color w:val="auto"/>
        </w:rPr>
      </w:pPr>
      <w:r>
        <w:rPr>
          <w:rFonts w:ascii="Arial" w:cs="Arial" w:eastAsia="Arial" w:hAnsi="Arial"/>
          <w:sz w:val="17"/>
          <w:szCs w:val="17"/>
          <w:color w:val="auto"/>
        </w:rPr>
        <w:t>by $7.2 million in non-cash charges. The non-cash charges consisted of stock-based compensation expense of $5.4 million, change in fair value of Series B convertible preferred stock warrant liability and term loan compound derivative of $0.7 million, a loss on debt extinguishment of $0.6 million, amortization of term loan discount and issuance costs of $0.4 million, and depreciation and amortization of $0.2 million, partially offset by a gain on assignment of lease of $0.1 million. The change in operating assets and liabilities was primarily due to a $3.7 million decrease in accounts payable and $1.5 million increase in prepaid expenses and other current assets, partially offset by a $5.0 million increase in accrued expenses and other current liabilities, which was primarily due to timing of cash payments for clinical-related activities.</w:t>
      </w:r>
    </w:p>
    <w:p>
      <w:pPr>
        <w:spacing w:after="0" w:line="178"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In the year ended December 31, 2019, cash used in operating activities of $14.2 million was attributable to a net loss of $19.2 million and a net change of $4.3 million in our net operating assets and liabilities, partially offset by $0.7 million in non-cash charges. The non-cash charges primarily consisted of stock-based compensation expense of $0.3 million and depreciation and amortization expense of $0.4 million. The change in operating assets and liabilities was primarily due to a $3.0 million increase in accounts payable, a $0.7 million decrease in prepaid expenses and other current assets and a $0.4 million decrease in receivables due from a related-party. The increase in accounts payable is primarily due to the timing of cash payments and increased activities to support overall business growth.</w:t>
      </w:r>
    </w:p>
    <w:p>
      <w:pPr>
        <w:spacing w:after="0" w:line="19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the year ended December 31, 2018, cash used in operating activities of $13.2 million was attributable to a net loss of $13.7 million partially offset by $0.7 million in non-cash charges and a net change of $0.2 million in our net operating assets and liabilities. The non-cash charges consisted of stock-based compensation expense of $0.3 million and depreciation and amortization expense of $0.4 million. The change in operating assets and liabilities was primarily due to a $0.9 million increase in receivables due from a related-party and $0.3 million decrease in accounts payable. This was partially offset by a $0.9 million decrease in prepaid expenses and other current assets resulting from the timing of prepayments made for research and development activities.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In the year ended December 31, 2020, cash provided by investing activities of $0.6 million was primarily related to proceeds from the sale of certain lab equipment and other assets.</w:t>
      </w:r>
    </w:p>
    <w:p>
      <w:pPr>
        <w:spacing w:after="0" w:line="170"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In the year ended December 31, 2019, cash used in investing activities of $0.4 million was related to capital expenditures on the purchase of property and equipment.</w:t>
      </w:r>
    </w:p>
    <w:p>
      <w:pPr>
        <w:spacing w:after="0" w:line="170"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In the year ended December 31, 2018, cash used in investing activities of $0.7 million was related to capital expenditures on the purchase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the year ended December 31, 2020, cash provided by financing activities was $462.9 million, primarily from the net proceeds from our common stock offerings of $368.3 million, the net proceeds from the sale and issuance of Series C convertible preferred stock of $104.7 million and the proceeds from exercise of common stock options under equity incentive plans of $0.3 million. These cash inflows were partially offset by payments for early debt extinguishment of $6.5 million and payments of offering costs of $3.8 million.</w:t>
      </w:r>
    </w:p>
    <w:p>
      <w:pPr>
        <w:spacing w:after="0" w:line="187" w:lineRule="exact"/>
        <w:rPr>
          <w:sz w:val="20"/>
          <w:szCs w:val="20"/>
          <w:color w:val="auto"/>
        </w:rPr>
      </w:pPr>
    </w:p>
    <w:p>
      <w:pPr>
        <w:ind w:right="200" w:firstLine="589"/>
        <w:spacing w:after="0" w:line="342" w:lineRule="auto"/>
        <w:rPr>
          <w:sz w:val="20"/>
          <w:szCs w:val="20"/>
          <w:color w:val="auto"/>
        </w:rPr>
      </w:pPr>
      <w:r>
        <w:rPr>
          <w:rFonts w:ascii="Arial" w:cs="Arial" w:eastAsia="Arial" w:hAnsi="Arial"/>
          <w:sz w:val="16"/>
          <w:szCs w:val="16"/>
          <w:color w:val="auto"/>
        </w:rPr>
        <w:t>In the year ended December 31, 2019, cash provided by financing activities of $15.4 million was related to net proceeds of $9.4 million from the issuance of Series B convertible preferred shares and $5.9 million from the net proceeds from a term loan entered into in December 2019.</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the year ended December 31, 2018, cash provided by financing activities was nominal.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firstLine="589"/>
        <w:spacing w:after="0" w:line="308" w:lineRule="auto"/>
        <w:rPr>
          <w:sz w:val="20"/>
          <w:szCs w:val="20"/>
          <w:color w:val="auto"/>
        </w:rPr>
      </w:pPr>
      <w:r>
        <w:rPr>
          <w:rFonts w:ascii="Arial" w:cs="Arial" w:eastAsia="Arial" w:hAnsi="Arial"/>
          <w:sz w:val="17"/>
          <w:szCs w:val="17"/>
          <w:color w:val="auto"/>
        </w:rPr>
        <w:t>We have contractual obligations from our operating lease, manufacturing and service contracts and other research and development activities. The following table aggregates our material expected contractual obligations and commitments as of December 31, 2020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gridSpan w:val="4"/>
          </w:tcPr>
          <w:p>
            <w:pPr>
              <w:ind w:left="140"/>
              <w:spacing w:after="0"/>
              <w:rPr>
                <w:sz w:val="20"/>
                <w:szCs w:val="20"/>
                <w:color w:val="auto"/>
              </w:rPr>
            </w:pPr>
            <w:r>
              <w:rPr>
                <w:rFonts w:ascii="Arial" w:cs="Arial" w:eastAsia="Arial" w:hAnsi="Arial"/>
                <w:sz w:val="14"/>
                <w:szCs w:val="14"/>
                <w:b w:val="1"/>
                <w:bCs w:val="1"/>
                <w:color w:val="auto"/>
                <w:w w:val="96"/>
              </w:rPr>
              <w:t>December 31, 2020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156"/>
        </w:trPr>
        <w:tc>
          <w:tcPr>
            <w:tcW w:w="5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6"/>
              </w:rPr>
              <w:t>2022 - 2023</w:t>
            </w: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3"/>
              </w:rPr>
              <w:t>2024 - 2025</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 xml:space="preserve">Manufacturing and service contracts </w:t>
            </w:r>
            <w:r>
              <w:rPr>
                <w:rFonts w:ascii="Arial" w:cs="Arial" w:eastAsia="Arial" w:hAnsi="Arial"/>
                <w:sz w:val="15"/>
                <w:szCs w:val="15"/>
                <w:color w:val="auto"/>
              </w:rPr>
              <w:t>(2)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6,292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Payments due for the office space in Burlingame, California under a single operating sub-lease agreement that expires in 2023.</w:t>
      </w:r>
    </w:p>
    <w:p>
      <w:pPr>
        <w:spacing w:after="0" w:line="23" w:lineRule="exact"/>
        <w:rPr>
          <w:rFonts w:ascii="Arial" w:cs="Arial" w:eastAsia="Arial" w:hAnsi="Arial"/>
          <w:sz w:val="18"/>
          <w:szCs w:val="18"/>
          <w:i w:val="1"/>
          <w:iCs w:val="1"/>
          <w:color w:val="auto"/>
        </w:rPr>
      </w:pPr>
    </w:p>
    <w:p>
      <w:pPr>
        <w:ind w:left="580" w:right="20" w:hanging="572"/>
        <w:spacing w:after="0" w:line="290" w:lineRule="auto"/>
        <w:tabs>
          <w:tab w:leader="none" w:pos="58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In November 2015, we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us to certain purchase obligations of approximately $9.9 million. In addition, we have commitments with a second drug product manufacturer that commits us to certain purchase obligations of approximately $0.4 million. These amounts are based on non-cancellable commitments and forecasts that include estimates of future market demand, quantity discounts and manufacturing efficiencies that may impact timing of purchases.</w:t>
      </w:r>
    </w:p>
    <w:p>
      <w:pPr>
        <w:spacing w:after="0" w:line="164"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(Equity) Agreement with The Board of Trustees of the Leland Stanford Junior University</w:t>
      </w:r>
    </w:p>
    <w:p>
      <w:pPr>
        <w:spacing w:after="0" w:line="117"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In March 2015, we entered into the Stanford Agreement with the Board of Trustees of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7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common stock.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December 31, 2020.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9" w:name="page110"/>
    <w:bookmarkEnd w:id="109"/>
    <w:p>
      <w:pPr>
        <w:ind w:right="120" w:firstLine="589"/>
        <w:spacing w:after="0" w:line="296" w:lineRule="auto"/>
        <w:rPr>
          <w:sz w:val="20"/>
          <w:szCs w:val="20"/>
          <w:color w:val="auto"/>
        </w:rPr>
      </w:pPr>
      <w:r>
        <w:rPr>
          <w:rFonts w:ascii="Arial" w:cs="Arial" w:eastAsia="Arial" w:hAnsi="Arial"/>
          <w:sz w:val="16"/>
          <w:szCs w:val="16"/>
          <w:color w:val="auto"/>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License Agreement with Selexis SA</w:t>
      </w:r>
    </w:p>
    <w:p>
      <w:pPr>
        <w:spacing w:after="0" w:line="117"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In June 2016, we entered into a license agreement with Selexis SA, or Selexis, under which we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88"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In consideration for the rights granted to us under the agreement, we paid Selexis a nominal one-time fee and will pay Selexis an annual maintenance fee. We also agreed to pay Selexis milestone payments up to an aggregate of 1.2 million Swiss Francs in respect of all licensed products developed and/or commercialized under the grant, that successfully satisfies certain milestone events. We also agreed to pay Selexis a flat royalty of a very low single-digit percentage on net sales made by us, our affiliates and our sublicensees of products. This royalty obligation, on a product-by-product and country-by-country basis, shall terminate and become fully paid-up upon the passing of ten years after the first commercial sale of the product in such country or our exercise of the royalty buyout option, exercisable at any time prior to the first commercial sale of a licensed product.</w:t>
      </w:r>
    </w:p>
    <w:p>
      <w:pPr>
        <w:spacing w:after="0" w:line="164"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We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Our obligations to make payments that are accrued or accruable will survive any termination of the agreement, and in certain circumstances the licenses granted under the agreement will terminate unless they have become fully paid up as described in the previous paragraph.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Antibody Agreement with Crystal Bioscience, Inc. (Now a Subsidiary of Ligand Pharmaceuticals Incorporated)</w:t>
      </w:r>
    </w:p>
    <w:p>
      <w:pPr>
        <w:spacing w:after="0" w:line="11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In March 2017, we entered into an agreement with Crystal Bioscience, Inc. (now a subsidiary of Ligand Pharmaceuticals Incorporated), or Crystal, under which we obtained an assignment of certain patents, covering certain SIRPα antibodies. Under this agreement, we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71" w:lineRule="exact"/>
        <w:rPr>
          <w:sz w:val="20"/>
          <w:szCs w:val="20"/>
          <w:color w:val="auto"/>
        </w:rPr>
      </w:pPr>
    </w:p>
    <w:p>
      <w:pPr>
        <w:ind w:right="20" w:firstLine="594"/>
        <w:spacing w:after="0" w:line="273" w:lineRule="auto"/>
        <w:rPr>
          <w:sz w:val="20"/>
          <w:szCs w:val="20"/>
          <w:color w:val="auto"/>
        </w:rPr>
      </w:pPr>
      <w:r>
        <w:rPr>
          <w:rFonts w:ascii="Arial" w:cs="Arial" w:eastAsia="Arial" w:hAnsi="Arial"/>
          <w:sz w:val="17"/>
          <w:szCs w:val="17"/>
          <w:color w:val="auto"/>
        </w:rPr>
        <w:t>In consideration for the rights granted to us under the agreement, we agreed to pay Crystal milestone payments up to $11.1 million in respect of all licensed products developed under the assigned patents, that successfully satisfy certain clinical and regulatory milestones, each milestone being paid only once for all products. We also agreed to pay Crystal tiered royalties on net sales of licensed products made by us, our affiliates and our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78" w:lineRule="exact"/>
        <w:rPr>
          <w:sz w:val="20"/>
          <w:szCs w:val="20"/>
          <w:color w:val="auto"/>
        </w:rPr>
      </w:pPr>
    </w:p>
    <w:p>
      <w:pPr>
        <w:ind w:right="520" w:firstLine="594"/>
        <w:spacing w:after="0" w:line="277" w:lineRule="auto"/>
        <w:rPr>
          <w:sz w:val="20"/>
          <w:szCs w:val="20"/>
          <w:color w:val="auto"/>
        </w:rPr>
      </w:pPr>
      <w:r>
        <w:rPr>
          <w:rFonts w:ascii="Arial" w:cs="Arial" w:eastAsia="Arial" w:hAnsi="Arial"/>
          <w:sz w:val="18"/>
          <w:szCs w:val="18"/>
          <w:color w:val="auto"/>
        </w:rPr>
        <w:t>We agreed to use commercially reasonable efforts to develop and commercialize licensed products, including meeting defined development milestones by certain specified dates.</w:t>
      </w:r>
    </w:p>
    <w:p>
      <w:pPr>
        <w:spacing w:after="0" w:line="170"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10" w:name="page111"/>
    <w:bookmarkEnd w:id="110"/>
    <w:p>
      <w:pPr>
        <w:ind w:right="680"/>
        <w:spacing w:after="0" w:line="277" w:lineRule="auto"/>
        <w:rPr>
          <w:sz w:val="20"/>
          <w:szCs w:val="20"/>
          <w:color w:val="auto"/>
        </w:rPr>
      </w:pPr>
      <w:r>
        <w:rPr>
          <w:rFonts w:ascii="Arial" w:cs="Arial" w:eastAsia="Arial" w:hAnsi="Arial"/>
          <w:sz w:val="18"/>
          <w:szCs w:val="18"/>
          <w:color w:val="auto"/>
        </w:rPr>
        <w:t>such breach). Our obligations to pay royalties and milestone payments which accrued pre-termination or accrue post- termination will survive any termination.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Agreement</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In June 2018, we entered into the Tollnine Agreement with Tallac Therapeutics, a related-party, to provide research and development services to Tallac Therapeutics. From June 2018 to April 2020, our Chief Executive Officer was also the Chief Executive Officer of Tallac Therapeutics and currently two of our investors are also investors in Tallac Therapeutics. In April 2020, Dr. Hong Wan, our former Chief Scientific Officer, replaced our Chief Executive Officer to become the Chief Executive Officer of Tallac Therapeutics. As such, Tallac Therapeutics was deemed to be a related-party. The services under the Tollnine Agreement were provided at a price based on the costs incurred by us plus a mark-up equal to 10.0% of such costs. We recognized revenue when Tallac Therapeutics, as our customer, obtained control of promised goods or services, in an amount that reflects the consideration which we expect to receive in exchange for those goods or services.</w:t>
      </w:r>
    </w:p>
    <w:p>
      <w:pPr>
        <w:spacing w:after="0" w:line="177"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For the years ended December 31, 2020, 2019 and 2018, we recognized related-party revenues of $1.2 million, $4.8 million and $2.1 million, respectively, under the Tollnine Agreement.</w:t>
      </w:r>
    </w:p>
    <w:p>
      <w:pPr>
        <w:spacing w:after="0" w:line="170"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As of December 31, 2020, 2019 and 2018, we had outstanding related-party receivables from Tallac Therapeutics of zero, $0.5 million and $0.9 million, respectively.</w:t>
      </w:r>
    </w:p>
    <w:p>
      <w:pPr>
        <w:spacing w:after="0" w:line="170"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Effective as of July 1, 2020, we terminated the Tollnine Agreement and entered into the Tallac Services Agreement with Tallac Therapeutics, pursuant to which Tallac Therapeutics will provide certain research and development services to us. The Tallac Services Agreement has an initial term of four years, to be automatically renewed for additional one-year terms unless terminated by either party. The services are to be provided at a price based on the costs incurred by Tallac Therapeutics plus a mark-up equal to 10.0% of such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During the period presented, we did not have, nor do we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financial statements, which have been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165"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elsewhere in this Annual Report on Form 10-K, we believe that the following accounting policies related to accrued expenses and equity-based compensation are most critical to understanding and evaluating our reported financial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and Manufacturing Accruals</w:t>
      </w:r>
    </w:p>
    <w:p>
      <w:pPr>
        <w:spacing w:after="0" w:line="117"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We record accruals for estimated costs of research, preclinical studies and clinical trials, and manufacturing development, which are a significant component of research and development expenses. A substantial portion of our ongoing research and development activities are conducted by third-party service providers, including CROs and contract manufacturing organizations, or CMOs. Our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11" w:name="page112"/>
    <w:bookmarkEnd w:id="111"/>
    <w:p>
      <w:pPr>
        <w:spacing w:after="0" w:line="259" w:lineRule="auto"/>
        <w:rPr>
          <w:sz w:val="20"/>
          <w:szCs w:val="20"/>
          <w:color w:val="auto"/>
        </w:rPr>
      </w:pPr>
      <w:r>
        <w:rPr>
          <w:rFonts w:ascii="Arial" w:cs="Arial" w:eastAsia="Arial" w:hAnsi="Arial"/>
          <w:sz w:val="18"/>
          <w:szCs w:val="18"/>
          <w:color w:val="auto"/>
        </w:rPr>
        <w:t>result in payment flows that do not match the periods over which materials or services are provided to us under such contracts. We accrue the costs incurred under agreements with these third parties based on estimates of actual work completed in accordance with the respective agreements. We determine the estimated costs through discussions with internal personnel and external service providers as to the progress or stage of completion of the services and the agreed-upon fees to be paid for such services.</w:t>
      </w:r>
    </w:p>
    <w:p>
      <w:pPr>
        <w:spacing w:after="0" w:line="79"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We make significant judgments and estimates in determining the accrual balance at the end of each reporting period.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our reporting amounts that are too high or too low in any particular period. To assist in its estimates we rely upon the receipt of timely and accurate reporting from our clinical and non-clinical studies and other third-party vendors. Through December 31, 2020, there have been no material differences from our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our estimates, resulting in adjustments to clinical trial expense in future periods. Changes in these estimates that result in material changes to our accruals could materially affect its financial position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Stock-based compensation expense represents the grant-date fair value of awards recognized over the requisite service period of the awards (usually the vesting period) on a straight-line basis. For stock options and shares purchased under our Employee Stock Purchase Plan, or ESPP, we estimate the grant-date fair value, and the resulting stock-based compensation expense, using the Black-Scholes option-pricing model.</w:t>
      </w:r>
    </w:p>
    <w:p>
      <w:pPr>
        <w:spacing w:after="0" w:line="57"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The Black-Scholes option-pricing model requires the derivation and use of subjective assumptions to determine the estimated fair value of stock option awards. These assumptions include:</w:t>
      </w:r>
    </w:p>
    <w:p>
      <w:pPr>
        <w:spacing w:after="0" w:line="62" w:lineRule="exact"/>
        <w:rPr>
          <w:sz w:val="20"/>
          <w:szCs w:val="20"/>
          <w:color w:val="auto"/>
        </w:rPr>
      </w:pPr>
    </w:p>
    <w:p>
      <w:pPr>
        <w:ind w:left="1460" w:right="60" w:hanging="440"/>
        <w:spacing w:after="0" w:line="287" w:lineRule="auto"/>
        <w:tabs>
          <w:tab w:leader="none" w:pos="1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Expected Term—We have concluded that our stock option exercise history does not provide a reasonable basis upon which to estimate expected term, and therefore we use the simplified method for estimating the expected term of stock option grants. Under this approach, the weighted-average expected term is presumed to be the average of the vesting term and the contractual term of the option.</w:t>
      </w:r>
    </w:p>
    <w:p>
      <w:pPr>
        <w:spacing w:after="0" w:line="2" w:lineRule="exact"/>
        <w:rPr>
          <w:rFonts w:ascii="Arial" w:cs="Arial" w:eastAsia="Arial" w:hAnsi="Arial"/>
          <w:sz w:val="16"/>
          <w:szCs w:val="16"/>
          <w:color w:val="auto"/>
        </w:rPr>
      </w:pPr>
    </w:p>
    <w:p>
      <w:pPr>
        <w:ind w:left="1460" w:right="100" w:hanging="440"/>
        <w:spacing w:after="0" w:line="250" w:lineRule="auto"/>
        <w:tabs>
          <w:tab w:leader="none" w:pos="1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Expected Volatility—Since we do not have significant trading history for our common stock, the expected volatility is estimated based on the average volatility for comparable publicly traded biopharmaceutical companies over a period equal to the expected term of the stock option grants. The comparable companies were chosen based on their similar size, stage in the life cycle or area of specialty. We will continue to use comparable company information until the historical volatility of our common stock is sufficient to measure expected volatility for future option grants.</w:t>
      </w:r>
    </w:p>
    <w:p>
      <w:pPr>
        <w:spacing w:after="0" w:line="1" w:lineRule="exact"/>
        <w:rPr>
          <w:rFonts w:ascii="Arial" w:cs="Arial" w:eastAsia="Arial" w:hAnsi="Arial"/>
          <w:sz w:val="18"/>
          <w:szCs w:val="18"/>
          <w:color w:val="auto"/>
        </w:rPr>
      </w:pPr>
    </w:p>
    <w:p>
      <w:pPr>
        <w:ind w:left="1460" w:right="260" w:hanging="440"/>
        <w:spacing w:after="0" w:line="250" w:lineRule="auto"/>
        <w:tabs>
          <w:tab w:leader="none" w:pos="1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Treasury zero coupon issues in effect at the time of grant for periods corresponding with the expected term of the award.</w:t>
      </w:r>
    </w:p>
    <w:p>
      <w:pPr>
        <w:ind w:left="1460" w:right="160" w:hanging="440"/>
        <w:spacing w:after="0" w:line="260" w:lineRule="auto"/>
        <w:tabs>
          <w:tab w:leader="none" w:pos="1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Dividend Yield—We have not paid dividends on our common stock and do not anticipate paying dividends for the foreseeable future, and we therefore used an expected dividend yield of zero.</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to the Black-Scholes assumptions, we include the effect of forfeitures as they occur.</w:t>
      </w:r>
    </w:p>
    <w:p>
      <w:pPr>
        <w:spacing w:after="0" w:line="117"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We expect the impact of our stock-based compensation expense to grow in future periods due to the potential increases in the value of our common stock and the number of awards we expect to grant.</w:t>
      </w:r>
    </w:p>
    <w:p>
      <w:pPr>
        <w:spacing w:after="0" w:line="62"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We issue incentive and non-statutory stock options and under the 2020 Amended and Restated Equity Incentive Plan, or 2020 Plan, to certain directors, officers, employees and consultants in consideration for services provided to us. To date, all incentive stock options have provided for vesting over a four year period from either the date of grant or the commencement of service. To date, all non-statutory stock options have provided for vesting over periods ranging from one to four years from either the date of grant or commencement of service. To date, all non-statutory stock options have been granted to directors and vest over a three year period from the award's date of grant, or the date of the Company’s next annual meeting of stockholders that occurs following the date of grant. The 2020 Plan does not allow the option holders to exercise their options prior to vesting.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2" w:name="page113"/>
    <w:bookmarkEnd w:id="112"/>
    <w:p>
      <w:pPr>
        <w:ind w:firstLine="589"/>
        <w:spacing w:after="0" w:line="293" w:lineRule="auto"/>
        <w:rPr>
          <w:sz w:val="20"/>
          <w:szCs w:val="20"/>
          <w:color w:val="auto"/>
        </w:rPr>
      </w:pPr>
      <w:r>
        <w:rPr>
          <w:rFonts w:ascii="Arial" w:cs="Arial" w:eastAsia="Arial" w:hAnsi="Arial"/>
          <w:sz w:val="16"/>
          <w:szCs w:val="16"/>
          <w:color w:val="auto"/>
        </w:rPr>
        <w:t xml:space="preserve">Prior to our initial public offering, the fair value of the common stock underlying our stock-based awards was determined on each grant date by our board of directors, with input from management, considering our most recently available third-party valuation of common shares. In the absence of a public trading market for our common stock, our board of directors made a reasonable determination of the fair value of our common stock based on the information known to us on the date of grant, upon a review of any recent events and their potential impact on the estimated fair value per share of the common stock, and timely valuations from an independent third-party valuation in accordance with guidance provided by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or Practice Aid.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See “Note 2. Significant Accounting Policies” of the Notes to Consolidated Financial Statements in “Item 8. Financial Statements and Supplementary Data” for a full description of recent accounting pronouncements, including the respective expected dates of adoption and estimated effects, if any, on our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As of December 31, 2020, we had cash and cash equivalents of $434.2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 To date, we have not experienced a loss of principal on any of our cash equivalents and as of December 31, 2020, we did not record any allowance for credit loss from our cash equivalents.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Institution Risk</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December 31, 2020, we had $434.0 million in excess of this insured limit.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10.0% increase or decrease in current exchange rates would not have a material effect on our financial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910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16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40" w:type="dxa"/>
            <w:vAlign w:val="bottom"/>
            <w:gridSpan w:val="4"/>
          </w:tcPr>
          <w:p>
            <w:pPr>
              <w:ind w:left="860"/>
              <w:spacing w:after="0"/>
              <w:rPr>
                <w:sz w:val="20"/>
                <w:szCs w:val="20"/>
                <w:color w:val="auto"/>
              </w:rPr>
            </w:pPr>
            <w:r>
              <w:rPr>
                <w:rFonts w:ascii="Arial" w:cs="Arial" w:eastAsia="Arial" w:hAnsi="Arial"/>
                <w:sz w:val="18"/>
                <w:szCs w:val="18"/>
                <w:b w:val="1"/>
                <w:bCs w:val="1"/>
                <w:color w:val="auto"/>
              </w:rPr>
              <w:t>INDEX TO FINANCIAL STATEMENTS</w:t>
            </w:r>
          </w:p>
        </w:tc>
        <w:tc>
          <w:tcPr>
            <w:tcW w:w="2160" w:type="dxa"/>
            <w:vAlign w:val="bottom"/>
          </w:tcPr>
          <w:p>
            <w:pPr>
              <w:spacing w:after="0"/>
              <w:rPr>
                <w:sz w:val="24"/>
                <w:szCs w:val="24"/>
                <w:color w:val="auto"/>
              </w:rPr>
            </w:pPr>
          </w:p>
        </w:tc>
      </w:tr>
      <w:tr>
        <w:trPr>
          <w:trHeight w:val="405"/>
        </w:trPr>
        <w:tc>
          <w:tcPr>
            <w:tcW w:w="9100" w:type="dxa"/>
            <w:vAlign w:val="bottom"/>
            <w:gridSpan w:val="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Report of Independent Registered Public Accounting Firm</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45"/>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16">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24"/>
                <w:szCs w:val="24"/>
                <w:color w:val="auto"/>
              </w:rPr>
            </w:pPr>
          </w:p>
        </w:tc>
        <w:tc>
          <w:tcPr>
            <w:tcW w:w="4880" w:type="dxa"/>
            <w:vAlign w:val="bottom"/>
            <w:gridSpan w:val="3"/>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44"/>
        </w:trPr>
        <w:tc>
          <w:tcPr>
            <w:tcW w:w="54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17">
              <w:r>
                <w:rPr>
                  <w:rFonts w:ascii="Arial" w:cs="Arial" w:eastAsia="Arial" w:hAnsi="Arial"/>
                  <w:sz w:val="18"/>
                  <w:szCs w:val="18"/>
                  <w:color w:val="0000EE"/>
                  <w:w w:val="89"/>
                </w:rPr>
                <w:t>Consolidated Statements of Comprehensive Loss and Comprehensive Loss</w:t>
              </w:r>
            </w:hyperlink>
          </w:p>
        </w:tc>
        <w:tc>
          <w:tcPr>
            <w:tcW w:w="3680" w:type="dxa"/>
            <w:vAlign w:val="bottom"/>
            <w:gridSpan w:val="2"/>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45"/>
        </w:trPr>
        <w:tc>
          <w:tcPr>
            <w:tcW w:w="9100" w:type="dxa"/>
            <w:vAlign w:val="bottom"/>
            <w:gridSpan w:val="7"/>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Consolidated Statements of Convertible Preferred Stock and Stockholders’ Equity (Deficit)</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45"/>
        </w:trPr>
        <w:tc>
          <w:tcPr>
            <w:tcW w:w="28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19">
              <w:r>
                <w:rPr>
                  <w:rFonts w:ascii="Arial" w:cs="Arial" w:eastAsia="Arial" w:hAnsi="Arial"/>
                  <w:sz w:val="18"/>
                  <w:szCs w:val="18"/>
                  <w:color w:val="0000EE"/>
                  <w:w w:val="89"/>
                </w:rPr>
                <w:t>Consolidated Statements of Cash Flows</w:t>
              </w:r>
            </w:hyperlink>
          </w:p>
        </w:tc>
        <w:tc>
          <w:tcPr>
            <w:tcW w:w="3700" w:type="dxa"/>
            <w:vAlign w:val="bottom"/>
            <w:tcBorders>
              <w:top w:val="single" w:sz="8" w:color="0000EE"/>
            </w:tcBorders>
            <w:gridSpan w:val="4"/>
          </w:tcPr>
          <w:p>
            <w:pPr>
              <w:spacing w:after="0"/>
              <w:rPr>
                <w:sz w:val="24"/>
                <w:szCs w:val="24"/>
                <w:color w:val="auto"/>
              </w:rPr>
            </w:pPr>
          </w:p>
        </w:tc>
        <w:tc>
          <w:tcPr>
            <w:tcW w:w="25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44"/>
        </w:trPr>
        <w:tc>
          <w:tcPr>
            <w:tcW w:w="31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20">
              <w:r>
                <w:rPr>
                  <w:rFonts w:ascii="Arial" w:cs="Arial" w:eastAsia="Arial" w:hAnsi="Arial"/>
                  <w:sz w:val="18"/>
                  <w:szCs w:val="18"/>
                  <w:color w:val="0000EE"/>
                  <w:w w:val="89"/>
                </w:rPr>
                <w:t>Notes to Consolidated Financial Statements</w:t>
              </w:r>
            </w:hyperlink>
          </w:p>
        </w:tc>
        <w:tc>
          <w:tcPr>
            <w:tcW w:w="5940" w:type="dxa"/>
            <w:vAlign w:val="bottom"/>
            <w:gridSpan w:val="4"/>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885"/>
        </w:trPr>
        <w:tc>
          <w:tcPr>
            <w:tcW w:w="6580" w:type="dxa"/>
            <w:vAlign w:val="bottom"/>
            <w:gridSpan w:val="6"/>
          </w:tcPr>
          <w:p>
            <w:pPr>
              <w:ind w:left="5500"/>
              <w:spacing w:after="0"/>
              <w:rPr>
                <w:sz w:val="20"/>
                <w:szCs w:val="20"/>
                <w:color w:val="auto"/>
              </w:rPr>
            </w:pPr>
            <w:r>
              <w:rPr>
                <w:rFonts w:ascii="Arial" w:cs="Arial" w:eastAsia="Arial" w:hAnsi="Arial"/>
                <w:sz w:val="18"/>
                <w:szCs w:val="18"/>
                <w:color w:val="auto"/>
              </w:rPr>
              <w:t>110</w:t>
            </w:r>
          </w:p>
        </w:tc>
        <w:tc>
          <w:tcPr>
            <w:tcW w:w="25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ALX Oncology Holdings Inc. and subsidiaries (the Company) as of December 31, 2020 and 2019, the related consolidated statements of operations and comprehensive loss, convertible preferred stock and stockholders’ equity (deficit), and cash flows for each of the years in the three-year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54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09"/>
        </w:trPr>
        <w:tc>
          <w:tcPr>
            <w:tcW w:w="65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0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Current assets:</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2040" w:type="dxa"/>
            <w:vAlign w:val="bottom"/>
            <w:gridSpan w:val="2"/>
            <w:shd w:val="clear" w:color="auto" w:fill="CFF0FC"/>
          </w:tcPr>
          <w:p>
            <w:pPr>
              <w:jc w:val="right"/>
              <w:ind w:right="801"/>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434,219</w:t>
            </w:r>
          </w:p>
        </w:tc>
        <w:tc>
          <w:tcPr>
            <w:tcW w:w="2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332"/>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9,017</w:t>
            </w:r>
          </w:p>
        </w:tc>
        <w:tc>
          <w:tcPr>
            <w:tcW w:w="120" w:type="dxa"/>
            <w:vAlign w:val="bottom"/>
            <w:shd w:val="clear" w:color="auto" w:fill="CFF0FC"/>
          </w:tcPr>
          <w:p>
            <w:pPr>
              <w:spacing w:after="0"/>
              <w:rPr>
                <w:sz w:val="18"/>
                <w:szCs w:val="18"/>
                <w:color w:val="auto"/>
              </w:rPr>
            </w:pPr>
          </w:p>
        </w:tc>
      </w:tr>
      <w:tr>
        <w:trPr>
          <w:trHeight w:val="216"/>
        </w:trPr>
        <w:tc>
          <w:tcPr>
            <w:tcW w:w="6540" w:type="dxa"/>
            <w:vAlign w:val="bottom"/>
          </w:tcPr>
          <w:p>
            <w:pPr>
              <w:ind w:left="260"/>
              <w:spacing w:after="0"/>
              <w:rPr>
                <w:sz w:val="20"/>
                <w:szCs w:val="20"/>
                <w:color w:val="auto"/>
              </w:rPr>
            </w:pPr>
            <w:r>
              <w:rPr>
                <w:rFonts w:ascii="Arial" w:cs="Arial" w:eastAsia="Arial" w:hAnsi="Arial"/>
                <w:sz w:val="17"/>
                <w:szCs w:val="17"/>
                <w:color w:val="auto"/>
              </w:rPr>
              <w:t>Receivables due from related-party</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536</w:t>
            </w:r>
          </w:p>
        </w:tc>
        <w:tc>
          <w:tcPr>
            <w:tcW w:w="120" w:type="dxa"/>
            <w:vAlign w:val="bottom"/>
          </w:tcPr>
          <w:p>
            <w:pPr>
              <w:spacing w:after="0"/>
              <w:rPr>
                <w:sz w:val="18"/>
                <w:szCs w:val="18"/>
                <w:color w:val="auto"/>
              </w:rPr>
            </w:pPr>
          </w:p>
        </w:tc>
      </w:tr>
      <w:tr>
        <w:trPr>
          <w:trHeight w:val="216"/>
        </w:trPr>
        <w:tc>
          <w:tcPr>
            <w:tcW w:w="65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106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1,773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w:t>
            </w:r>
          </w:p>
        </w:tc>
        <w:tc>
          <w:tcPr>
            <w:tcW w:w="120" w:type="dxa"/>
            <w:vAlign w:val="bottom"/>
            <w:shd w:val="clear" w:color="auto" w:fill="CFF0FC"/>
          </w:tcPr>
          <w:p>
            <w:pPr>
              <w:spacing w:after="0"/>
              <w:rPr>
                <w:sz w:val="18"/>
                <w:szCs w:val="18"/>
                <w:color w:val="auto"/>
              </w:rPr>
            </w:pPr>
          </w:p>
        </w:tc>
      </w:tr>
      <w:tr>
        <w:trPr>
          <w:trHeight w:val="209"/>
        </w:trPr>
        <w:tc>
          <w:tcPr>
            <w:tcW w:w="654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435,992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9,809</w:t>
            </w:r>
          </w:p>
        </w:tc>
        <w:tc>
          <w:tcPr>
            <w:tcW w:w="12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10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860</w:t>
            </w:r>
          </w:p>
        </w:tc>
        <w:tc>
          <w:tcPr>
            <w:tcW w:w="120" w:type="dxa"/>
            <w:vAlign w:val="bottom"/>
            <w:shd w:val="clear" w:color="auto" w:fill="CFF0FC"/>
          </w:tcPr>
          <w:p>
            <w:pPr>
              <w:spacing w:after="0"/>
              <w:rPr>
                <w:sz w:val="18"/>
                <w:szCs w:val="18"/>
                <w:color w:val="auto"/>
              </w:rPr>
            </w:pPr>
          </w:p>
        </w:tc>
      </w:tr>
      <w:tr>
        <w:trPr>
          <w:trHeight w:val="216"/>
        </w:trPr>
        <w:tc>
          <w:tcPr>
            <w:tcW w:w="6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assets</w:t>
            </w:r>
          </w:p>
        </w:tc>
        <w:tc>
          <w:tcPr>
            <w:tcW w:w="10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FF0FC"/>
            </w:tcBorders>
          </w:tcPr>
          <w:p>
            <w:pPr>
              <w:spacing w:after="0"/>
              <w:rPr>
                <w:sz w:val="18"/>
                <w:szCs w:val="18"/>
                <w:color w:val="auto"/>
              </w:rPr>
            </w:pPr>
          </w:p>
        </w:tc>
      </w:tr>
      <w:tr>
        <w:trPr>
          <w:trHeight w:val="210"/>
        </w:trPr>
        <w:tc>
          <w:tcPr>
            <w:tcW w:w="65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assets</w:t>
            </w:r>
          </w:p>
        </w:tc>
        <w:tc>
          <w:tcPr>
            <w:tcW w:w="10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436,054</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5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convertible preferred stock and stockholders’ equity (deficit)</w:t>
            </w:r>
          </w:p>
        </w:tc>
        <w:tc>
          <w:tcPr>
            <w:tcW w:w="10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Current liabilities:</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payable</w:t>
            </w:r>
          </w:p>
        </w:tc>
        <w:tc>
          <w:tcPr>
            <w:tcW w:w="2040" w:type="dxa"/>
            <w:vAlign w:val="bottom"/>
            <w:gridSpan w:val="2"/>
            <w:shd w:val="clear" w:color="auto" w:fill="CFF0FC"/>
          </w:tcPr>
          <w:p>
            <w:pPr>
              <w:jc w:val="right"/>
              <w:ind w:right="801"/>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332"/>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3,748</w:t>
            </w:r>
          </w:p>
        </w:tc>
        <w:tc>
          <w:tcPr>
            <w:tcW w:w="120" w:type="dxa"/>
            <w:vAlign w:val="bottom"/>
            <w:shd w:val="clear" w:color="auto" w:fill="CFF0FC"/>
          </w:tcPr>
          <w:p>
            <w:pPr>
              <w:spacing w:after="0"/>
              <w:rPr>
                <w:sz w:val="18"/>
                <w:szCs w:val="18"/>
                <w:color w:val="auto"/>
              </w:rPr>
            </w:pPr>
          </w:p>
        </w:tc>
      </w:tr>
      <w:tr>
        <w:trPr>
          <w:trHeight w:val="216"/>
        </w:trPr>
        <w:tc>
          <w:tcPr>
            <w:tcW w:w="654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Accrued expenses and other current liabilities</w:t>
            </w:r>
          </w:p>
        </w:tc>
        <w:tc>
          <w:tcPr>
            <w:tcW w:w="10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6,200</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1,236</w:t>
            </w:r>
          </w:p>
        </w:tc>
        <w:tc>
          <w:tcPr>
            <w:tcW w:w="120" w:type="dxa"/>
            <w:vAlign w:val="bottom"/>
            <w:tcBorders>
              <w:bottom w:val="single" w:sz="8" w:color="CFF0FC"/>
            </w:tcBorders>
          </w:tcPr>
          <w:p>
            <w:pPr>
              <w:spacing w:after="0"/>
              <w:rPr>
                <w:sz w:val="18"/>
                <w:szCs w:val="18"/>
                <w:color w:val="auto"/>
              </w:rPr>
            </w:pPr>
          </w:p>
        </w:tc>
      </w:tr>
      <w:tr>
        <w:trPr>
          <w:trHeight w:val="210"/>
        </w:trPr>
        <w:tc>
          <w:tcPr>
            <w:tcW w:w="65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current liabilities</w:t>
            </w:r>
          </w:p>
        </w:tc>
        <w:tc>
          <w:tcPr>
            <w:tcW w:w="10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6,204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4,984</w:t>
            </w:r>
          </w:p>
        </w:tc>
        <w:tc>
          <w:tcPr>
            <w:tcW w:w="12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Term loan - non-current</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5,421</w:t>
            </w:r>
          </w:p>
        </w:tc>
        <w:tc>
          <w:tcPr>
            <w:tcW w:w="12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06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547</w:t>
            </w:r>
          </w:p>
        </w:tc>
        <w:tc>
          <w:tcPr>
            <w:tcW w:w="120" w:type="dxa"/>
            <w:vAlign w:val="bottom"/>
            <w:shd w:val="clear" w:color="auto" w:fill="CFF0FC"/>
          </w:tcPr>
          <w:p>
            <w:pPr>
              <w:spacing w:after="0"/>
              <w:rPr>
                <w:sz w:val="18"/>
                <w:szCs w:val="18"/>
                <w:color w:val="auto"/>
              </w:rPr>
            </w:pPr>
          </w:p>
        </w:tc>
      </w:tr>
      <w:tr>
        <w:trPr>
          <w:trHeight w:val="209"/>
        </w:trPr>
        <w:tc>
          <w:tcPr>
            <w:tcW w:w="654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liabilities</w:t>
            </w:r>
          </w:p>
        </w:tc>
        <w:tc>
          <w:tcPr>
            <w:tcW w:w="10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6,209</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10,952</w:t>
            </w:r>
          </w:p>
        </w:tc>
        <w:tc>
          <w:tcPr>
            <w:tcW w:w="120" w:type="dxa"/>
            <w:vAlign w:val="bottom"/>
            <w:tcBorders>
              <w:bottom w:val="single" w:sz="8" w:color="CFF0FC"/>
            </w:tcBorders>
          </w:tcPr>
          <w:p>
            <w:pPr>
              <w:spacing w:after="0"/>
              <w:rPr>
                <w:sz w:val="18"/>
                <w:szCs w:val="18"/>
                <w:color w:val="auto"/>
              </w:rPr>
            </w:pPr>
          </w:p>
        </w:tc>
      </w:tr>
      <w:tr>
        <w:trPr>
          <w:trHeight w:val="210"/>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12)</w:t>
            </w:r>
          </w:p>
        </w:tc>
        <w:tc>
          <w:tcPr>
            <w:tcW w:w="10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6540" w:type="dxa"/>
            <w:vAlign w:val="bottom"/>
          </w:tcPr>
          <w:p>
            <w:pPr>
              <w:spacing w:after="0"/>
              <w:rPr>
                <w:sz w:val="20"/>
                <w:szCs w:val="20"/>
                <w:color w:val="auto"/>
              </w:rPr>
            </w:pPr>
            <w:r>
              <w:rPr>
                <w:rFonts w:ascii="Arial" w:cs="Arial" w:eastAsia="Arial" w:hAnsi="Arial"/>
                <w:sz w:val="17"/>
                <w:szCs w:val="17"/>
                <w:color w:val="auto"/>
              </w:rPr>
              <w:t>Series A convertible preferred stock, $0.001 par value; zero shares authorized,</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Arial" w:cs="Arial" w:eastAsia="Arial" w:hAnsi="Arial"/>
                <w:sz w:val="17"/>
                <w:szCs w:val="17"/>
                <w:color w:val="auto"/>
              </w:rPr>
              <w:t>issued and outstanding as of December 31, 2020; 9,421,633 shares authorized</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Arial" w:cs="Arial" w:eastAsia="Arial" w:hAnsi="Arial"/>
                <w:sz w:val="17"/>
                <w:szCs w:val="17"/>
                <w:color w:val="auto"/>
              </w:rPr>
              <w:t>as of December 31, 2019; 9,297,081 shares issued and outstanding as of</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Arial" w:cs="Arial" w:eastAsia="Arial" w:hAnsi="Arial"/>
                <w:sz w:val="17"/>
                <w:szCs w:val="17"/>
                <w:color w:val="auto"/>
              </w:rPr>
              <w:t>December 31, 2019; aggregate liquidation preference of $73,571 as of</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6540" w:type="dxa"/>
            <w:vAlign w:val="bottom"/>
          </w:tcPr>
          <w:p>
            <w:pPr>
              <w:ind w:left="140"/>
              <w:spacing w:after="0"/>
              <w:rPr>
                <w:sz w:val="20"/>
                <w:szCs w:val="20"/>
                <w:color w:val="auto"/>
              </w:rPr>
            </w:pPr>
            <w:r>
              <w:rPr>
                <w:rFonts w:ascii="Arial" w:cs="Arial" w:eastAsia="Arial" w:hAnsi="Arial"/>
                <w:sz w:val="17"/>
                <w:szCs w:val="17"/>
                <w:color w:val="auto"/>
              </w:rPr>
              <w:t>December 31, 2019</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60,933</w:t>
            </w:r>
          </w:p>
        </w:tc>
        <w:tc>
          <w:tcPr>
            <w:tcW w:w="120" w:type="dxa"/>
            <w:vAlign w:val="bottom"/>
          </w:tcPr>
          <w:p>
            <w:pPr>
              <w:spacing w:after="0"/>
              <w:rPr>
                <w:sz w:val="18"/>
                <w:szCs w:val="18"/>
                <w:color w:val="auto"/>
              </w:rPr>
            </w:pPr>
          </w:p>
        </w:tc>
      </w:tr>
      <w:tr>
        <w:trPr>
          <w:trHeight w:val="200"/>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Series B convertible preferred stock, $0.001 par value; zero shares authorized,</w:t>
            </w:r>
          </w:p>
        </w:tc>
        <w:tc>
          <w:tcPr>
            <w:tcW w:w="10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issued and outstanding as of December 31, 2020; 2,145,370 shares authorized</w:t>
            </w:r>
          </w:p>
        </w:tc>
        <w:tc>
          <w:tcPr>
            <w:tcW w:w="10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as of December 31, 2019; 1,016,727 shares issued and outstanding as of</w:t>
            </w:r>
          </w:p>
        </w:tc>
        <w:tc>
          <w:tcPr>
            <w:tcW w:w="10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December 31, 2019; aggregate liquidation preference of $10,014 as of</w:t>
            </w:r>
          </w:p>
        </w:tc>
        <w:tc>
          <w:tcPr>
            <w:tcW w:w="10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6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December 31, 2019</w:t>
            </w:r>
          </w:p>
        </w:tc>
        <w:tc>
          <w:tcPr>
            <w:tcW w:w="10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9,430</w:t>
            </w:r>
          </w:p>
        </w:tc>
        <w:tc>
          <w:tcPr>
            <w:tcW w:w="120" w:type="dxa"/>
            <w:vAlign w:val="bottom"/>
            <w:shd w:val="clear" w:color="auto" w:fill="CFF0FC"/>
          </w:tcPr>
          <w:p>
            <w:pPr>
              <w:spacing w:after="0"/>
              <w:rPr>
                <w:sz w:val="19"/>
                <w:szCs w:val="19"/>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Stockholders’ equity (deficit)</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$0.001 par value; 100,000,000 shares authorized, no shares</w:t>
            </w:r>
          </w:p>
        </w:tc>
        <w:tc>
          <w:tcPr>
            <w:tcW w:w="10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6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issued or outstanding</w:t>
            </w:r>
          </w:p>
        </w:tc>
        <w:tc>
          <w:tcPr>
            <w:tcW w:w="10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6540" w:type="dxa"/>
            <w:vAlign w:val="bottom"/>
          </w:tcPr>
          <w:p>
            <w:pPr>
              <w:spacing w:after="0"/>
              <w:rPr>
                <w:sz w:val="20"/>
                <w:szCs w:val="20"/>
                <w:color w:val="auto"/>
              </w:rPr>
            </w:pPr>
            <w:r>
              <w:rPr>
                <w:rFonts w:ascii="Arial" w:cs="Arial" w:eastAsia="Arial" w:hAnsi="Arial"/>
                <w:sz w:val="17"/>
                <w:szCs w:val="17"/>
                <w:color w:val="auto"/>
              </w:rPr>
              <w:t>Common stock, $0.001 par value; 1,000,000,000 and 1,519,618,271 shares</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Arial" w:cs="Arial" w:eastAsia="Arial" w:hAnsi="Arial"/>
                <w:sz w:val="17"/>
                <w:szCs w:val="17"/>
                <w:color w:val="auto"/>
              </w:rPr>
              <w:t>authorized as of December 31, 2020 and 2019, respectively; 39,844,522 and</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Arial" w:cs="Arial" w:eastAsia="Arial" w:hAnsi="Arial"/>
                <w:sz w:val="17"/>
                <w:szCs w:val="17"/>
                <w:color w:val="auto"/>
              </w:rPr>
              <w:t>3,166,946 shares issued and outstanding as of December 31, 2020 and 2019,</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6540" w:type="dxa"/>
            <w:vAlign w:val="bottom"/>
          </w:tcPr>
          <w:p>
            <w:pPr>
              <w:ind w:left="140"/>
              <w:spacing w:after="0"/>
              <w:rPr>
                <w:sz w:val="20"/>
                <w:szCs w:val="20"/>
                <w:color w:val="auto"/>
              </w:rPr>
            </w:pPr>
            <w:r>
              <w:rPr>
                <w:rFonts w:ascii="Arial" w:cs="Arial" w:eastAsia="Arial" w:hAnsi="Arial"/>
                <w:sz w:val="17"/>
                <w:szCs w:val="17"/>
                <w:color w:val="auto"/>
              </w:rPr>
              <w:t>respectively</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r>
      <w:tr>
        <w:trPr>
          <w:trHeight w:val="218"/>
        </w:trPr>
        <w:tc>
          <w:tcPr>
            <w:tcW w:w="65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10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548,327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2,140</w:t>
            </w:r>
          </w:p>
        </w:tc>
        <w:tc>
          <w:tcPr>
            <w:tcW w:w="120" w:type="dxa"/>
            <w:vAlign w:val="bottom"/>
            <w:shd w:val="clear" w:color="auto" w:fill="CFF0FC"/>
          </w:tcPr>
          <w:p>
            <w:pPr>
              <w:spacing w:after="0"/>
              <w:rPr>
                <w:sz w:val="18"/>
                <w:szCs w:val="18"/>
                <w:color w:val="auto"/>
              </w:rPr>
            </w:pPr>
          </w:p>
        </w:tc>
      </w:tr>
      <w:tr>
        <w:trPr>
          <w:trHeight w:val="216"/>
        </w:trPr>
        <w:tc>
          <w:tcPr>
            <w:tcW w:w="654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(118,522)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(72,782)</w:t>
            </w:r>
          </w:p>
        </w:tc>
      </w:tr>
      <w:tr>
        <w:trPr>
          <w:trHeight w:val="209"/>
        </w:trPr>
        <w:tc>
          <w:tcPr>
            <w:tcW w:w="6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stockholders’ equity (deficit)</w:t>
            </w:r>
          </w:p>
        </w:tc>
        <w:tc>
          <w:tcPr>
            <w:tcW w:w="10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429,845</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(70,639)</w:t>
            </w:r>
          </w:p>
        </w:tc>
        <w:tc>
          <w:tcPr>
            <w:tcW w:w="120" w:type="dxa"/>
            <w:vAlign w:val="bottom"/>
            <w:tcBorders>
              <w:top w:val="single" w:sz="8" w:color="CFF0FC"/>
            </w:tcBorders>
            <w:shd w:val="clear" w:color="auto" w:fill="CFF0FC"/>
          </w:tcPr>
          <w:p>
            <w:pPr>
              <w:spacing w:after="0"/>
              <w:rPr>
                <w:sz w:val="18"/>
                <w:szCs w:val="18"/>
                <w:color w:val="auto"/>
              </w:rPr>
            </w:pPr>
          </w:p>
        </w:tc>
      </w:tr>
      <w:tr>
        <w:trPr>
          <w:trHeight w:val="192"/>
        </w:trPr>
        <w:tc>
          <w:tcPr>
            <w:tcW w:w="6540" w:type="dxa"/>
            <w:vAlign w:val="bottom"/>
          </w:tcPr>
          <w:p>
            <w:pPr>
              <w:ind w:left="500"/>
              <w:spacing w:after="0" w:line="192" w:lineRule="exact"/>
              <w:rPr>
                <w:sz w:val="20"/>
                <w:szCs w:val="20"/>
                <w:color w:val="auto"/>
              </w:rPr>
            </w:pPr>
            <w:r>
              <w:rPr>
                <w:rFonts w:ascii="Arial" w:cs="Arial" w:eastAsia="Arial" w:hAnsi="Arial"/>
                <w:sz w:val="17"/>
                <w:szCs w:val="17"/>
                <w:color w:val="auto"/>
              </w:rPr>
              <w:t>Total liabilities, convertible preferred stock and stockholders’ equity</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8"/>
        </w:trPr>
        <w:tc>
          <w:tcPr>
            <w:tcW w:w="6540" w:type="dxa"/>
            <w:vAlign w:val="bottom"/>
          </w:tcPr>
          <w:p>
            <w:pPr>
              <w:ind w:left="620"/>
              <w:spacing w:after="0"/>
              <w:rPr>
                <w:sz w:val="20"/>
                <w:szCs w:val="20"/>
                <w:color w:val="auto"/>
              </w:rPr>
            </w:pPr>
            <w:r>
              <w:rPr>
                <w:rFonts w:ascii="Arial" w:cs="Arial" w:eastAsia="Arial" w:hAnsi="Arial"/>
                <w:sz w:val="17"/>
                <w:szCs w:val="17"/>
                <w:color w:val="auto"/>
              </w:rPr>
              <w:t>(deficit)</w:t>
            </w:r>
          </w:p>
        </w:tc>
        <w:tc>
          <w:tcPr>
            <w:tcW w:w="2040" w:type="dxa"/>
            <w:vAlign w:val="bottom"/>
            <w:gridSpan w:val="2"/>
          </w:tcPr>
          <w:p>
            <w:pPr>
              <w:jc w:val="right"/>
              <w:ind w:right="801"/>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436,054</w:t>
            </w:r>
          </w:p>
        </w:tc>
        <w:tc>
          <w:tcPr>
            <w:tcW w:w="280" w:type="dxa"/>
            <w:vAlign w:val="bottom"/>
          </w:tcPr>
          <w:p>
            <w:pPr>
              <w:spacing w:after="0"/>
              <w:rPr>
                <w:sz w:val="18"/>
                <w:szCs w:val="18"/>
                <w:color w:val="auto"/>
              </w:rPr>
            </w:pPr>
          </w:p>
        </w:tc>
        <w:tc>
          <w:tcPr>
            <w:tcW w:w="460" w:type="dxa"/>
            <w:vAlign w:val="bottom"/>
            <w:gridSpan w:val="2"/>
          </w:tcPr>
          <w:p>
            <w:pPr>
              <w:jc w:val="right"/>
              <w:ind w:right="332"/>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10,676</w:t>
            </w:r>
          </w:p>
        </w:tc>
        <w:tc>
          <w:tcPr>
            <w:tcW w:w="12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4"/>
              </w:rPr>
              <w:t>Year Ended December 31,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 revenue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44,845</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23,979</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Loss on early debt extinguishment</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(45,499)</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(19,209)</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(45,740)</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(19,243)</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Cumulative dividends allocated to preferred stockholders</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(5,202)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(4,028)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(7.56)</w:t>
            </w: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196"/>
        </w:trPr>
        <w:tc>
          <w:tcPr>
            <w:tcW w:w="66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of common stock used to compute net</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per share attributable to common stockholders, basic and</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18,485,343</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3,076,461</w:t>
            </w:r>
          </w:p>
        </w:tc>
        <w:tc>
          <w:tcPr>
            <w:tcW w:w="2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2,750,838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center"/>
        <w:ind w:right="-59"/>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Statements of Convertible Preferred Stock and Stockholders’ Equity (Deficit)</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52120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Convertible Preferred</w:t>
            </w: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3"/>
                <w:szCs w:val="13"/>
                <w:b w:val="1"/>
                <w:bCs w:val="1"/>
                <w:color w:val="auto"/>
              </w:rPr>
              <w:t>Stock</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3180" w:type="dxa"/>
            <w:vAlign w:val="bottom"/>
            <w:vMerge w:val="restart"/>
          </w:tcPr>
          <w:p>
            <w:pPr>
              <w:spacing w:after="0"/>
              <w:rPr>
                <w:sz w:val="20"/>
                <w:szCs w:val="20"/>
                <w:color w:val="auto"/>
              </w:rPr>
            </w:pPr>
            <w:r>
              <w:rPr>
                <w:rFonts w:ascii="Arial" w:cs="Arial" w:eastAsia="Arial" w:hAnsi="Arial"/>
                <w:sz w:val="15"/>
                <w:szCs w:val="15"/>
                <w:b w:val="1"/>
                <w:bCs w:val="1"/>
                <w:color w:val="auto"/>
              </w:rPr>
              <w:t>Balance as of December 31, 2017</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9"/>
        </w:trPr>
        <w:tc>
          <w:tcPr>
            <w:tcW w:w="318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9,297,081</w:t>
            </w:r>
          </w:p>
        </w:tc>
        <w:tc>
          <w:tcPr>
            <w:tcW w:w="220" w:type="dxa"/>
            <w:vAlign w:val="bottom"/>
          </w:tcPr>
          <w:p>
            <w:pPr>
              <w:spacing w:after="0"/>
              <w:rPr>
                <w:sz w:val="14"/>
                <w:szCs w:val="14"/>
                <w:color w:val="auto"/>
              </w:rPr>
            </w:pPr>
          </w:p>
        </w:tc>
        <w:tc>
          <w:tcPr>
            <w:tcW w:w="1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60,933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Issuance of common stock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20"/>
              <w:spacing w:after="0"/>
              <w:rPr>
                <w:sz w:val="20"/>
                <w:szCs w:val="20"/>
                <w:color w:val="auto"/>
              </w:rPr>
            </w:pPr>
            <w:r>
              <w:rPr>
                <w:rFonts w:ascii="Arial" w:cs="Arial" w:eastAsia="Arial" w:hAnsi="Arial"/>
                <w:sz w:val="15"/>
                <w:szCs w:val="15"/>
                <w:color w:val="auto"/>
              </w:rPr>
              <w:t>under equity incentive plans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20"/>
                <w:szCs w:val="20"/>
                <w:color w:val="auto"/>
              </w:rPr>
            </w:pPr>
            <w:r>
              <w:rPr>
                <w:rFonts w:ascii="Arial" w:cs="Arial" w:eastAsia="Arial" w:hAnsi="Arial"/>
                <w:sz w:val="15"/>
                <w:szCs w:val="15"/>
                <w:color w:val="auto"/>
              </w:rPr>
              <w:t>Repurchase of common stock</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Vesting of early exercised stock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20"/>
              <w:spacing w:after="0"/>
              <w:rPr>
                <w:sz w:val="20"/>
                <w:szCs w:val="20"/>
                <w:color w:val="auto"/>
              </w:rPr>
            </w:pPr>
            <w:r>
              <w:rPr>
                <w:rFonts w:ascii="Arial" w:cs="Arial" w:eastAsia="Arial" w:hAnsi="Arial"/>
                <w:sz w:val="15"/>
                <w:szCs w:val="15"/>
                <w:color w:val="auto"/>
              </w:rPr>
              <w:t>options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Repurchase of unvested early</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20"/>
              <w:spacing w:after="0"/>
              <w:rPr>
                <w:sz w:val="20"/>
                <w:szCs w:val="20"/>
                <w:color w:val="auto"/>
              </w:rPr>
            </w:pPr>
            <w:r>
              <w:rPr>
                <w:rFonts w:ascii="Arial" w:cs="Arial" w:eastAsia="Arial" w:hAnsi="Arial"/>
                <w:sz w:val="15"/>
                <w:szCs w:val="15"/>
                <w:color w:val="auto"/>
              </w:rPr>
              <w:t>exercised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20"/>
                <w:szCs w:val="20"/>
                <w:color w:val="auto"/>
              </w:rPr>
            </w:pPr>
            <w:r>
              <w:rPr>
                <w:rFonts w:ascii="Arial" w:cs="Arial" w:eastAsia="Arial" w:hAnsi="Arial"/>
                <w:sz w:val="15"/>
                <w:szCs w:val="15"/>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as of December 31, 2018</w:t>
            </w:r>
          </w:p>
        </w:tc>
        <w:tc>
          <w:tcPr>
            <w:tcW w:w="8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9,297,081</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60,933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Issuance of 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20"/>
              <w:spacing w:after="0" w:line="162" w:lineRule="exact"/>
              <w:rPr>
                <w:sz w:val="20"/>
                <w:szCs w:val="20"/>
                <w:color w:val="auto"/>
              </w:rPr>
            </w:pPr>
            <w:r>
              <w:rPr>
                <w:rFonts w:ascii="Arial" w:cs="Arial" w:eastAsia="Arial" w:hAnsi="Arial"/>
                <w:sz w:val="15"/>
                <w:szCs w:val="15"/>
                <w:color w:val="auto"/>
              </w:rPr>
              <w:t>preferred stock, net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20"/>
              <w:spacing w:after="0"/>
              <w:rPr>
                <w:sz w:val="20"/>
                <w:szCs w:val="20"/>
                <w:color w:val="auto"/>
              </w:rPr>
            </w:pPr>
            <w:r>
              <w:rPr>
                <w:rFonts w:ascii="Arial" w:cs="Arial" w:eastAsia="Arial" w:hAnsi="Arial"/>
                <w:sz w:val="15"/>
                <w:szCs w:val="15"/>
                <w:color w:val="auto"/>
              </w:rPr>
              <w:t>issuance costs</w:t>
            </w:r>
          </w:p>
        </w:tc>
        <w:tc>
          <w:tcPr>
            <w:tcW w:w="880" w:type="dxa"/>
            <w:vAlign w:val="bottom"/>
          </w:tcPr>
          <w:p>
            <w:pPr>
              <w:jc w:val="right"/>
              <w:spacing w:after="0"/>
              <w:rPr>
                <w:sz w:val="20"/>
                <w:szCs w:val="20"/>
                <w:color w:val="auto"/>
              </w:rPr>
            </w:pPr>
            <w:r>
              <w:rPr>
                <w:rFonts w:ascii="Arial" w:cs="Arial" w:eastAsia="Arial" w:hAnsi="Arial"/>
                <w:sz w:val="15"/>
                <w:szCs w:val="15"/>
                <w:color w:val="auto"/>
              </w:rPr>
              <w:t>1,016,727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9,430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Issuance of common stock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20"/>
              <w:spacing w:after="0"/>
              <w:rPr>
                <w:sz w:val="20"/>
                <w:szCs w:val="20"/>
                <w:color w:val="auto"/>
              </w:rPr>
            </w:pPr>
            <w:r>
              <w:rPr>
                <w:rFonts w:ascii="Arial" w:cs="Arial" w:eastAsia="Arial" w:hAnsi="Arial"/>
                <w:sz w:val="15"/>
                <w:szCs w:val="15"/>
                <w:color w:val="auto"/>
              </w:rPr>
              <w:t>under equity incentive plans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Vesting of early exercised stock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20"/>
              <w:spacing w:after="0"/>
              <w:rPr>
                <w:sz w:val="20"/>
                <w:szCs w:val="20"/>
                <w:color w:val="auto"/>
              </w:rPr>
            </w:pPr>
            <w:r>
              <w:rPr>
                <w:rFonts w:ascii="Arial" w:cs="Arial" w:eastAsia="Arial" w:hAnsi="Arial"/>
                <w:sz w:val="15"/>
                <w:szCs w:val="15"/>
                <w:color w:val="auto"/>
              </w:rPr>
              <w:t>options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20"/>
                <w:szCs w:val="20"/>
                <w:color w:val="auto"/>
              </w:rPr>
            </w:pPr>
            <w:r>
              <w:rPr>
                <w:rFonts w:ascii="Arial" w:cs="Arial" w:eastAsia="Arial" w:hAnsi="Arial"/>
                <w:sz w:val="15"/>
                <w:szCs w:val="15"/>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as of December 31, 2019</w:t>
            </w:r>
          </w:p>
        </w:tc>
        <w:tc>
          <w:tcPr>
            <w:tcW w:w="8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10,313,808</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70,363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Issuance of 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20"/>
              <w:spacing w:after="0" w:line="162" w:lineRule="exact"/>
              <w:rPr>
                <w:sz w:val="20"/>
                <w:szCs w:val="20"/>
                <w:color w:val="auto"/>
              </w:rPr>
            </w:pPr>
            <w:r>
              <w:rPr>
                <w:rFonts w:ascii="Arial" w:cs="Arial" w:eastAsia="Arial" w:hAnsi="Arial"/>
                <w:sz w:val="15"/>
                <w:szCs w:val="15"/>
                <w:color w:val="auto"/>
              </w:rPr>
              <w:t>preferred stock, net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20"/>
              <w:spacing w:after="0"/>
              <w:rPr>
                <w:sz w:val="20"/>
                <w:szCs w:val="20"/>
                <w:color w:val="auto"/>
              </w:rPr>
            </w:pPr>
            <w:r>
              <w:rPr>
                <w:rFonts w:ascii="Arial" w:cs="Arial" w:eastAsia="Arial" w:hAnsi="Arial"/>
                <w:sz w:val="15"/>
                <w:szCs w:val="15"/>
                <w:color w:val="auto"/>
              </w:rPr>
              <w:t>issuance costs</w:t>
            </w:r>
          </w:p>
        </w:tc>
        <w:tc>
          <w:tcPr>
            <w:tcW w:w="880" w:type="dxa"/>
            <w:vAlign w:val="bottom"/>
          </w:tcPr>
          <w:p>
            <w:pPr>
              <w:jc w:val="right"/>
              <w:spacing w:after="0"/>
              <w:rPr>
                <w:sz w:val="20"/>
                <w:szCs w:val="20"/>
                <w:color w:val="auto"/>
              </w:rPr>
            </w:pPr>
            <w:r>
              <w:rPr>
                <w:rFonts w:ascii="Arial" w:cs="Arial" w:eastAsia="Arial" w:hAnsi="Arial"/>
                <w:sz w:val="15"/>
                <w:szCs w:val="15"/>
                <w:color w:val="auto"/>
              </w:rPr>
              <w:t>11,055,966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104,680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Reclassification of warrants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20"/>
              <w:spacing w:after="0"/>
              <w:rPr>
                <w:sz w:val="20"/>
                <w:szCs w:val="20"/>
                <w:color w:val="auto"/>
              </w:rPr>
            </w:pPr>
            <w:r>
              <w:rPr>
                <w:rFonts w:ascii="Arial" w:cs="Arial" w:eastAsia="Arial" w:hAnsi="Arial"/>
                <w:sz w:val="15"/>
                <w:szCs w:val="15"/>
                <w:color w:val="auto"/>
              </w:rPr>
              <w:t>from liability to equity</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Conversion of 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20"/>
              <w:spacing w:after="0" w:line="162" w:lineRule="exact"/>
              <w:rPr>
                <w:sz w:val="20"/>
                <w:szCs w:val="20"/>
                <w:color w:val="auto"/>
              </w:rPr>
            </w:pPr>
            <w:r>
              <w:rPr>
                <w:rFonts w:ascii="Arial" w:cs="Arial" w:eastAsia="Arial" w:hAnsi="Arial"/>
                <w:sz w:val="15"/>
                <w:szCs w:val="15"/>
                <w:color w:val="auto"/>
              </w:rPr>
              <w:t>preferred stock into</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20"/>
              <w:spacing w:after="0"/>
              <w:rPr>
                <w:sz w:val="20"/>
                <w:szCs w:val="20"/>
                <w:color w:val="auto"/>
              </w:rPr>
            </w:pPr>
            <w:r>
              <w:rPr>
                <w:rFonts w:ascii="Arial" w:cs="Arial" w:eastAsia="Arial" w:hAnsi="Arial"/>
                <w:sz w:val="15"/>
                <w:szCs w:val="15"/>
                <w:color w:val="auto"/>
              </w:rPr>
              <w:t>common stock</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(21,369,774)</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(175,043)</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20"/>
                <w:szCs w:val="20"/>
                <w:color w:val="auto"/>
              </w:rPr>
            </w:pPr>
            <w:r>
              <w:rPr>
                <w:rFonts w:ascii="Arial" w:cs="Arial" w:eastAsia="Arial" w:hAnsi="Arial"/>
                <w:sz w:val="15"/>
                <w:szCs w:val="15"/>
                <w:color w:val="auto"/>
              </w:rPr>
              <w:t>Cumulative dividends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Issuance of common stock in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20"/>
              <w:spacing w:after="0" w:line="162" w:lineRule="exact"/>
              <w:rPr>
                <w:sz w:val="20"/>
                <w:szCs w:val="20"/>
                <w:color w:val="auto"/>
              </w:rPr>
            </w:pPr>
            <w:r>
              <w:rPr>
                <w:rFonts w:ascii="Arial" w:cs="Arial" w:eastAsia="Arial" w:hAnsi="Arial"/>
                <w:sz w:val="15"/>
                <w:szCs w:val="15"/>
                <w:color w:val="auto"/>
              </w:rPr>
              <w:t>connection with equity</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20"/>
              <w:spacing w:after="0" w:line="162" w:lineRule="exact"/>
              <w:rPr>
                <w:sz w:val="20"/>
                <w:szCs w:val="20"/>
                <w:color w:val="auto"/>
              </w:rPr>
            </w:pPr>
            <w:r>
              <w:rPr>
                <w:rFonts w:ascii="Arial" w:cs="Arial" w:eastAsia="Arial" w:hAnsi="Arial"/>
                <w:sz w:val="15"/>
                <w:szCs w:val="15"/>
                <w:color w:val="auto"/>
              </w:rPr>
              <w:t>offerings, net of underwriter</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20"/>
              <w:spacing w:after="0"/>
              <w:rPr>
                <w:sz w:val="20"/>
                <w:szCs w:val="20"/>
                <w:color w:val="auto"/>
              </w:rPr>
            </w:pPr>
            <w:r>
              <w:rPr>
                <w:rFonts w:ascii="Arial" w:cs="Arial" w:eastAsia="Arial" w:hAnsi="Arial"/>
                <w:sz w:val="15"/>
                <w:szCs w:val="15"/>
                <w:color w:val="auto"/>
              </w:rPr>
              <w:t>discounts and issuance costs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Issuance of common stock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20"/>
              <w:spacing w:after="0"/>
              <w:rPr>
                <w:sz w:val="20"/>
                <w:szCs w:val="20"/>
                <w:color w:val="auto"/>
              </w:rPr>
            </w:pPr>
            <w:r>
              <w:rPr>
                <w:rFonts w:ascii="Arial" w:cs="Arial" w:eastAsia="Arial" w:hAnsi="Arial"/>
                <w:sz w:val="15"/>
                <w:szCs w:val="15"/>
                <w:color w:val="auto"/>
              </w:rPr>
              <w:t>upon net exercise of warrants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Issuance of common stock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20"/>
              <w:spacing w:after="0"/>
              <w:rPr>
                <w:sz w:val="20"/>
                <w:szCs w:val="20"/>
                <w:color w:val="auto"/>
              </w:rPr>
            </w:pPr>
            <w:r>
              <w:rPr>
                <w:rFonts w:ascii="Arial" w:cs="Arial" w:eastAsia="Arial" w:hAnsi="Arial"/>
                <w:sz w:val="15"/>
                <w:szCs w:val="15"/>
                <w:color w:val="auto"/>
              </w:rPr>
              <w:t>under equity incentive plans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5"/>
                <w:szCs w:val="15"/>
                <w:color w:val="auto"/>
              </w:rPr>
              <w:t>Vesting of early exercised stock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20"/>
              <w:spacing w:after="0"/>
              <w:rPr>
                <w:sz w:val="20"/>
                <w:szCs w:val="20"/>
                <w:color w:val="auto"/>
              </w:rPr>
            </w:pPr>
            <w:r>
              <w:rPr>
                <w:rFonts w:ascii="Arial" w:cs="Arial" w:eastAsia="Arial" w:hAnsi="Arial"/>
                <w:sz w:val="15"/>
                <w:szCs w:val="15"/>
                <w:color w:val="auto"/>
              </w:rPr>
              <w:t>options</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20"/>
                <w:szCs w:val="20"/>
                <w:color w:val="auto"/>
              </w:rPr>
            </w:pPr>
            <w:r>
              <w:rPr>
                <w:rFonts w:ascii="Arial" w:cs="Arial" w:eastAsia="Arial" w:hAnsi="Arial"/>
                <w:sz w:val="15"/>
                <w:szCs w:val="15"/>
                <w:color w:val="auto"/>
              </w:rPr>
              <w:t>Net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as of December 31, 2020</w:t>
            </w:r>
          </w:p>
        </w:tc>
        <w:tc>
          <w:tcPr>
            <w:tcW w:w="11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Stockholders' Equity (Deficit)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80"/>
              <w:spacing w:after="0" w:line="143" w:lineRule="exact"/>
              <w:rPr>
                <w:sz w:val="20"/>
                <w:szCs w:val="20"/>
                <w:color w:val="auto"/>
              </w:rPr>
            </w:pPr>
            <w:r>
              <w:rPr>
                <w:rFonts w:ascii="Arial" w:cs="Arial" w:eastAsia="Arial" w:hAnsi="Arial"/>
                <w:sz w:val="13"/>
                <w:szCs w:val="13"/>
                <w:b w:val="1"/>
                <w:bCs w:val="1"/>
                <w:color w:val="auto"/>
                <w:w w:val="97"/>
              </w:rPr>
              <w:t>Additional</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24"/>
              <w:spacing w:after="0" w:line="143" w:lineRule="exact"/>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2"/>
                <w:szCs w:val="12"/>
                <w:color w:val="auto"/>
              </w:rPr>
            </w:pPr>
          </w:p>
        </w:tc>
      </w:tr>
      <w:tr>
        <w:trPr>
          <w:trHeight w:val="161"/>
        </w:trPr>
        <w:tc>
          <w:tcPr>
            <w:tcW w:w="178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Stockholders'</w:t>
            </w:r>
          </w:p>
        </w:tc>
      </w:tr>
      <w:tr>
        <w:trPr>
          <w:trHeight w:val="156"/>
        </w:trPr>
        <w:tc>
          <w:tcPr>
            <w:tcW w:w="86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Deficit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98"/>
              </w:rPr>
              <w:t>Equity (Deficit)</w:t>
            </w:r>
          </w:p>
        </w:tc>
        <w:tc>
          <w:tcPr>
            <w:tcW w:w="40" w:type="dxa"/>
            <w:vAlign w:val="bottom"/>
          </w:tcPr>
          <w:p>
            <w:pPr>
              <w:spacing w:after="0"/>
              <w:rPr>
                <w:sz w:val="13"/>
                <w:szCs w:val="13"/>
                <w:color w:val="auto"/>
              </w:rPr>
            </w:pPr>
          </w:p>
        </w:tc>
      </w:tr>
      <w:tr>
        <w:trPr>
          <w:trHeight w:val="188"/>
        </w:trPr>
        <w:tc>
          <w:tcPr>
            <w:tcW w:w="860" w:type="dxa"/>
            <w:vAlign w:val="bottom"/>
          </w:tcPr>
          <w:p>
            <w:pPr>
              <w:jc w:val="right"/>
              <w:spacing w:after="0"/>
              <w:rPr>
                <w:sz w:val="20"/>
                <w:szCs w:val="20"/>
                <w:color w:val="auto"/>
              </w:rPr>
            </w:pPr>
            <w:r>
              <w:rPr>
                <w:rFonts w:ascii="Arial" w:cs="Arial" w:eastAsia="Arial" w:hAnsi="Arial"/>
                <w:sz w:val="15"/>
                <w:szCs w:val="15"/>
                <w:color w:val="auto"/>
              </w:rPr>
              <w:t>3,205,421</w:t>
            </w:r>
          </w:p>
        </w:tc>
        <w:tc>
          <w:tcPr>
            <w:tcW w:w="140" w:type="dxa"/>
            <w:vAlign w:val="bottom"/>
          </w:tcPr>
          <w:p>
            <w:pPr>
              <w:spacing w:after="0"/>
              <w:rPr>
                <w:sz w:val="16"/>
                <w:szCs w:val="16"/>
                <w:color w:val="auto"/>
              </w:rPr>
            </w:pPr>
          </w:p>
        </w:tc>
        <w:tc>
          <w:tcPr>
            <w:tcW w:w="780" w:type="dxa"/>
            <w:vAlign w:val="bottom"/>
            <w:gridSpan w:val="2"/>
          </w:tcPr>
          <w:p>
            <w:pPr>
              <w:jc w:val="right"/>
              <w:ind w:right="533"/>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1,390</w:t>
            </w:r>
          </w:p>
        </w:tc>
        <w:tc>
          <w:tcPr>
            <w:tcW w:w="140" w:type="dxa"/>
            <w:vAlign w:val="bottom"/>
          </w:tcPr>
          <w:p>
            <w:pPr>
              <w:spacing w:after="0"/>
              <w:rPr>
                <w:sz w:val="16"/>
                <w:szCs w:val="16"/>
                <w:color w:val="auto"/>
              </w:rPr>
            </w:pPr>
          </w:p>
        </w:tc>
        <w:tc>
          <w:tcPr>
            <w:tcW w:w="240" w:type="dxa"/>
            <w:vAlign w:val="bottom"/>
            <w:gridSpan w:val="2"/>
          </w:tcPr>
          <w:p>
            <w:pPr>
              <w:jc w:val="right"/>
              <w:ind w:right="13"/>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(39,808)</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(38,415)</w:t>
            </w:r>
          </w:p>
        </w:tc>
      </w:tr>
      <w:tr>
        <w:trPr>
          <w:trHeight w:val="319"/>
        </w:trPr>
        <w:tc>
          <w:tcPr>
            <w:tcW w:w="860" w:type="dxa"/>
            <w:vAlign w:val="bottom"/>
          </w:tcPr>
          <w:p>
            <w:pPr>
              <w:jc w:val="right"/>
              <w:spacing w:after="0"/>
              <w:rPr>
                <w:sz w:val="20"/>
                <w:szCs w:val="20"/>
                <w:color w:val="auto"/>
              </w:rPr>
            </w:pPr>
            <w:r>
              <w:rPr>
                <w:rFonts w:ascii="Arial" w:cs="Arial" w:eastAsia="Arial" w:hAnsi="Arial"/>
                <w:sz w:val="15"/>
                <w:szCs w:val="15"/>
                <w:color w:val="auto"/>
              </w:rPr>
              <w:t>6,914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w:t>
            </w:r>
          </w:p>
        </w:tc>
        <w:tc>
          <w:tcPr>
            <w:tcW w:w="40" w:type="dxa"/>
            <w:vAlign w:val="bottom"/>
          </w:tcPr>
          <w:p>
            <w:pPr>
              <w:spacing w:after="0"/>
              <w:rPr>
                <w:sz w:val="24"/>
                <w:szCs w:val="24"/>
                <w:color w:val="auto"/>
              </w:rPr>
            </w:pPr>
          </w:p>
        </w:tc>
      </w:tr>
      <w:tr>
        <w:trPr>
          <w:trHeight w:val="194"/>
        </w:trPr>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(43,689)</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338"/>
        </w:trPr>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92</w:t>
            </w:r>
          </w:p>
        </w:tc>
        <w:tc>
          <w:tcPr>
            <w:tcW w:w="40" w:type="dxa"/>
            <w:vAlign w:val="bottom"/>
          </w:tcPr>
          <w:p>
            <w:pPr>
              <w:spacing w:after="0"/>
              <w:rPr>
                <w:sz w:val="24"/>
                <w:szCs w:val="24"/>
                <w:color w:val="auto"/>
              </w:rPr>
            </w:pPr>
          </w:p>
        </w:tc>
      </w:tr>
      <w:tr>
        <w:trPr>
          <w:trHeight w:val="319"/>
        </w:trPr>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(6,899)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76"/>
        </w:trPr>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269</w:t>
            </w:r>
          </w:p>
        </w:tc>
        <w:tc>
          <w:tcPr>
            <w:tcW w:w="40" w:type="dxa"/>
            <w:vAlign w:val="bottom"/>
          </w:tcPr>
          <w:p>
            <w:pPr>
              <w:spacing w:after="0"/>
              <w:rPr>
                <w:sz w:val="15"/>
                <w:szCs w:val="15"/>
                <w:color w:val="auto"/>
              </w:rPr>
            </w:pPr>
          </w:p>
        </w:tc>
      </w:tr>
      <w:tr>
        <w:trPr>
          <w:trHeight w:val="175"/>
        </w:trPr>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(13,731)</w:t>
            </w:r>
          </w:p>
        </w:tc>
        <w:tc>
          <w:tcPr>
            <w:tcW w:w="1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(13,731)</w:t>
            </w:r>
          </w:p>
        </w:tc>
      </w:tr>
      <w:tr>
        <w:trPr>
          <w:trHeight w:val="20"/>
        </w:trPr>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860" w:type="dxa"/>
            <w:vAlign w:val="bottom"/>
          </w:tcPr>
          <w:p>
            <w:pPr>
              <w:jc w:val="right"/>
              <w:spacing w:after="0"/>
              <w:rPr>
                <w:sz w:val="20"/>
                <w:szCs w:val="20"/>
                <w:color w:val="auto"/>
              </w:rPr>
            </w:pPr>
            <w:r>
              <w:rPr>
                <w:rFonts w:ascii="Arial" w:cs="Arial" w:eastAsia="Arial" w:hAnsi="Arial"/>
                <w:sz w:val="15"/>
                <w:szCs w:val="15"/>
                <w:color w:val="auto"/>
              </w:rPr>
              <w:t>3,161,747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1,758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(53,539)</w:t>
            </w:r>
          </w:p>
        </w:tc>
        <w:tc>
          <w:tcPr>
            <w:tcW w:w="16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(51,778)</w:t>
            </w:r>
          </w:p>
        </w:tc>
      </w:tr>
      <w:tr>
        <w:trPr>
          <w:trHeight w:val="500"/>
        </w:trPr>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338"/>
        </w:trPr>
        <w:tc>
          <w:tcPr>
            <w:tcW w:w="860" w:type="dxa"/>
            <w:vAlign w:val="bottom"/>
          </w:tcPr>
          <w:p>
            <w:pPr>
              <w:jc w:val="right"/>
              <w:spacing w:after="0"/>
              <w:rPr>
                <w:sz w:val="20"/>
                <w:szCs w:val="20"/>
                <w:color w:val="auto"/>
              </w:rPr>
            </w:pPr>
            <w:r>
              <w:rPr>
                <w:rFonts w:ascii="Arial" w:cs="Arial" w:eastAsia="Arial" w:hAnsi="Arial"/>
                <w:sz w:val="15"/>
                <w:szCs w:val="15"/>
                <w:color w:val="auto"/>
              </w:rPr>
              <w:t>5,199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w:t>
            </w:r>
          </w:p>
        </w:tc>
        <w:tc>
          <w:tcPr>
            <w:tcW w:w="40" w:type="dxa"/>
            <w:vAlign w:val="bottom"/>
          </w:tcPr>
          <w:p>
            <w:pPr>
              <w:spacing w:after="0"/>
              <w:rPr>
                <w:sz w:val="24"/>
                <w:szCs w:val="24"/>
                <w:color w:val="auto"/>
              </w:rPr>
            </w:pPr>
          </w:p>
        </w:tc>
      </w:tr>
      <w:tr>
        <w:trPr>
          <w:trHeight w:val="319"/>
        </w:trPr>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75</w:t>
            </w:r>
          </w:p>
        </w:tc>
        <w:tc>
          <w:tcPr>
            <w:tcW w:w="40" w:type="dxa"/>
            <w:vAlign w:val="bottom"/>
          </w:tcPr>
          <w:p>
            <w:pPr>
              <w:spacing w:after="0"/>
              <w:rPr>
                <w:sz w:val="24"/>
                <w:szCs w:val="24"/>
                <w:color w:val="auto"/>
              </w:rPr>
            </w:pPr>
          </w:p>
        </w:tc>
      </w:tr>
      <w:tr>
        <w:trPr>
          <w:trHeight w:val="176"/>
        </w:trPr>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297</w:t>
            </w:r>
          </w:p>
        </w:tc>
        <w:tc>
          <w:tcPr>
            <w:tcW w:w="40" w:type="dxa"/>
            <w:vAlign w:val="bottom"/>
          </w:tcPr>
          <w:p>
            <w:pPr>
              <w:spacing w:after="0"/>
              <w:rPr>
                <w:sz w:val="15"/>
                <w:szCs w:val="15"/>
                <w:color w:val="auto"/>
              </w:rPr>
            </w:pPr>
          </w:p>
        </w:tc>
      </w:tr>
      <w:tr>
        <w:trPr>
          <w:trHeight w:val="175"/>
        </w:trPr>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(19,243)</w:t>
            </w:r>
          </w:p>
        </w:tc>
        <w:tc>
          <w:tcPr>
            <w:tcW w:w="1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(19,243)</w:t>
            </w:r>
          </w:p>
        </w:tc>
      </w:tr>
      <w:tr>
        <w:trPr>
          <w:trHeight w:val="20"/>
        </w:trPr>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860" w:type="dxa"/>
            <w:vAlign w:val="bottom"/>
          </w:tcPr>
          <w:p>
            <w:pPr>
              <w:jc w:val="right"/>
              <w:spacing w:after="0"/>
              <w:rPr>
                <w:sz w:val="20"/>
                <w:szCs w:val="20"/>
                <w:color w:val="auto"/>
              </w:rPr>
            </w:pPr>
            <w:r>
              <w:rPr>
                <w:rFonts w:ascii="Arial" w:cs="Arial" w:eastAsia="Arial" w:hAnsi="Arial"/>
                <w:sz w:val="15"/>
                <w:szCs w:val="15"/>
                <w:color w:val="auto"/>
              </w:rPr>
              <w:t>3,166,946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2,140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(72,782)</w:t>
            </w:r>
          </w:p>
        </w:tc>
        <w:tc>
          <w:tcPr>
            <w:tcW w:w="16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(70,639)</w:t>
            </w:r>
          </w:p>
        </w:tc>
      </w:tr>
      <w:tr>
        <w:trPr>
          <w:trHeight w:val="499"/>
        </w:trPr>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338"/>
        </w:trPr>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1,019</w:t>
            </w:r>
          </w:p>
        </w:tc>
        <w:tc>
          <w:tcPr>
            <w:tcW w:w="40" w:type="dxa"/>
            <w:vAlign w:val="bottom"/>
          </w:tcPr>
          <w:p>
            <w:pPr>
              <w:spacing w:after="0"/>
              <w:rPr>
                <w:sz w:val="24"/>
                <w:szCs w:val="24"/>
                <w:color w:val="auto"/>
              </w:rPr>
            </w:pPr>
          </w:p>
        </w:tc>
      </w:tr>
      <w:tr>
        <w:trPr>
          <w:trHeight w:val="481"/>
        </w:trPr>
        <w:tc>
          <w:tcPr>
            <w:tcW w:w="860" w:type="dxa"/>
            <w:vAlign w:val="bottom"/>
          </w:tcPr>
          <w:p>
            <w:pPr>
              <w:jc w:val="right"/>
              <w:spacing w:after="0"/>
              <w:rPr>
                <w:sz w:val="20"/>
                <w:szCs w:val="20"/>
                <w:color w:val="auto"/>
              </w:rPr>
            </w:pPr>
            <w:r>
              <w:rPr>
                <w:rFonts w:ascii="Arial" w:cs="Arial" w:eastAsia="Arial" w:hAnsi="Arial"/>
                <w:sz w:val="15"/>
                <w:szCs w:val="15"/>
                <w:color w:val="auto"/>
              </w:rPr>
              <w:t>21,369,774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83"/>
              </w:rPr>
              <w:t>21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175,022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175,043</w:t>
            </w:r>
          </w:p>
        </w:tc>
        <w:tc>
          <w:tcPr>
            <w:tcW w:w="40" w:type="dxa"/>
            <w:vAlign w:val="bottom"/>
          </w:tcPr>
          <w:p>
            <w:pPr>
              <w:spacing w:after="0"/>
              <w:rPr>
                <w:sz w:val="24"/>
                <w:szCs w:val="24"/>
                <w:color w:val="auto"/>
              </w:rPr>
            </w:pPr>
          </w:p>
        </w:tc>
      </w:tr>
      <w:tr>
        <w:trPr>
          <w:trHeight w:val="194"/>
        </w:trPr>
        <w:tc>
          <w:tcPr>
            <w:tcW w:w="860" w:type="dxa"/>
            <w:vAlign w:val="bottom"/>
          </w:tcPr>
          <w:p>
            <w:pPr>
              <w:jc w:val="right"/>
              <w:spacing w:after="0"/>
              <w:rPr>
                <w:sz w:val="20"/>
                <w:szCs w:val="20"/>
                <w:color w:val="auto"/>
              </w:rPr>
            </w:pPr>
            <w:r>
              <w:rPr>
                <w:rFonts w:ascii="Arial" w:cs="Arial" w:eastAsia="Arial" w:hAnsi="Arial"/>
                <w:sz w:val="15"/>
                <w:szCs w:val="15"/>
                <w:color w:val="auto"/>
              </w:rPr>
              <w:t>2,564,759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661"/>
        </w:trPr>
        <w:tc>
          <w:tcPr>
            <w:tcW w:w="860" w:type="dxa"/>
            <w:vAlign w:val="bottom"/>
          </w:tcPr>
          <w:p>
            <w:pPr>
              <w:jc w:val="right"/>
              <w:spacing w:after="0"/>
              <w:rPr>
                <w:sz w:val="20"/>
                <w:szCs w:val="20"/>
                <w:color w:val="auto"/>
              </w:rPr>
            </w:pPr>
            <w:r>
              <w:rPr>
                <w:rFonts w:ascii="Arial" w:cs="Arial" w:eastAsia="Arial" w:hAnsi="Arial"/>
                <w:sz w:val="15"/>
                <w:szCs w:val="15"/>
                <w:color w:val="auto"/>
              </w:rPr>
              <w:t>12,512,000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83"/>
              </w:rPr>
              <w:t>13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364,387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364,400</w:t>
            </w:r>
          </w:p>
        </w:tc>
        <w:tc>
          <w:tcPr>
            <w:tcW w:w="40" w:type="dxa"/>
            <w:vAlign w:val="bottom"/>
          </w:tcPr>
          <w:p>
            <w:pPr>
              <w:spacing w:after="0"/>
              <w:rPr>
                <w:sz w:val="24"/>
                <w:szCs w:val="24"/>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5"/>
                <w:szCs w:val="15"/>
                <w:color w:val="auto"/>
              </w:rPr>
              <w:t>48,932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338"/>
        </w:trPr>
        <w:tc>
          <w:tcPr>
            <w:tcW w:w="860" w:type="dxa"/>
            <w:vAlign w:val="bottom"/>
          </w:tcPr>
          <w:p>
            <w:pPr>
              <w:jc w:val="right"/>
              <w:spacing w:after="0"/>
              <w:rPr>
                <w:sz w:val="20"/>
                <w:szCs w:val="20"/>
                <w:color w:val="auto"/>
              </w:rPr>
            </w:pPr>
            <w:r>
              <w:rPr>
                <w:rFonts w:ascii="Arial" w:cs="Arial" w:eastAsia="Arial" w:hAnsi="Arial"/>
                <w:sz w:val="15"/>
                <w:szCs w:val="15"/>
                <w:color w:val="auto"/>
              </w:rPr>
              <w:t>182,111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299</w:t>
            </w:r>
          </w:p>
        </w:tc>
        <w:tc>
          <w:tcPr>
            <w:tcW w:w="40" w:type="dxa"/>
            <w:vAlign w:val="bottom"/>
          </w:tcPr>
          <w:p>
            <w:pPr>
              <w:spacing w:after="0"/>
              <w:rPr>
                <w:sz w:val="24"/>
                <w:szCs w:val="24"/>
                <w:color w:val="auto"/>
              </w:rPr>
            </w:pPr>
          </w:p>
        </w:tc>
      </w:tr>
      <w:tr>
        <w:trPr>
          <w:trHeight w:val="319"/>
        </w:trPr>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27</w:t>
            </w:r>
          </w:p>
        </w:tc>
        <w:tc>
          <w:tcPr>
            <w:tcW w:w="40" w:type="dxa"/>
            <w:vAlign w:val="bottom"/>
          </w:tcPr>
          <w:p>
            <w:pPr>
              <w:spacing w:after="0"/>
              <w:rPr>
                <w:sz w:val="24"/>
                <w:szCs w:val="24"/>
                <w:color w:val="auto"/>
              </w:rPr>
            </w:pPr>
          </w:p>
        </w:tc>
      </w:tr>
      <w:tr>
        <w:trPr>
          <w:trHeight w:val="176"/>
        </w:trPr>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5,436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5,436</w:t>
            </w:r>
          </w:p>
        </w:tc>
        <w:tc>
          <w:tcPr>
            <w:tcW w:w="40" w:type="dxa"/>
            <w:vAlign w:val="bottom"/>
          </w:tcPr>
          <w:p>
            <w:pPr>
              <w:spacing w:after="0"/>
              <w:rPr>
                <w:sz w:val="15"/>
                <w:szCs w:val="15"/>
                <w:color w:val="auto"/>
              </w:rPr>
            </w:pPr>
          </w:p>
        </w:tc>
      </w:tr>
      <w:tr>
        <w:trPr>
          <w:trHeight w:val="175"/>
        </w:trPr>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(45,740)</w:t>
            </w:r>
          </w:p>
        </w:tc>
        <w:tc>
          <w:tcPr>
            <w:tcW w:w="1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(45,740)</w:t>
            </w:r>
          </w:p>
        </w:tc>
      </w:tr>
      <w:tr>
        <w:trPr>
          <w:trHeight w:val="20"/>
        </w:trPr>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39,844,522</w:t>
            </w:r>
          </w:p>
        </w:tc>
        <w:tc>
          <w:tcPr>
            <w:tcW w:w="140" w:type="dxa"/>
            <w:vAlign w:val="bottom"/>
          </w:tcPr>
          <w:p>
            <w:pPr>
              <w:spacing w:after="0"/>
              <w:rPr>
                <w:sz w:val="14"/>
                <w:szCs w:val="14"/>
                <w:color w:val="auto"/>
              </w:rPr>
            </w:pPr>
          </w:p>
        </w:tc>
        <w:tc>
          <w:tcPr>
            <w:tcW w:w="780" w:type="dxa"/>
            <w:vAlign w:val="bottom"/>
            <w:gridSpan w:val="2"/>
          </w:tcPr>
          <w:p>
            <w:pPr>
              <w:jc w:val="right"/>
              <w:ind w:right="533"/>
              <w:spacing w:after="0" w:line="169"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69" w:lineRule="exact"/>
              <w:rPr>
                <w:sz w:val="20"/>
                <w:szCs w:val="20"/>
                <w:color w:val="auto"/>
              </w:rPr>
            </w:pPr>
            <w:r>
              <w:rPr>
                <w:rFonts w:ascii="Arial" w:cs="Arial" w:eastAsia="Arial" w:hAnsi="Arial"/>
                <w:sz w:val="15"/>
                <w:szCs w:val="15"/>
                <w:color w:val="auto"/>
                <w:w w:val="83"/>
              </w:rPr>
              <w:t>40</w:t>
            </w:r>
          </w:p>
        </w:tc>
        <w:tc>
          <w:tcPr>
            <w:tcW w:w="22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548,327</w:t>
            </w:r>
          </w:p>
        </w:tc>
        <w:tc>
          <w:tcPr>
            <w:tcW w:w="140" w:type="dxa"/>
            <w:vAlign w:val="bottom"/>
          </w:tcPr>
          <w:p>
            <w:pPr>
              <w:spacing w:after="0"/>
              <w:rPr>
                <w:sz w:val="14"/>
                <w:szCs w:val="14"/>
                <w:color w:val="auto"/>
              </w:rPr>
            </w:pPr>
          </w:p>
        </w:tc>
        <w:tc>
          <w:tcPr>
            <w:tcW w:w="240" w:type="dxa"/>
            <w:vAlign w:val="bottom"/>
            <w:gridSpan w:val="2"/>
          </w:tcPr>
          <w:p>
            <w:pPr>
              <w:jc w:val="right"/>
              <w:ind w:right="13"/>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(118,522)</w:t>
            </w: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429,845</w:t>
            </w:r>
          </w:p>
        </w:tc>
        <w:tc>
          <w:tcPr>
            <w:tcW w:w="40" w:type="dxa"/>
            <w:vAlign w:val="bottom"/>
          </w:tcPr>
          <w:p>
            <w:pPr>
              <w:spacing w:after="0"/>
              <w:rPr>
                <w:sz w:val="14"/>
                <w:szCs w:val="14"/>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00" w:space="180"/>
            <w:col w:w="5800"/>
          </w:cols>
          <w:pgMar w:left="320" w:top="337" w:right="399" w:bottom="1440" w:gutter="0" w:footer="0" w:header="0"/>
          <w:type w:val="continuous"/>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Year Ended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20"/>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(45,740)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(19,243)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(13,731)</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Amortization of term loan discount and issuance costs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fair value of compound derivative liability and warrants</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Gain on assignment of lease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early debt extinguishment</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 due from related-party</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3"/>
        </w:trPr>
        <w:tc>
          <w:tcPr>
            <w:tcW w:w="570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0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(3,744)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2,976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current liabilities</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500"/>
              <w:spacing w:after="0"/>
              <w:rPr>
                <w:sz w:val="20"/>
                <w:szCs w:val="20"/>
                <w:color w:val="auto"/>
              </w:rPr>
            </w:pPr>
            <w:r>
              <w:rPr>
                <w:rFonts w:ascii="Arial" w:cs="Arial" w:eastAsia="Arial" w:hAnsi="Arial"/>
                <w:sz w:val="16"/>
                <w:szCs w:val="16"/>
                <w:color w:val="auto"/>
              </w:rPr>
              <w:t>Other non-current liabilities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0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(38,289)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(14,249)</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(13,190)</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Purchase of property and equipment</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(353)</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Proceeds from assets held for sale</w:t>
            </w:r>
          </w:p>
        </w:tc>
        <w:tc>
          <w:tcPr>
            <w:tcW w:w="9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(353)</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07"/>
        </w:trPr>
        <w:tc>
          <w:tcPr>
            <w:tcW w:w="57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9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common stock offerings, net</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368,256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Payments of offering costs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(3,848)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common stock under equity incentive plans</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Proceeds from issuance of convertible preferred stock, net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104,680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9,430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Cash paid for repurchase of common stock</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Proceeds from issuance of term loan, net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5,917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Cash paid for early debt extinguishment</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(6,506)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462,881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15,357</w:t>
            </w:r>
          </w:p>
        </w:tc>
        <w:tc>
          <w:tcPr>
            <w:tcW w:w="24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and cash equivalents</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425,202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(13,842)</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9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8,262</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end of year</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434,219</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w:t>
            </w:r>
          </w:p>
        </w:tc>
        <w:tc>
          <w:tcPr>
            <w:tcW w:w="9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Cash paid for taxes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non-cash investing and financing</w:t>
            </w: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activities</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Vesting of early exercised stock options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75</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Acquisition of property and equipment in accounts payable and accrued</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expenses</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Debt issuance costs in accounts payable</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Conversion of convertible preferred stock into common stock upon</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closing of initial public offering</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175,043</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6"/>
                <w:szCs w:val="16"/>
                <w:color w:val="auto"/>
              </w:rPr>
              <w:t>Accumulated dividend on convertible preferred stock</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ind w:left="600" w:right="9520" w:hanging="592"/>
        <w:spacing w:after="0" w:line="400" w:lineRule="auto"/>
        <w:tabs>
          <w:tab w:leader="none" w:pos="266"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ORGANIZATION </w:t>
      </w:r>
      <w:r>
        <w:rPr>
          <w:rFonts w:ascii="Arial" w:cs="Arial" w:eastAsia="Arial" w:hAnsi="Arial"/>
          <w:sz w:val="17"/>
          <w:szCs w:val="17"/>
          <w:b w:val="1"/>
          <w:bCs w:val="1"/>
          <w:i w:val="1"/>
          <w:iCs w:val="1"/>
          <w:color w:val="auto"/>
        </w:rPr>
        <w:t>Organization</w:t>
      </w:r>
    </w:p>
    <w:p>
      <w:pPr>
        <w:ind w:right="20" w:firstLine="589"/>
        <w:spacing w:after="0" w:line="270"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After Inception, ALX Oncology Limited became a wholly-owned subsidiary of the Company as a result of the internal reorganization. As part of the internal reorganization, all of the equity, option and warrant holders of ALX Oncology Limited became equity, option and warrant holders of the Company, holding the same number of corresponding shares, options and/or warrants in the Company as they did in ALX Oncology Limited immediately prior to the internal reorganization. The information included herein is presented as that of ALX Oncology Holdings Inc. unless such information refers to a date prior to April 1, 2020, in which case it will reflect that of ALX Oncology Limited, the predecessor company. The Company is a clinical-stage immuno-oncology company focused on helping patients fight cancer by developing therapies that block the CD47 checkpoint pathway and bridge the innate and adaptive immune system.</w:t>
      </w:r>
    </w:p>
    <w:p>
      <w:pPr>
        <w:spacing w:after="0" w:line="18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The Company owns subsidiaries, consisting of ALX Oncology Limited, incorporated in Ireland; ALX Oncology Inc., incorporated in the United States, Alexo International Holdings Ltd, incorporated in Malta; Alexo Therapeutics International, incorporated in the Cayman Islands, which is a wholly-owned subsidiary of Alexo International Holdings Ltd., and Sirpant Therapeutics, incorporated in the Cayman Islands, which is a wholly-owned subsidiary of Alexo Therapeutics International, or collectively, the Subsidiaries.</w:t>
      </w:r>
    </w:p>
    <w:p>
      <w:pPr>
        <w:spacing w:after="0" w:line="187"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As of December 31, 2020, the Company has devoted substantially all of its efforts to the formation and financing of the Company, as well as product development, and has not realized product revenues from its planned principal operations. The Company has no manufacturing facilities and all manufacturing related activities are contracted out to third-party service providers.</w:t>
      </w:r>
    </w:p>
    <w:p>
      <w:pPr>
        <w:spacing w:after="0" w:line="184"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spacing w:after="0" w:line="270" w:lineRule="exact"/>
        <w:rPr>
          <w:sz w:val="20"/>
          <w:szCs w:val="20"/>
          <w:color w:val="auto"/>
        </w:rPr>
      </w:pPr>
    </w:p>
    <w:p>
      <w:pPr>
        <w:ind w:left="600" w:right="7560" w:hanging="592"/>
        <w:spacing w:after="0" w:line="378" w:lineRule="auto"/>
        <w:tabs>
          <w:tab w:leader="none" w:pos="266"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Preparation</w:t>
      </w:r>
    </w:p>
    <w:p>
      <w:pPr>
        <w:ind w:right="280" w:firstLine="589"/>
        <w:spacing w:after="0" w:line="308" w:lineRule="auto"/>
        <w:rPr>
          <w:sz w:val="20"/>
          <w:szCs w:val="20"/>
          <w:color w:val="auto"/>
        </w:rPr>
      </w:pPr>
      <w:r>
        <w:rPr>
          <w:rFonts w:ascii="Arial" w:cs="Arial" w:eastAsia="Arial" w:hAnsi="Arial"/>
          <w:sz w:val="17"/>
          <w:szCs w:val="17"/>
          <w:color w:val="auto"/>
        </w:rPr>
        <w:t>These consolidated financial statements have been prepared in accordance with accounting principles generally accepted in the United States of America, or U.S. GAAP, and the applicable rules and regulations of the U.S. Securities and Exchange Commission, or SEC.</w:t>
      </w:r>
    </w:p>
    <w:p>
      <w:pPr>
        <w:spacing w:after="0" w:line="25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0" w:name="page121"/>
    <w:bookmarkEnd w:id="120"/>
    <w:p>
      <w:pPr>
        <w:ind w:left="6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 July 8, 2020, the Company’s board of directors approved an amendment to the Company’s certificate of incorporation to effect a 1-for-6.5806 reverse split of its common stock and convertible preferred stock. The par values of the common and convertible preferred stock were not adjusted as a result of the reverse stock split. All authorized, issued and outstanding common stock, convertible preferred stock, stock options, warrants, and related per share amounts contained in the consolidated financial statements have been retroactively adjusted to reflect this reverse stock split for all periods presented. The reverse stock split was effected on July 9, 2020.</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stock warrant liability, term loan compound derivative liability, term loan, valuation of the Company’s common stock,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accounts and are stated at fair value.</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Concentration of Credit Risk, Credit Losses and Other Risks and Uncertainties</w:t>
      </w:r>
    </w:p>
    <w:p>
      <w:pPr>
        <w:spacing w:after="0" w:line="117" w:lineRule="exact"/>
        <w:rPr>
          <w:sz w:val="20"/>
          <w:szCs w:val="20"/>
          <w:color w:val="auto"/>
        </w:rPr>
      </w:pPr>
    </w:p>
    <w:p>
      <w:pPr>
        <w:ind w:right="360" w:firstLine="589"/>
        <w:spacing w:after="0" w:line="25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primarily of cash and cash equivalents. The Company maintains deposits in federally insured financial institutions in excess of federally insured limits, and invests in money market funds. The Company is exposed to credit risk in the event of default by the financial institutions holding its cash and cash equivalents. The Company has not experienced any losses on its deposits of cash and cash equivalents.</w:t>
      </w:r>
    </w:p>
    <w:p>
      <w:pPr>
        <w:spacing w:after="0" w:line="18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88"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Company’s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1" w:name="page122"/>
    <w:bookmarkEnd w:id="121"/>
    <w:p>
      <w:pPr>
        <w:ind w:left="6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Property and equipment are stated at cost less accumulated depreciation. Depreciation of property and equipment is provided using the straight-line method over the estimated useful lives of the assets. Upon sale or retirement of assets, the cost and related accumulated depreciation or amortization are removed from the consolidated balance sheet and the resulting gain or loss is reflected in the consolidated statement of operations and comprehensive loss. Maintenance and repairs are charged to the consolidated statement of operations and comprehensive loss as incurred.</w:t>
      </w:r>
    </w:p>
    <w:p>
      <w:pPr>
        <w:spacing w:after="0" w:line="26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jc w:val="both"/>
        <w:ind w:right="500" w:firstLine="589"/>
        <w:spacing w:after="0" w:line="286"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equity financing.</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Company reviews property and equipment for impairment whenever events or changes in circumstances indicate that the carrying amount of an asset or asset group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 Company has not recorded impairment of any long-lived assets.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40" w:firstLine="589"/>
        <w:spacing w:after="0" w:line="296"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required to be recognized or disclosed at fair value in the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61"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The Company’s financial instruments consist of cash and cash equivalents, receivables due from related-party, accounts payable, the term loan compound derivative liability and the Series B convertible preferred stock warrant liability. The term loan compound derivative liability and the Series B convertible preferred stock warrant liability are re-measured at the end of every period and carried at fair value (Note 3). The recorded value of the Company’s receivables due from related-party and accounts payable approximates its current fair value due to the relatively short-term nature of these items.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as amended, with Silicon Valley Bank, or SVB, and WestRiver Innovation Lending Fund VIII, LP, or WestRiver, collectively as lenders, and SVB,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22" w:name="page123"/>
    <w:bookmarkEnd w:id="122"/>
    <w:p>
      <w:pPr>
        <w:ind w:left="6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Company records convertible preferred stock net of issuance costs on the dates of issuance, which represents the carrying value. In the event of a change of control of the Company, proceeds will be distributed in accordance with the liquidation preferences set forth in its organization documents unless the holders of convertible preferred stock have converted their convertible preferred stock into common stock. Convertible preferred stock is classified outside of stockholders’ equity (deficit) on the accompanying consolidated balance sheets as events triggering the liquidation preferences are not solely within the Company’s control. The Company has elected not to adjust the carrying values of the convertible preferred stock to the liquidation preferences of such shares because of the uncertainty of whether or when such an event would occur. Upon the consummation of the Company’s initial public offering in July 2020, all shares of convertible preferred stock outstanding and accrued cumulative dividends automatically converted into 23,934,533 shares of common stock.</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Series B Convertible Preferred Stock Warrant Liability</w:t>
      </w:r>
    </w:p>
    <w:p>
      <w:pPr>
        <w:spacing w:after="0" w:line="11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The Company has issued freestanding warrants to purchase its Series B convertible preferred stock. Freestanding warrants for the Company’s convertible preferred stock that are classified outside of permanent equity are recorded at fair value, and are subject to re-measurement at the end of every period until the earlier of the exercise of the warrants or the completion of a liquidation event, including the completion of an initial public offering. Upon exercise, the Series B convertible preferred stock warrant liability would be reclassified to additional paid-in capital, with any change in fair value recognized as a component of other expense, net. Following the Company’s initial public offering, the warrants were automatically converted to warrants to purchase shares of common stock (Note 5). The Company revalued the Series B convertible preferred stock warrants as of the completion of the initial public offering and reclassified the outstanding preferred stock warrant liability balance to additional paid-in capital with no further re-measurement required as common stock warrants are considered permanent equity.</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To date, the Company has derived revenue from providing research and development services on a time and materials basis to a related-party.</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recognizes such revenues over time as services are delivered, and invoices the customer as the work is incurred in arrears.</w:t>
      </w:r>
    </w:p>
    <w:p>
      <w:pPr>
        <w:spacing w:after="0" w:line="237"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The Company recognizes revenue when its customer obtains control of promised goods or services, in an amount that reflects the consideration which the Company expects to receive in exchange for those goods or services.</w:t>
      </w:r>
    </w:p>
    <w:p>
      <w:pPr>
        <w:spacing w:after="0" w:line="170"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 xml:space="preserve">To determine revenue recognition for arrangements that the Company determines are within the scope of ASC Topic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(Topic 606), the Company performs the following five steps: (i) identify the contract(s) with a customer; (ii) identify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the contract; (iii) determine the transaction price; (iv) allocate the transaction price to the performance obligations in the contract; and (v) recognize revenue when (or as) the Company satisfies a performance obligation.</w:t>
      </w:r>
    </w:p>
    <w:p>
      <w:pPr>
        <w:spacing w:after="0" w:line="187"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3" w:name="page124"/>
    <w:bookmarkEnd w:id="123"/>
    <w:p>
      <w:pPr>
        <w:ind w:left="600"/>
        <w:spacing w:after="0"/>
        <w:rPr>
          <w:sz w:val="20"/>
          <w:szCs w:val="20"/>
          <w:color w:val="auto"/>
        </w:rPr>
      </w:pPr>
      <w:r>
        <w:rPr>
          <w:rFonts w:ascii="Arial" w:cs="Arial" w:eastAsia="Arial" w:hAnsi="Arial"/>
          <w:sz w:val="18"/>
          <w:szCs w:val="18"/>
          <w:b w:val="1"/>
          <w:bCs w:val="1"/>
          <w:i w:val="1"/>
          <w:iCs w:val="1"/>
          <w:color w:val="auto"/>
        </w:rPr>
        <w:t>Cost of Services for Related-Party Revenue</w:t>
      </w:r>
    </w:p>
    <w:p>
      <w:pPr>
        <w:spacing w:after="0" w:line="11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consolidated statements of operations and comprehensive loss.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Research and development costs are expensed as incurred and consist primarily of salaries and benefits, stock-based compensation expense, lab supplies and facility costs, as well as fees paid to nonemployees and entities that conduct certain research and development activities on behalf of the Company and expenses incurred in connection with license agreements (Note 9).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Clinical and Manufacturing Accruals</w:t>
      </w:r>
    </w:p>
    <w:p>
      <w:pPr>
        <w:spacing w:after="0" w:line="117" w:lineRule="exact"/>
        <w:rPr>
          <w:sz w:val="20"/>
          <w:szCs w:val="20"/>
          <w:color w:val="auto"/>
        </w:rPr>
      </w:pPr>
    </w:p>
    <w:p>
      <w:pPr>
        <w:ind w:right="60" w:firstLine="589"/>
        <w:spacing w:after="0" w:line="289" w:lineRule="auto"/>
        <w:rPr>
          <w:sz w:val="20"/>
          <w:szCs w:val="20"/>
          <w:color w:val="auto"/>
        </w:rPr>
      </w:pPr>
      <w:r>
        <w:rPr>
          <w:rFonts w:ascii="Arial" w:cs="Arial" w:eastAsia="Arial" w:hAnsi="Arial"/>
          <w:sz w:val="16"/>
          <w:szCs w:val="16"/>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66"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its clinical and non-clinical studies and other third-party vendors. Through December 31, 2020,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The Company accounts for stock-based compensation by measuring and recognizing compensation expense for all stock-based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stock-based awards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Prior to the Company’s initial public offering, the fair value of the common stock underlying the stock-based awards was determined on each grant date by the board of directors, with input from management, considering the most recently available third-party valuation of common shares. The Company accounts for the effect of forfeitures as they occur.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4" w:name="page125"/>
    <w:bookmarkEnd w:id="124"/>
    <w:p>
      <w:pPr>
        <w:ind w:left="6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manages its operations as a single operating segment for the purposes of assessing performance and making operating decisions.</w:t>
      </w:r>
    </w:p>
    <w:p>
      <w:pPr>
        <w:spacing w:after="0" w:line="35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expense, net, and were immaterial for the years December 31, 2020, 2019 and 2018.</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 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29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Comprehensive loss is equal to net loss for all periods presented.</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160" w:firstLine="589"/>
        <w:spacing w:after="0" w:line="286" w:lineRule="auto"/>
        <w:rPr>
          <w:sz w:val="20"/>
          <w:szCs w:val="20"/>
          <w:color w:val="auto"/>
        </w:rPr>
      </w:pPr>
      <w:r>
        <w:rPr>
          <w:rFonts w:ascii="Arial" w:cs="Arial" w:eastAsia="Arial" w:hAnsi="Arial"/>
          <w:sz w:val="17"/>
          <w:szCs w:val="17"/>
          <w:color w:val="auto"/>
        </w:rPr>
        <w:t>Basic net loss per share is calculated by dividing the net loss attributable to common stockholders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165"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common stock and participating securities according to dividends declared or accumulated and participation rights in undistributed earnings. The two-class method requires net loss available to common stockholders for the period to be allocated between common and participating securities based upon their respective rights to share in the earnings as if all net loss for the period had been distributed. The Company’s convertible preferred stock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5" w:name="page126"/>
    <w:bookmarkEnd w:id="125"/>
    <w:p>
      <w:pPr>
        <w:ind w:left="6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the Company beginning January 1, 2022 (or earlier if the Company ceases to be an emerging growth company). Early adoption is permitted. The Company is currently evaluating the effects of the adoption of this guidance on its consolidated financial statements and related disclosures.</w:t>
      </w:r>
    </w:p>
    <w:p>
      <w:pPr>
        <w:spacing w:after="0" w:line="17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consolidated financial statements.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New Accounting Pronouncements Recently Adopted</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In June 2016, the FASB issued ASU No.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The Company early adopted this guidance on January 1, 2020. For trade receivables and other instruments, the Company uses a new forward-looking expected loss model that generally results in the earlier recognition of allowances for losses. For available-for-sale debt securities with unrealized losses, the losses are recognized as allowances rather than as reductions in the amortized cost of the securities. The adoption of the guidance did not have a material impact on the Consolidated Financial Statements and related disclosures and there was no allowance for losses for the year ended December 31, 2020.</w:t>
      </w:r>
    </w:p>
    <w:p>
      <w:pPr>
        <w:spacing w:after="0" w:line="166"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In September 2018, the FASB issued ASU No. 2018-13, Fair Value Measurement (Topic 820): Disclosure Framework—Changes to the Disclosure Requirements for Fair Value Measurement. The FASB issued final guidance that eliminates, adds and modifies certain disclosure requirements for fair value measurements as part of its disclosure framework project. Under the ASU, entities will no longer be required to disclose the amount of transfers between Level 1 and Level 2 of the fair value hierarchy. Public companies will be required to disclose changes in unrealized gains and losses for the period included in other comprehensive income for recurring Level 3 fair value measurements held at the end of the reporting period and the range and weighted average used to develop significant unobservable inputs for Level 3 fair value measurements. ASU 2018-13 is effective for public business entities for annual reporting periods, and interim periods within those annual periods, beginning after December 15, 2019, with early adoption permitted. The Company adopted this guidance on January 1, 2020. The adoption of ASU 2018-13 did not have a material impact on its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fair value of the Company’s financial assets and liabilities are determined in accordance with the fair value hierarchy established in ASC Topic 820,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1—Observable inputs, such as quoted prices in active markets;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6" w:name="page127"/>
    <w:bookmarkEnd w:id="126"/>
    <w:p>
      <w:pPr>
        <w:ind w:left="600" w:right="160"/>
        <w:spacing w:after="0" w:line="263" w:lineRule="auto"/>
        <w:rPr>
          <w:sz w:val="20"/>
          <w:szCs w:val="20"/>
          <w:color w:val="auto"/>
        </w:rPr>
      </w:pPr>
      <w:r>
        <w:rPr>
          <w:rFonts w:ascii="Arial" w:cs="Arial" w:eastAsia="Arial" w:hAnsi="Arial"/>
          <w:sz w:val="18"/>
          <w:szCs w:val="18"/>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 and</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237"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The Company’s financial instruments consist of cash and cash equivalents, receivables due from related-party, accounts payable, the term loan compound derivative liability and the Series B convertible preferred stock warrant liability.</w:t>
      </w:r>
    </w:p>
    <w:p>
      <w:pPr>
        <w:spacing w:after="0" w:line="170"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Cash and cash equivalents are reported at their respective fair values on the Company’s consolidated balance sheets. Where quoted prices are available in an active market, securities are classified as Level 1. The Company classifies money market funds as Level 1. When quoted market prices are not available for the specific security, then the Company estimates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66"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The Company measures its Series B convertible preferred stock warrant liability and term loan compound derivative liability at fair value on a recurring basis and these are classified as Level 3 liabilities. The fair value of the Series B convertible preferred stock warrant liability was determined using an option-pricing model. The Company revalued the Series B convertible preferred stock warrants as of the completion of the initial public offering and reclassified the outstanding preferred stock warrant liability balance to additional paid-in capital with no further re-measurement required as the common stock warrants are considered permanent equity effective with the completion of the initial public offering. The Company calculated the fair value of the term loan compound derivative liability by computing the 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5. The compound derivative liability was extinguished upon the extinguishment of the host instrument in December 2020 (Note 5).</w:t>
      </w:r>
    </w:p>
    <w:p>
      <w:pPr>
        <w:spacing w:after="0" w:line="181"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that are measured at fair value on a recurring basis by level within the fair value hierarchy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As of December 31, 2020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5"/>
        </w:trPr>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r>
      <w:tr>
        <w:trPr>
          <w:trHeight w:val="155"/>
        </w:trPr>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6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3"/>
          </w:tcPr>
          <w:p>
            <w:pPr>
              <w:spacing w:after="0" w:line="189" w:lineRule="exact"/>
              <w:rPr>
                <w:sz w:val="20"/>
                <w:szCs w:val="20"/>
                <w:color w:val="auto"/>
              </w:rPr>
            </w:pPr>
            <w:r>
              <w:rPr>
                <w:rFonts w:ascii="Arial" w:cs="Arial" w:eastAsia="Arial" w:hAnsi="Arial"/>
                <w:sz w:val="18"/>
                <w:szCs w:val="18"/>
                <w:color w:val="auto"/>
              </w:rPr>
              <w:t>Cash equivalents</w:t>
            </w: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424,115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420"/>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As of December 31, 2019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
        </w:trPr>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r>
      <w:tr>
        <w:trPr>
          <w:trHeight w:val="155"/>
        </w:trPr>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6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3"/>
          </w:tcPr>
          <w:p>
            <w:pPr>
              <w:spacing w:after="0" w:line="189" w:lineRule="exact"/>
              <w:rPr>
                <w:sz w:val="20"/>
                <w:szCs w:val="20"/>
                <w:color w:val="auto"/>
              </w:rPr>
            </w:pPr>
            <w:r>
              <w:rPr>
                <w:rFonts w:ascii="Arial" w:cs="Arial" w:eastAsia="Arial" w:hAnsi="Arial"/>
                <w:sz w:val="18"/>
                <w:szCs w:val="18"/>
                <w:color w:val="auto"/>
              </w:rPr>
              <w:t>Non-current liabilities</w:t>
            </w: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Compound derivative liability</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Warrant liability</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361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27" w:name="page128"/>
    <w:bookmarkEnd w:id="127"/>
    <w:p>
      <w:pPr>
        <w:ind w:left="600"/>
        <w:spacing w:after="0"/>
        <w:rPr>
          <w:sz w:val="20"/>
          <w:szCs w:val="20"/>
          <w:color w:val="auto"/>
        </w:rPr>
      </w:pPr>
      <w:r>
        <w:rPr>
          <w:rFonts w:ascii="Arial" w:cs="Arial" w:eastAsia="Arial" w:hAnsi="Arial"/>
          <w:sz w:val="17"/>
          <w:szCs w:val="17"/>
          <w:color w:val="auto"/>
        </w:rPr>
        <w:t>The following table is a reconciliation of all financial liabilities measured at fair value using Level 3 unobservable inputs (in thousands):</w:t>
      </w:r>
    </w:p>
    <w:p>
      <w:pPr>
        <w:spacing w:after="0" w:line="30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3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4"/>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6"/>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96"/>
              <w:spacing w:after="0" w:line="147" w:lineRule="exact"/>
              <w:rPr>
                <w:sz w:val="20"/>
                <w:szCs w:val="20"/>
                <w:color w:val="auto"/>
              </w:rPr>
            </w:pPr>
            <w:r>
              <w:rPr>
                <w:rFonts w:ascii="Arial" w:cs="Arial" w:eastAsia="Arial" w:hAnsi="Arial"/>
                <w:sz w:val="14"/>
                <w:szCs w:val="14"/>
                <w:b w:val="1"/>
                <w:bCs w:val="1"/>
                <w:color w:val="auto"/>
                <w:w w:val="94"/>
              </w:rPr>
              <w:t>Compound</w:t>
            </w:r>
          </w:p>
        </w:tc>
        <w:tc>
          <w:tcPr>
            <w:tcW w:w="80" w:type="dxa"/>
            <w:vAlign w:val="bottom"/>
          </w:tcPr>
          <w:p>
            <w:pPr>
              <w:spacing w:after="0"/>
              <w:rPr>
                <w:sz w:val="12"/>
                <w:szCs w:val="12"/>
                <w:color w:val="auto"/>
              </w:rPr>
            </w:pPr>
          </w:p>
        </w:tc>
      </w:tr>
      <w:tr>
        <w:trPr>
          <w:trHeight w:val="162"/>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Warrant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r>
      <w:tr>
        <w:trPr>
          <w:trHeight w:val="17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Liability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year</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Reclassification to equity</w:t>
            </w: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w w:val="98"/>
              </w:rPr>
              <w:t>Extinguishment of compound derivative liability upon extinguishment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of host instrument</w:t>
            </w: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Fair value at end of year</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There were no transfers of assets or liabilities between the fair value measurement levels during the years ended December 31, 2020 and 2019.</w:t>
      </w:r>
    </w:p>
    <w:p>
      <w:pPr>
        <w:spacing w:after="0" w:line="248" w:lineRule="exact"/>
        <w:rPr>
          <w:sz w:val="20"/>
          <w:szCs w:val="20"/>
          <w:color w:val="auto"/>
        </w:rPr>
      </w:pPr>
    </w:p>
    <w:p>
      <w:pPr>
        <w:ind w:right="700" w:firstLine="589"/>
        <w:spacing w:after="0" w:line="277" w:lineRule="auto"/>
        <w:rPr>
          <w:sz w:val="20"/>
          <w:szCs w:val="20"/>
          <w:color w:val="auto"/>
        </w:rPr>
      </w:pPr>
      <w:r>
        <w:rPr>
          <w:rFonts w:ascii="Arial" w:cs="Arial" w:eastAsia="Arial" w:hAnsi="Arial"/>
          <w:sz w:val="18"/>
          <w:szCs w:val="18"/>
          <w:color w:val="auto"/>
        </w:rPr>
        <w:t>The carrying values of the Company’s financial instruments, such as accounts payable and accrued expenses and other current liabilities, approximate fair value due to the short-term nature of these items.</w:t>
      </w:r>
    </w:p>
    <w:p>
      <w:pPr>
        <w:spacing w:after="0" w:line="274"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and Equipment, Net</w:t>
      </w:r>
    </w:p>
    <w:p>
      <w:pPr>
        <w:spacing w:after="0" w:line="117"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components of property and equipment, net as of December 31, 2020 and 2019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1,698</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Depreciation and amortization expense was $0.2 million, $0.4 million and $0.4 million for years ended December 31, 2020, 2019 and 2018, respectively.</w:t>
      </w:r>
    </w:p>
    <w:p>
      <w:pPr>
        <w:spacing w:after="0" w:line="17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At June 30, 2020, certain lab equipment and other assets for an aggregated net book value of $0.6 million relating to the asset transfer with Tallac Therapeutics, Inc. (formerly known as Tollnine, Inc., or Tollnine), or Tallac Therapeutics, a related-party (Note 10), met the criteria as assets held for sale. Those assets were reported at the lower of carrying value or fair value less costs to sell. In July 2020, the Company received $0.6 million cash in exchange for the transfer of such assets.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82" w:right="439" w:bottom="1440" w:gutter="0" w:footer="0" w:header="0"/>
        </w:sectPr>
      </w:pPr>
    </w:p>
    <w:bookmarkStart w:id="128" w:name="page129"/>
    <w:bookmarkEnd w:id="128"/>
    <w:p>
      <w:pPr>
        <w:ind w:left="6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the components of accrued expenses and other current liabilities as of December 31, 2020 and 2019 (in thousands):</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924</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and nonclinical study costs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Accrued contract manufacturing</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federal income tax</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TERM LOAN</w:t>
      </w:r>
    </w:p>
    <w:p>
      <w:pPr>
        <w:spacing w:after="0" w:line="12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The Company’s wholly-owned subsidiaries Alexo Therapeutics International and Sirpant Therapeutics, as borrowers, entered into a Loan and Security Agreement, or the Loan Agreement, dated as of December 20, 2019, with SVB and WestRiver, collectively as lenders, and SVB, as administrative agent and collateral agent.</w:t>
      </w:r>
    </w:p>
    <w:p>
      <w:pPr>
        <w:spacing w:after="0" w:line="18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As a result of the internal reorganization, in May 2020 the Company entered into a Joinder and First Amendment to the Loan and Security Agreement, or the Joinder Amendment, and Amended and Restated Warrants to Purchase Stock, or the Amended Warrants. The purpose for entering into the Joinder Amendment was to add the newly established ALX Oncology Holdings Inc. as additional borrower to the Term Loan. Concurrently, the Company modified the Amended Warrants to change the issuer from ALX Oncology Limited to ALX Oncology Holdings Inc. The Company accounted for the First Amendment to the Loan and Security Agreement as a modification.</w:t>
      </w:r>
    </w:p>
    <w:p>
      <w:pPr>
        <w:spacing w:after="0" w:line="18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Loan Agreement provided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88"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loans under the Loan Agreement bore interest at a floating per annum interest rate equal to the greater of 7.0% or 2.0% plus the prime rate as reported in The Wall Street Journal.</w:t>
      </w:r>
    </w:p>
    <w:p>
      <w:pPr>
        <w:spacing w:after="0" w:line="170"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The Company was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provided for a final payment equal to 6.0% multiplied by the aggregate principal amount of the term loans funded, which was due on the maturity date, upon the acceleration of the term loans, or upon prepayment of the term loans. If the Company elected to prepay the term loans, there was also a prepayment fee of between 1.0% and 3.0% of the principal amount being prepaid depending on the timing and circumstances of prepayment.</w:t>
      </w:r>
    </w:p>
    <w:p>
      <w:pPr>
        <w:spacing w:after="0" w:line="192"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In conjunction with the Loan Agreement, the Company issued warrants to purchase 61,292 Series B convertible preferred stock to SVB and WestRiver with an exercise price of $9.4972 per share. Following the Company’s initial public offering, these warrants were automatically converted to warrants to purchase 61,292 shares of common stock at an exercise price of $9.4972 per share. The estimated fair value of the warrants at the date of issuance was approximately $0.4 million. The Company revalued the Series B convertible preferred stock warrants as of the completion of the initial public offering and reclassified the outstanding preferred stock warrant liability balance of $1.0 million to additional paid-in capital with no further re-measurement required as the common stock warrants are considered permanent equity effective July 16, 2020. The fair value of the common stock warrant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9" w:name="page130"/>
    <w:bookmarkEnd w:id="129"/>
    <w:p>
      <w:pPr>
        <w:spacing w:after="0" w:line="257" w:lineRule="auto"/>
        <w:rPr>
          <w:sz w:val="20"/>
          <w:szCs w:val="20"/>
          <w:color w:val="auto"/>
        </w:rPr>
      </w:pPr>
      <w:r>
        <w:rPr>
          <w:rFonts w:ascii="Arial" w:cs="Arial" w:eastAsia="Arial" w:hAnsi="Arial"/>
          <w:sz w:val="18"/>
          <w:szCs w:val="18"/>
          <w:color w:val="auto"/>
        </w:rPr>
        <w:t>was determined using a Black-Scholes option-pricing model with the following assumptions: an expected term of 9.8 years, a volatility of 84.2%, a dividend rate of zero and a risk-free rate of 0.6%. The changes in fair value in warrant liability were recognized as a component of other expense, net in the accompanying consolidated statement of operations and comprehensive loss. On August 17, 2020, SVB and WestRiver delivered the Notice of Exercise for net exercise of 61,292 warrants at an exercise price of $9.4972 per share. Accordingly, the Company issued 48,932 shares of the Company’s common stock (Note 6).</w:t>
      </w:r>
    </w:p>
    <w:p>
      <w:pPr>
        <w:spacing w:after="0" w:line="188"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loans under the Loan Agreement were secured by substantially all of the Company’s assets, except the Company’s intellectual property, which is the subject of a negative pledge.</w:t>
      </w:r>
    </w:p>
    <w:p>
      <w:pPr>
        <w:spacing w:after="0" w:line="170"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was marked-to-market until the extinguishment of the host instrument.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was re-measured at each financial reporting period with any changes in fair value being recognized as a component of other expense, net in the consolidated statement of operations and comprehensive loss. The compound derivative liability was extinguished upon the extinguishment of the host instrument in December 2020.</w:t>
      </w:r>
    </w:p>
    <w:p>
      <w:pPr>
        <w:spacing w:after="0" w:line="166"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The fair value of Series B convertible preferred stock warrant liability at issuance, fair value of embedded derivatives, which were bifurcated and other debt issuance costs were treated as debt discounts on the Company’s consolidated balance sheet and together with the final payment were amortized to interest expense throughout the life of the term loan using the effective interest rate method.</w:t>
      </w:r>
    </w:p>
    <w:p>
      <w:pPr>
        <w:spacing w:after="0" w:line="18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December 2020, the Company used approximately $6.5 million of the net proceeds from the Company’s follow-on public offering to repay the outstanding principal amount of $6.0 million and early extinguish the outstanding Term Loan with SVB and WestRiver. As a result, the Company recognized a $0.6 million loss on early debt extinguishment, representing the difference between the reacquisition price of debt and the net carrying amount of the loan as of the date of the payoff.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29"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On July 21, 2020, the Company’s amended and restated certificate of incorporation became effective, authorizing 1,000,000,000 shares of common stock and 100,000,000 shares of undesignated preferred stock. As of December 31, 2020 and 2019, the Company had 39,844,522 and 3,166,946 shares of common stock outstanding, respectively. As of December 31, 2020 and 2019, the Company had zero and 10,313,808 shares of preferred stock outstanding, respectively.</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In July 2020, the Company consummated its initial public offering and issued 9,775,000 shares of common stock for net proceeds of approximately $169.5 million, after deducting underwriting discounts and commissions of $13.0 million and offering-related expenses of $3.2 million. Upon the closing of the initial public offering, all shares of convertible preferred stock outstanding and accrued cumulative dividends were automatically converted into 23,934,533 shares of common stock.</w:t>
      </w:r>
    </w:p>
    <w:p>
      <w:pPr>
        <w:spacing w:after="0" w:line="187" w:lineRule="exact"/>
        <w:rPr>
          <w:sz w:val="20"/>
          <w:szCs w:val="20"/>
          <w:color w:val="auto"/>
        </w:rPr>
      </w:pPr>
    </w:p>
    <w:p>
      <w:pPr>
        <w:jc w:val="both"/>
        <w:ind w:right="340" w:firstLine="589"/>
        <w:spacing w:after="0" w:line="342" w:lineRule="auto"/>
        <w:rPr>
          <w:sz w:val="20"/>
          <w:szCs w:val="20"/>
          <w:color w:val="auto"/>
        </w:rPr>
      </w:pPr>
      <w:r>
        <w:rPr>
          <w:rFonts w:ascii="Arial" w:cs="Arial" w:eastAsia="Arial" w:hAnsi="Arial"/>
          <w:sz w:val="16"/>
          <w:szCs w:val="16"/>
          <w:color w:val="auto"/>
        </w:rPr>
        <w:t>In December 2020, the Company consummated its follow-on public offering and issued 2,737,000 shares of common stock for net proceeds of approximately $194.9 million, after deducting underwriting discounts and commissions of $12.5 million and offering-related expenses of $0.7 million.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0" w:name="page131"/>
    <w:bookmarkEnd w:id="130"/>
    <w:p>
      <w:pPr>
        <w:ind w:left="600"/>
        <w:spacing w:after="0"/>
        <w:rPr>
          <w:sz w:val="20"/>
          <w:szCs w:val="20"/>
          <w:color w:val="auto"/>
        </w:rPr>
      </w:pPr>
      <w:r>
        <w:rPr>
          <w:rFonts w:ascii="Arial" w:cs="Arial" w:eastAsia="Arial" w:hAnsi="Arial"/>
          <w:sz w:val="17"/>
          <w:szCs w:val="17"/>
          <w:color w:val="auto"/>
        </w:rPr>
        <w:t>Common stock reserved for future issuance, on an as if converted basis, as of December 31, 2020 and 2019, consists of the following:</w:t>
      </w:r>
    </w:p>
    <w:p>
      <w:pPr>
        <w:spacing w:after="0" w:line="309"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issued and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10,313,808</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Stock options issued and outstanding</w:t>
            </w:r>
          </w:p>
        </w:tc>
        <w:tc>
          <w:tcPr>
            <w:tcW w:w="1080" w:type="dxa"/>
            <w:vAlign w:val="bottom"/>
          </w:tcPr>
          <w:p>
            <w:pPr>
              <w:jc w:val="right"/>
              <w:spacing w:after="0"/>
              <w:rPr>
                <w:sz w:val="20"/>
                <w:szCs w:val="20"/>
                <w:color w:val="auto"/>
              </w:rPr>
            </w:pPr>
            <w:r>
              <w:rPr>
                <w:rFonts w:ascii="Arial" w:cs="Arial" w:eastAsia="Arial" w:hAnsi="Arial"/>
                <w:sz w:val="18"/>
                <w:szCs w:val="18"/>
                <w:color w:val="auto"/>
              </w:rPr>
              <w:t>4,857,308</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1,183,745</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authorized for future issuance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2,835,443</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566,900</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Warrants issued and outstanding</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61,292</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Warrants authorized for future issuance</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30,646</w:t>
            </w:r>
          </w:p>
        </w:tc>
        <w:tc>
          <w:tcPr>
            <w:tcW w:w="80" w:type="dxa"/>
            <w:vAlign w:val="bottom"/>
            <w:shd w:val="clear" w:color="auto" w:fill="CFF0FC"/>
          </w:tcPr>
          <w:p>
            <w:pPr>
              <w:spacing w:after="0"/>
              <w:rPr>
                <w:sz w:val="19"/>
                <w:szCs w:val="19"/>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7,692,751</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12,156,391</w:t>
            </w: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2019, the Company’s convertible preferred stock consisted of the following (in thousands, except share amounts):</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7" w:lineRule="exact"/>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Authorized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Issued And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Liquidation</w:t>
            </w:r>
          </w:p>
        </w:tc>
      </w:tr>
      <w:tr>
        <w:trPr>
          <w:trHeight w:val="171"/>
        </w:trPr>
        <w:tc>
          <w:tcPr>
            <w:tcW w:w="52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Proceeds</w:t>
            </w:r>
            <w:r>
              <w:rPr>
                <w:rFonts w:ascii="Arial" w:cs="Arial" w:eastAsia="Arial" w:hAnsi="Arial"/>
                <w:sz w:val="12"/>
                <w:szCs w:val="12"/>
                <w:b w:val="1"/>
                <w:bCs w:val="1"/>
                <w:color w:val="auto"/>
                <w:w w:val="87"/>
              </w:rPr>
              <w:t>(1)</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Preference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Shares designated as:</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9,421,633</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9,297,081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60,933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73,571</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B convertible preferred stock</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2,145,370</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1,016,727</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10,014</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11,567,003</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10,313,808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70,363</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83,585</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proceeds are gross proceeds from the offerings net of issuance costs</w:t>
      </w:r>
    </w:p>
    <w:p>
      <w:pPr>
        <w:spacing w:after="0" w:line="171"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C Convertible Preferred Stock Issuance</w:t>
      </w:r>
    </w:p>
    <w:p>
      <w:pPr>
        <w:spacing w:after="0" w:line="77" w:lineRule="exact"/>
        <w:rPr>
          <w:sz w:val="20"/>
          <w:szCs w:val="20"/>
          <w:color w:val="auto"/>
        </w:rPr>
      </w:pPr>
    </w:p>
    <w:p>
      <w:pPr>
        <w:ind w:right="200" w:firstLine="589"/>
        <w:spacing w:after="0" w:line="296" w:lineRule="auto"/>
        <w:rPr>
          <w:sz w:val="20"/>
          <w:szCs w:val="20"/>
          <w:color w:val="auto"/>
        </w:rPr>
      </w:pPr>
      <w:r>
        <w:rPr>
          <w:rFonts w:ascii="Arial" w:cs="Arial" w:eastAsia="Arial" w:hAnsi="Arial"/>
          <w:sz w:val="16"/>
          <w:szCs w:val="16"/>
          <w:color w:val="auto"/>
        </w:rPr>
        <w:t>In February 2020, the Company entered into a Series C Preferred Stock Purchase Agreement, or the Series C Agreement, with certain existing investors, employees and new investors, or collectively, the Series C Investors. Under the terms of the Series C Agreement, the Company authorized the sale and issuance of up to 11,055,981 Series C convertible preferred stock at a purchase price of $9.4972 per share. All authorized Series C convertible preferred stock have been purchased with gross proceeds of $105.0 million. The Series C convertible preferred stock and related accumulated dividends automatically converted into shares of the Company’s common stock upon the consummation of the Company’s initial public offering.</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 July 21, 2020, the warrants to purchase 61,292 Series B convertible preferred stock issued to SVB and WestRiver with an exercise price of $9.4972 per share were automatically converted to warrants to purchase 61,292 shares of common stock at an exercise price of $9.4972 per share. The Company revalued the Series B convertible preferred stock warrants as of the completion of the initial public offering and reclassified the outstanding preferred stock warrant liability balance to additional paid-in capital with no further re-measurement required as the common stock warrants are considered permanent equity.</w:t>
      </w:r>
    </w:p>
    <w:p>
      <w:pPr>
        <w:spacing w:after="0" w:line="188"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On August 17, 2020, SVB and WestRiver delivered the Notice of Exercise to net exercise 61,292 warrants at an exercise price of $9.4972 per share. Accordingly, the Company issued 48,932 shares of the Company’s common stock.</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Prior to the Company’s initial public offering, cumulative dividends of 6.0% per annum of the original issue price for each convertible preferred stock series were payable when and as declared by the Company’s Board of Directors, or Board of Directors, upon the occurrence of a liquidation event or upon a contingent mandatory conversion of the convertible preferred stock in connection with a qualified initial public offering as described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1" w:name="page132"/>
    <w:bookmarkEnd w:id="131"/>
    <w:p>
      <w:pPr>
        <w:spacing w:after="0" w:line="273" w:lineRule="auto"/>
        <w:rPr>
          <w:sz w:val="20"/>
          <w:szCs w:val="20"/>
          <w:color w:val="auto"/>
        </w:rPr>
      </w:pPr>
      <w:r>
        <w:rPr>
          <w:rFonts w:ascii="Arial" w:cs="Arial" w:eastAsia="Arial" w:hAnsi="Arial"/>
          <w:sz w:val="17"/>
          <w:szCs w:val="17"/>
          <w:color w:val="auto"/>
        </w:rPr>
        <w:t>below. The Series A original issue price was $6.58, and the Series B and Series C original issue price was $9.4972. The original issue price was subject to adjustment in the event of any share dividend, share split, combination, consolidation or other recapitalization. The dividends accrued from day to day from the issue date of such preferred stock whether or not declared and were cumulative. In addition, the preferred stockholders participated on an as-converted basis in any dividends payable to common stockholders. As of July 20, 2020, there were approximately $18.0 million of accrued cumulative dividends on the Series A, Series B and Series C convertible preferred stock, which became payable upon the consummation of the Company’s initial public offering and automatically converted into 2,564,759 shares of the Company’s common stock.</w:t>
      </w:r>
    </w:p>
    <w:p>
      <w:pPr>
        <w:spacing w:after="0" w:line="282" w:lineRule="exact"/>
        <w:rPr>
          <w:sz w:val="20"/>
          <w:szCs w:val="20"/>
          <w:color w:val="auto"/>
        </w:rPr>
      </w:pPr>
    </w:p>
    <w:p>
      <w:pPr>
        <w:ind w:left="600" w:right="8160" w:hanging="592"/>
        <w:spacing w:after="0" w:line="445" w:lineRule="auto"/>
        <w:tabs>
          <w:tab w:leader="none" w:pos="266"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Equity Incentive Plans</w:t>
      </w:r>
    </w:p>
    <w:p>
      <w:pPr>
        <w:spacing w:after="0" w:line="3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2015 Share Award Scheme</w:t>
      </w:r>
    </w:p>
    <w:p>
      <w:pPr>
        <w:spacing w:after="0" w:line="225"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During 2015, the Company adopted an equity compensation plan, the 2015 Share Award Scheme, or the 2015 Share Award Scheme, for eligible employees, officers, directors, advisors, and consultants. The 2015 Share Award Scheme provided for the grant of incentive and non-statutory share options. The 2015 Share Award Scheme permitted the Company to grant up to 2,143,117 common stock awards, including incentive share options, non-statutory share options, conditional share awards and restricted share awards.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2020 Equity Incentive Plan</w:t>
      </w:r>
    </w:p>
    <w:p>
      <w:pPr>
        <w:spacing w:after="0" w:line="225" w:lineRule="exact"/>
        <w:rPr>
          <w:sz w:val="20"/>
          <w:szCs w:val="20"/>
          <w:color w:val="auto"/>
        </w:rPr>
      </w:pPr>
    </w:p>
    <w:p>
      <w:pPr>
        <w:jc w:val="both"/>
        <w:ind w:right="320" w:firstLine="589"/>
        <w:spacing w:after="0" w:line="311" w:lineRule="auto"/>
        <w:rPr>
          <w:sz w:val="20"/>
          <w:szCs w:val="20"/>
          <w:color w:val="auto"/>
        </w:rPr>
      </w:pPr>
      <w:r>
        <w:rPr>
          <w:rFonts w:ascii="Arial" w:cs="Arial" w:eastAsia="Arial" w:hAnsi="Arial"/>
          <w:sz w:val="16"/>
          <w:szCs w:val="16"/>
          <w:color w:val="auto"/>
        </w:rPr>
        <w:t>On April 1, 2020, the Board of Directors approved a new equity incentive plan, or the 2020 Equity Incentive Plan, that replaced the 2015 Share Award Scheme. The 2020 Equity Incentive Plan is for employees, non-employee directors and consultants covering 4,379,139 shares of the Company’s common stock and authorizes the award of stock options, restricted stock awards, stock appreciation rights and restricted stock units.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2020 Amended and Restated Equity Incentive Plan</w:t>
      </w:r>
    </w:p>
    <w:p>
      <w:pPr>
        <w:spacing w:after="0" w:line="225" w:lineRule="exact"/>
        <w:rPr>
          <w:sz w:val="20"/>
          <w:szCs w:val="20"/>
          <w:color w:val="auto"/>
        </w:rPr>
      </w:pPr>
    </w:p>
    <w:p>
      <w:pPr>
        <w:ind w:right="760" w:firstLine="589"/>
        <w:spacing w:after="0" w:line="277" w:lineRule="auto"/>
        <w:rPr>
          <w:sz w:val="20"/>
          <w:szCs w:val="20"/>
          <w:color w:val="auto"/>
        </w:rPr>
      </w:pPr>
      <w:r>
        <w:rPr>
          <w:rFonts w:ascii="Arial" w:cs="Arial" w:eastAsia="Arial" w:hAnsi="Arial"/>
          <w:sz w:val="18"/>
          <w:szCs w:val="18"/>
          <w:color w:val="auto"/>
        </w:rPr>
        <w:t>In July 2020, the Company adopted the Amended and Restated 2020 Equity Incentive Plan, or the 2020 Plan. The 2020 Plan replaced the Company’s 2020 Equity Incentive Plan and a total of 7,874,862 shares were reserved under the 2020 Plan.</w:t>
      </w:r>
    </w:p>
    <w:p>
      <w:pPr>
        <w:spacing w:after="0" w:line="170"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The terms of the stock option agreements, including vesting requirements, are determined by the Board of Directors, subject to the provisions of the 2020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exercise price of the incentive share options must equal at least the fair market value of the share on the date of grant.</w:t>
      </w:r>
    </w:p>
    <w:p>
      <w:pPr>
        <w:spacing w:after="0" w:line="192"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All awards that are canceled, forfeited or expired are returned to the 2020 Plan and are available for grant in conjunction with the issuance of new awards. Share options granted are exercisable over a maximum term of 10 years from the date of grant and generally vest over an agreed service period, usually four years.</w:t>
      </w:r>
    </w:p>
    <w:p>
      <w:pPr>
        <w:spacing w:after="0" w:line="184"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Certain share options granted under the 2020 Plan provide option holders the right to elect to exercise unvested options in exchange for common stock. Such unvested common stock is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2020 and 2019, there were unvested early exercised options of 63 and 34,024, respectively, and the liability related to these unvested options was approximately $0 and $27,000,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2" w:name="page133"/>
    <w:bookmarkEnd w:id="132"/>
    <w:p>
      <w:pPr>
        <w:ind w:left="600"/>
        <w:spacing w:after="0"/>
        <w:rPr>
          <w:sz w:val="20"/>
          <w:szCs w:val="20"/>
          <w:color w:val="auto"/>
        </w:rPr>
      </w:pPr>
      <w:r>
        <w:rPr>
          <w:rFonts w:ascii="Arial" w:cs="Arial" w:eastAsia="Arial" w:hAnsi="Arial"/>
          <w:sz w:val="18"/>
          <w:szCs w:val="18"/>
          <w:b w:val="1"/>
          <w:bCs w:val="1"/>
          <w:i w:val="1"/>
          <w:iCs w:val="1"/>
          <w:color w:val="auto"/>
        </w:rPr>
        <w:t>Stock Option Modification</w:t>
      </w:r>
    </w:p>
    <w:p>
      <w:pPr>
        <w:spacing w:after="0" w:line="117" w:lineRule="exact"/>
        <w:rPr>
          <w:sz w:val="20"/>
          <w:szCs w:val="20"/>
          <w:color w:val="auto"/>
        </w:rPr>
      </w:pPr>
    </w:p>
    <w:p>
      <w:pPr>
        <w:ind w:right="120" w:firstLine="589"/>
        <w:spacing w:after="0" w:line="286" w:lineRule="auto"/>
        <w:rPr>
          <w:sz w:val="20"/>
          <w:szCs w:val="20"/>
          <w:color w:val="auto"/>
        </w:rPr>
      </w:pPr>
      <w:r>
        <w:rPr>
          <w:rFonts w:ascii="Arial" w:cs="Arial" w:eastAsia="Arial" w:hAnsi="Arial"/>
          <w:sz w:val="16"/>
          <w:szCs w:val="16"/>
          <w:color w:val="auto"/>
        </w:rPr>
        <w:t>In connection with the transfer of employees to Tallac Therapeutics, Dr. Hong Wan, the Company’s former Chief Scientific Officer, and eight of the Company’s employees, or Transferred Employees, terminated their employment with the Company effective as of June 30, 2020 and became employees of Tallac Therapeutics effective as of July 1, 2020. The options to purchase shares of the Company’s common stock that were previously granted to the Transferred Employees will continue to vest and be exercisable subject to the Transferred Employees remaining service providers under the original terms of the award.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grantees were expected to provide under the original awards as compared to the level of services expected under the Tallac Services Agreement will no longer meet the substantive service condition requirements and therefore the compensation cost for the unvested awards was recognized immediately with no future service requirement. In September 2020, in connection with the resignation of the Company’s former Chief Business Officer and the entry into a consulting agreement with him,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 was expected to provide under the original awards as compared to the level of services expected under the consulting agreement will no longer meet the substantive service condition requirements and therefore the compensation expense for the unvested awards expected to vest during the consultancy was recognized immediately with no future service requirement. The Company recorded $1.7 million in stock-based compensation expenses related to the modifications for the year ended December 31, 2020.</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In July 2020, the Board of Directors and stockholders approved the ALX Oncology Holdings Inc. 2020 Employee Stock Purchase Plan, or the ESPP. The ESPP allows eligible employees to have up to 15 percent of their eligible compensation withheld and used to purchase common stock, subject to a maximum of $25,000 worth of stock purchased in a calendar year or no more than 3,000 shares in an offering period, whichever is less. An offering period consists of a six-month purchase period, with a look back feature to our stock price at the commencement of the offering period. Eligible employees can purchase the Company’s common stock at the end of the offering period at 85% of the lower of the closing price of our common stock on The Nasdaq Global Select Market on the first and last day of the offering periods.</w:t>
      </w:r>
    </w:p>
    <w:p>
      <w:pPr>
        <w:spacing w:after="0" w:line="178" w:lineRule="exact"/>
        <w:rPr>
          <w:sz w:val="20"/>
          <w:szCs w:val="20"/>
          <w:color w:val="auto"/>
        </w:rPr>
      </w:pPr>
    </w:p>
    <w:p>
      <w:pPr>
        <w:jc w:val="both"/>
        <w:ind w:right="600" w:firstLine="589"/>
        <w:spacing w:after="0" w:line="311" w:lineRule="auto"/>
        <w:rPr>
          <w:sz w:val="20"/>
          <w:szCs w:val="20"/>
          <w:color w:val="auto"/>
        </w:rPr>
      </w:pPr>
      <w:r>
        <w:rPr>
          <w:rFonts w:ascii="Arial" w:cs="Arial" w:eastAsia="Arial" w:hAnsi="Arial"/>
          <w:sz w:val="16"/>
          <w:szCs w:val="16"/>
          <w:color w:val="auto"/>
        </w:rPr>
        <w:t>The initial number of shares of common stock available for issuance under the ESPP, was 400,000. Unless the Board of Directors provides otherwise, beginning on January 1, 2021, the maximum number of shares which shall be made available for sale under the ESPP will automatically increase on the first trading day in January of each calendar year during the term of the ESPP by an amount equal to the least of:</w:t>
      </w:r>
    </w:p>
    <w:p>
      <w:pPr>
        <w:spacing w:after="0" w:line="41" w:lineRule="exact"/>
        <w:rPr>
          <w:sz w:val="20"/>
          <w:szCs w:val="20"/>
          <w:color w:val="auto"/>
        </w:rPr>
      </w:pPr>
    </w:p>
    <w:p>
      <w:pPr>
        <w:ind w:left="1440" w:hanging="474"/>
        <w:spacing w:after="0"/>
        <w:tabs>
          <w:tab w:leader="none" w:pos="1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800,000 shares;</w:t>
      </w:r>
    </w:p>
    <w:p>
      <w:pPr>
        <w:spacing w:after="0" w:line="23" w:lineRule="exact"/>
        <w:rPr>
          <w:rFonts w:ascii="Arial" w:cs="Arial" w:eastAsia="Arial" w:hAnsi="Arial"/>
          <w:sz w:val="18"/>
          <w:szCs w:val="18"/>
          <w:color w:val="auto"/>
        </w:rPr>
      </w:pPr>
    </w:p>
    <w:p>
      <w:pPr>
        <w:ind w:left="1440" w:hanging="474"/>
        <w:spacing w:after="0"/>
        <w:tabs>
          <w:tab w:leader="none" w:pos="1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 percent of the outstanding shares of our common stock on the last day of our immediately preceding fiscal year; or</w:t>
      </w:r>
    </w:p>
    <w:p>
      <w:pPr>
        <w:spacing w:after="0" w:line="9" w:lineRule="exact"/>
        <w:rPr>
          <w:rFonts w:ascii="Arial" w:cs="Arial" w:eastAsia="Arial" w:hAnsi="Arial"/>
          <w:sz w:val="18"/>
          <w:szCs w:val="18"/>
          <w:color w:val="auto"/>
        </w:rPr>
      </w:pPr>
    </w:p>
    <w:p>
      <w:pPr>
        <w:ind w:left="1440" w:hanging="474"/>
        <w:spacing w:after="0"/>
        <w:tabs>
          <w:tab w:leader="none" w:pos="14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such number of shares as our board of directors may determine no later than the last day of our immediately preceding fiscal year.</w:t>
      </w:r>
    </w:p>
    <w:p>
      <w:pPr>
        <w:spacing w:after="0" w:line="234"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In January 2021, the Board of Directors approved the first offering period beginning February 1, 2021. As of December 31, 2020, there were no purchases under the ESPP.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33" w:name="page134"/>
    <w:bookmarkEnd w:id="133"/>
    <w:p>
      <w:pPr>
        <w:ind w:left="60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provides a summary of share option activity under the Plan and related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Available to</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Grant</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566,900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1,183,745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6,124,217</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(3,857,655)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3,857,655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(182,111)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Canceled/forfeited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(1,981)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December 31, 2020</w:t>
            </w:r>
          </w:p>
        </w:tc>
        <w:tc>
          <w:tcPr>
            <w:tcW w:w="10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2,835,443</w:t>
            </w:r>
          </w:p>
        </w:tc>
        <w:tc>
          <w:tcPr>
            <w:tcW w:w="22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4,857,308</w:t>
            </w:r>
          </w:p>
        </w:tc>
        <w:tc>
          <w:tcPr>
            <w:tcW w:w="2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Borders>
              <w:bottom w:val="single" w:sz="8" w:color="CFF0FC"/>
            </w:tcBorders>
          </w:tcPr>
          <w:p>
            <w:pPr>
              <w:spacing w:after="0"/>
              <w:rPr>
                <w:sz w:val="22"/>
                <w:szCs w:val="22"/>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375,270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December 31, 2020</w:t>
            </w:r>
          </w:p>
        </w:tc>
        <w:tc>
          <w:tcPr>
            <w:tcW w:w="1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3,776,399</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310,999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40" w:firstLine="589"/>
        <w:spacing w:after="0" w:line="277" w:lineRule="auto"/>
        <w:rPr>
          <w:sz w:val="20"/>
          <w:szCs w:val="20"/>
          <w:color w:val="auto"/>
        </w:rPr>
      </w:pPr>
      <w:r>
        <w:rPr>
          <w:rFonts w:ascii="Arial" w:cs="Arial" w:eastAsia="Arial" w:hAnsi="Arial"/>
          <w:sz w:val="18"/>
          <w:szCs w:val="18"/>
          <w:color w:val="auto"/>
        </w:rPr>
        <w:t>As of December 31, 2020, there was unrecognized share-based compensation expense of $25.0 million, related to unvested share options which the Company expects to recognize over a weighted-average period of 3.2 years.</w:t>
      </w:r>
    </w:p>
    <w:p>
      <w:pPr>
        <w:spacing w:after="0" w:line="170"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7"/>
          <w:szCs w:val="17"/>
          <w:color w:val="auto"/>
        </w:rPr>
        <w:t>The aggregate intrinsic values represent the total pre-tax intrinsic value, of options outstanding and exercisable calculated as the difference between the exercise price of the options and the fair value of the Company’s common stock as of December 31, 2020 and 2019. The total intrinsic value of options exercised during the years ended December 31, 2020, 2019 and 2018 were $4.4 million, immaterial and immaterial, respectively.</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Expenses</w:t>
      </w:r>
    </w:p>
    <w:p>
      <w:pPr>
        <w:spacing w:after="0" w:line="225"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Compensation cost for share options granted is based on the grant-date fair value estimated and is recognized over the vesting period of the applicable option on a straight-line basis. The weighted-average grant-date fair value per share for share options granted during the years ended December 31, 2020, 2019 and 2018 was $7.74, $1.27 and $1.14, respectively.</w:t>
      </w:r>
    </w:p>
    <w:p>
      <w:pPr>
        <w:spacing w:after="0" w:line="184"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Stock-based compensation expense includes share options granted to employees and nonemployees and has been reported in the Company’s consolidated statements of operations and comprehensive loss as follows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14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FF0FC"/>
          </w:tcPr>
          <w:p>
            <w:pPr>
              <w:spacing w:after="0"/>
              <w:rPr>
                <w:sz w:val="19"/>
                <w:szCs w:val="19"/>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for related-party revenue</w:t>
            </w:r>
          </w:p>
        </w:tc>
        <w:tc>
          <w:tcPr>
            <w:tcW w:w="1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r>
      <w:tr>
        <w:trPr>
          <w:trHeight w:val="223"/>
        </w:trPr>
        <w:tc>
          <w:tcPr>
            <w:tcW w:w="4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5,436</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 Option Valuation Assumptions</w:t>
      </w:r>
    </w:p>
    <w:p>
      <w:pPr>
        <w:spacing w:after="0" w:line="306"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The Company uses the Black-Scholes option pricing model to determine the estimated fair value of stock options at the date of the grant, and stock-based compensation is adjusted for actual forfeitures as they occur.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fair value of each option grant during the years ended December 31, 2020, 2019 and 2018 was estimated with the following assumptions: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5"/>
        </w:trPr>
        <w:tc>
          <w:tcPr>
            <w:tcW w:w="3720" w:type="dxa"/>
            <w:vAlign w:val="bottom"/>
            <w:tcBorders>
              <w:bottom w:val="single" w:sz="8" w:color="CFF0FC"/>
            </w:tcBorders>
          </w:tcPr>
          <w:p>
            <w:pPr>
              <w:spacing w:after="0"/>
              <w:rPr>
                <w:sz w:val="13"/>
                <w:szCs w:val="13"/>
                <w:color w:val="auto"/>
              </w:rPr>
            </w:pPr>
          </w:p>
        </w:tc>
        <w:tc>
          <w:tcPr>
            <w:tcW w:w="1700" w:type="dxa"/>
            <w:vAlign w:val="bottom"/>
            <w:tcBorders>
              <w:bottom w:val="single" w:sz="8" w:color="auto"/>
            </w:tcBorders>
            <w:gridSpan w:val="2"/>
          </w:tcPr>
          <w:p>
            <w:pPr>
              <w:jc w:val="right"/>
              <w:ind w:right="63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70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gridSpan w:val="2"/>
          </w:tcPr>
          <w:p>
            <w:pPr>
              <w:jc w:val="right"/>
              <w:ind w:right="630"/>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- 6.1</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920" w:type="dxa"/>
            <w:vAlign w:val="bottom"/>
            <w:shd w:val="clear" w:color="auto" w:fill="CFF0FC"/>
          </w:tcPr>
          <w:p>
            <w:pPr>
              <w:ind w:left="40"/>
              <w:spacing w:after="0"/>
              <w:rPr>
                <w:sz w:val="20"/>
                <w:szCs w:val="20"/>
                <w:color w:val="auto"/>
              </w:rPr>
            </w:pPr>
            <w:r>
              <w:rPr>
                <w:rFonts w:ascii="Arial" w:cs="Arial" w:eastAsia="Arial" w:hAnsi="Arial"/>
                <w:sz w:val="18"/>
                <w:szCs w:val="18"/>
                <w:color w:val="auto"/>
              </w:rPr>
              <w:t>- 6.0</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900" w:type="dxa"/>
            <w:vAlign w:val="bottom"/>
          </w:tcPr>
          <w:p>
            <w:pPr>
              <w:ind w:left="20"/>
              <w:spacing w:after="0"/>
              <w:rPr>
                <w:sz w:val="20"/>
                <w:szCs w:val="20"/>
                <w:color w:val="auto"/>
              </w:rPr>
            </w:pPr>
            <w:r>
              <w:rPr>
                <w:rFonts w:ascii="Arial" w:cs="Arial" w:eastAsia="Arial" w:hAnsi="Arial"/>
                <w:sz w:val="18"/>
                <w:szCs w:val="18"/>
                <w:color w:val="auto"/>
              </w:rPr>
              <w:t>- 0.8%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920" w:type="dxa"/>
            <w:vAlign w:val="bottom"/>
          </w:tcPr>
          <w:p>
            <w:pPr>
              <w:ind w:left="40"/>
              <w:spacing w:after="0"/>
              <w:rPr>
                <w:sz w:val="20"/>
                <w:szCs w:val="20"/>
                <w:color w:val="auto"/>
              </w:rPr>
            </w:pPr>
            <w:r>
              <w:rPr>
                <w:rFonts w:ascii="Arial" w:cs="Arial" w:eastAsia="Arial" w:hAnsi="Arial"/>
                <w:sz w:val="18"/>
                <w:szCs w:val="18"/>
                <w:color w:val="auto"/>
              </w:rPr>
              <w:t>- 3.0%</w:t>
            </w: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rate</w:t>
            </w:r>
          </w:p>
        </w:tc>
        <w:tc>
          <w:tcPr>
            <w:tcW w:w="800" w:type="dxa"/>
            <w:vAlign w:val="bottom"/>
            <w:shd w:val="clear" w:color="auto" w:fill="CFF0FC"/>
          </w:tcPr>
          <w:p>
            <w:pPr>
              <w:spacing w:after="0"/>
              <w:rPr>
                <w:sz w:val="19"/>
                <w:szCs w:val="19"/>
                <w:color w:val="auto"/>
              </w:rPr>
            </w:pPr>
          </w:p>
        </w:tc>
        <w:tc>
          <w:tcPr>
            <w:tcW w:w="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9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800" w:type="dxa"/>
            <w:vAlign w:val="bottom"/>
          </w:tcPr>
          <w:p>
            <w:pPr>
              <w:jc w:val="right"/>
              <w:spacing w:after="0"/>
              <w:rPr>
                <w:sz w:val="20"/>
                <w:szCs w:val="20"/>
                <w:color w:val="auto"/>
              </w:rPr>
            </w:pPr>
            <w:r>
              <w:rPr>
                <w:rFonts w:ascii="Arial" w:cs="Arial" w:eastAsia="Arial" w:hAnsi="Arial"/>
                <w:sz w:val="18"/>
                <w:szCs w:val="18"/>
                <w:color w:val="auto"/>
              </w:rPr>
              <w:t>78.7%</w:t>
            </w:r>
          </w:p>
        </w:tc>
        <w:tc>
          <w:tcPr>
            <w:tcW w:w="900" w:type="dxa"/>
            <w:vAlign w:val="bottom"/>
          </w:tcPr>
          <w:p>
            <w:pPr>
              <w:ind w:left="20"/>
              <w:spacing w:after="0"/>
              <w:rPr>
                <w:sz w:val="20"/>
                <w:szCs w:val="20"/>
                <w:color w:val="auto"/>
              </w:rPr>
            </w:pPr>
            <w:r>
              <w:rPr>
                <w:rFonts w:ascii="Arial" w:cs="Arial" w:eastAsia="Arial" w:hAnsi="Arial"/>
                <w:sz w:val="18"/>
                <w:szCs w:val="18"/>
                <w:color w:val="auto"/>
              </w:rPr>
              <w:t>- 89.0%</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2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w:t>
            </w:r>
          </w:p>
        </w:tc>
        <w:tc>
          <w:tcPr>
            <w:tcW w:w="920" w:type="dxa"/>
            <w:vAlign w:val="bottom"/>
          </w:tcPr>
          <w:p>
            <w:pPr>
              <w:ind w:left="40"/>
              <w:spacing w:after="0"/>
              <w:rPr>
                <w:sz w:val="20"/>
                <w:szCs w:val="20"/>
                <w:color w:val="auto"/>
              </w:rPr>
            </w:pPr>
            <w:r>
              <w:rPr>
                <w:rFonts w:ascii="Arial" w:cs="Arial" w:eastAsia="Arial" w:hAnsi="Arial"/>
                <w:sz w:val="18"/>
                <w:szCs w:val="18"/>
                <w:color w:val="auto"/>
              </w:rPr>
              <w:t>- 68.7%</w:t>
            </w:r>
          </w:p>
        </w:tc>
      </w:tr>
    </w:tbl>
    <w:p>
      <w:pPr>
        <w:spacing w:after="0" w:line="228"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the options represents the average period the share options are expected to remain outstanding.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spacing w:after="0" w:line="187"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 of U.S. Treasury notes as of the grant date with terms commensurate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term of the option.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dividends assumption is based on the Company’s expectation of not paying dividends in the foreseeable future.</w:t>
      </w:r>
    </w:p>
    <w:p>
      <w:pPr>
        <w:spacing w:after="0" w:line="23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Since the Company does not have sufficient trading history for its common stock, the expected volatility is based on the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the common shares of comparable publicly traded companies. The Company selected companies with comparable characteristics, including enterprise value, risk profiles, position within the industry, and with historical share price information sufficient to meet the expected life of the Company’s share-based awards.</w:t>
      </w:r>
    </w:p>
    <w:p>
      <w:pPr>
        <w:spacing w:after="0" w:line="187"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i w:val="1"/>
          <w:iCs w:val="1"/>
          <w:color w:val="auto"/>
        </w:rPr>
        <w:t>Fair Value</w:t>
      </w:r>
      <w:r>
        <w:rPr>
          <w:rFonts w:ascii="Arial" w:cs="Arial" w:eastAsia="Arial" w:hAnsi="Arial"/>
          <w:sz w:val="17"/>
          <w:szCs w:val="17"/>
          <w:color w:val="auto"/>
        </w:rPr>
        <w:t>. Historically, for all periods prior to our initial public offering, the fair value of the shares of common stock underlying our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was determined by the Company’s 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 Since the completion of our initial public offering, the fair value of each share of common stock underlying stock option grants is based on the closing price of our common stock on the Nasdaq Global Select Market as reported on the date of grant.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The U.S. domestic and international components of pre-tax loss for the years ending December 31, 2020, 2019 and 2018 are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08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International</w:t>
            </w: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(36,042)</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(20,022)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(14,541)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20" w:type="dxa"/>
            <w:vAlign w:val="bottom"/>
            <w:vMerge w:val="restart"/>
          </w:tcPr>
          <w:p>
            <w:pPr>
              <w:jc w:val="right"/>
              <w:ind w:right="590"/>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135" w:name="page136"/>
    <w:bookmarkEnd w:id="135"/>
    <w:p>
      <w:pPr>
        <w:ind w:left="600"/>
        <w:spacing w:after="0"/>
        <w:rPr>
          <w:sz w:val="20"/>
          <w:szCs w:val="20"/>
          <w:color w:val="auto"/>
        </w:rPr>
      </w:pPr>
      <w:r>
        <w:rPr>
          <w:rFonts w:ascii="Arial" w:cs="Arial" w:eastAsia="Arial" w:hAnsi="Arial"/>
          <w:sz w:val="18"/>
          <w:szCs w:val="18"/>
          <w:color w:val="auto"/>
        </w:rPr>
        <w:t>The federal and state provision for income taxes consist of the following (in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107"/>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02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provision for income taxes:</w:t>
            </w:r>
          </w:p>
        </w:tc>
        <w:tc>
          <w:tcPr>
            <w:tcW w:w="1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Federal</w:t>
            </w:r>
          </w:p>
        </w:tc>
        <w:tc>
          <w:tcPr>
            <w:tcW w:w="200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239</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1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International</w:t>
            </w: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w:t>
            </w:r>
          </w:p>
        </w:tc>
        <w:tc>
          <w:tcPr>
            <w:tcW w:w="12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241</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b w:val="1"/>
                <w:bCs w:val="1"/>
                <w:color w:val="auto"/>
              </w:rPr>
              <w:t>Deferred tax provision:</w:t>
            </w: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1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State</w:t>
            </w: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w:t>
            </w:r>
          </w:p>
        </w:tc>
        <w:tc>
          <w:tcPr>
            <w:tcW w:w="128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241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589"/>
        <w:spacing w:after="0" w:line="308" w:lineRule="auto"/>
        <w:rPr>
          <w:sz w:val="20"/>
          <w:szCs w:val="20"/>
          <w:color w:val="auto"/>
        </w:rPr>
      </w:pPr>
      <w:r>
        <w:rPr>
          <w:rFonts w:ascii="Arial" w:cs="Arial" w:eastAsia="Arial" w:hAnsi="Arial"/>
          <w:sz w:val="17"/>
          <w:szCs w:val="17"/>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pacing w:after="0" w:line="214"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A reconciliation of the U.S. federal statutory income tax rate to the effective tax for the years ended December 31, 2020, 2019 and 2018 are as follows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ind w:right="87"/>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At federal statutory income tax rate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State income taxes</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(3,098)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(1,875)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Research &amp; Development credits</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(861)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Prior period true ups</w:t>
            </w: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Significant components of the Company’s deferred tax assets as of December 31, 2020 and 2019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2900" w:type="dxa"/>
            <w:vAlign w:val="bottom"/>
            <w:tcBorders>
              <w:bottom w:val="single" w:sz="8" w:color="CFF0FC"/>
            </w:tcBorders>
          </w:tcPr>
          <w:p>
            <w:pPr>
              <w:spacing w:after="0"/>
              <w:rPr>
                <w:sz w:val="13"/>
                <w:szCs w:val="13"/>
                <w:color w:val="auto"/>
              </w:rPr>
            </w:pPr>
          </w:p>
        </w:tc>
        <w:tc>
          <w:tcPr>
            <w:tcW w:w="24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900" w:type="dxa"/>
            <w:vAlign w:val="bottom"/>
          </w:tcPr>
          <w:p>
            <w:pPr>
              <w:ind w:left="240"/>
              <w:spacing w:after="0"/>
              <w:rPr>
                <w:sz w:val="20"/>
                <w:szCs w:val="20"/>
                <w:color w:val="auto"/>
              </w:rPr>
            </w:pPr>
            <w:r>
              <w:rPr>
                <w:rFonts w:ascii="Arial" w:cs="Arial" w:eastAsia="Arial" w:hAnsi="Arial"/>
                <w:sz w:val="18"/>
                <w:szCs w:val="18"/>
                <w:color w:val="auto"/>
              </w:rPr>
              <w:t>Loss carryforwards</w:t>
            </w:r>
          </w:p>
        </w:tc>
        <w:tc>
          <w:tcPr>
            <w:tcW w:w="27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7,283</w:t>
            </w:r>
          </w:p>
        </w:tc>
        <w:tc>
          <w:tcPr>
            <w:tcW w:w="140" w:type="dxa"/>
            <w:vAlign w:val="bottom"/>
          </w:tcPr>
          <w:p>
            <w:pPr>
              <w:spacing w:after="0"/>
              <w:rPr>
                <w:sz w:val="19"/>
                <w:szCs w:val="19"/>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3,259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&amp; other credits</w:t>
            </w:r>
          </w:p>
        </w:tc>
        <w:tc>
          <w:tcPr>
            <w:tcW w:w="2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00" w:type="dxa"/>
            <w:vAlign w:val="bottom"/>
          </w:tcPr>
          <w:p>
            <w:pPr>
              <w:ind w:left="24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2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Stock options</w:t>
            </w:r>
          </w:p>
        </w:tc>
        <w:tc>
          <w:tcPr>
            <w:tcW w:w="2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6,852</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1700"/>
              <w:spacing w:after="0"/>
              <w:rPr>
                <w:sz w:val="20"/>
                <w:szCs w:val="20"/>
                <w:color w:val="auto"/>
              </w:rPr>
            </w:pPr>
            <w:r>
              <w:rPr>
                <w:rFonts w:ascii="Arial" w:cs="Arial" w:eastAsia="Arial" w:hAnsi="Arial"/>
                <w:sz w:val="18"/>
                <w:szCs w:val="18"/>
                <w:b w:val="1"/>
                <w:bCs w:val="1"/>
                <w:color w:val="auto"/>
              </w:rPr>
              <w:t>Deferred tax liabilities:</w:t>
            </w:r>
          </w:p>
        </w:tc>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assets</w:t>
            </w:r>
          </w:p>
        </w:tc>
        <w:tc>
          <w:tcPr>
            <w:tcW w:w="2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2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1700"/>
              <w:spacing w:after="0"/>
              <w:rPr>
                <w:sz w:val="20"/>
                <w:szCs w:val="20"/>
                <w:color w:val="auto"/>
              </w:rPr>
            </w:pPr>
            <w:r>
              <w:rPr>
                <w:rFonts w:ascii="Arial" w:cs="Arial" w:eastAsia="Arial" w:hAnsi="Arial"/>
                <w:sz w:val="18"/>
                <w:szCs w:val="18"/>
                <w:color w:val="auto"/>
              </w:rPr>
              <w:t>Net deferred tax assets</w:t>
            </w:r>
          </w:p>
        </w:tc>
        <w:tc>
          <w:tcPr>
            <w:tcW w:w="24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60" w:type="dxa"/>
            <w:vAlign w:val="bottom"/>
            <w:vMerge w:val="restart"/>
          </w:tcPr>
          <w:p>
            <w:pPr>
              <w:jc w:val="right"/>
              <w:ind w:right="1210"/>
              <w:spacing w:after="0"/>
              <w:rPr>
                <w:sz w:val="20"/>
                <w:szCs w:val="20"/>
                <w:color w:val="auto"/>
              </w:rPr>
            </w:pPr>
            <w:r>
              <w:rPr>
                <w:rFonts w:ascii="Arial" w:cs="Arial" w:eastAsia="Arial" w:hAnsi="Arial"/>
                <w:sz w:val="18"/>
                <w:szCs w:val="18"/>
                <w:color w:val="auto"/>
              </w:rPr>
              <w:t>132</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136" w:name="page137"/>
    <w:bookmarkEnd w:id="136"/>
    <w:p>
      <w:pPr>
        <w:jc w:val="both"/>
        <w:ind w:right="20" w:firstLine="589"/>
        <w:spacing w:after="0" w:line="263" w:lineRule="auto"/>
        <w:rPr>
          <w:sz w:val="20"/>
          <w:szCs w:val="20"/>
          <w:color w:val="auto"/>
        </w:rPr>
      </w:pPr>
      <w:r>
        <w:rPr>
          <w:rFonts w:ascii="Arial" w:cs="Arial" w:eastAsia="Arial" w:hAnsi="Arial"/>
          <w:sz w:val="18"/>
          <w:szCs w:val="18"/>
          <w:color w:val="auto"/>
        </w:rPr>
        <w:t>Realization of deferred tax assets is dependent upon the Company generating future taxable income, the timing and amount of which are uncertain. Accordingly, the deferred tax assets have been fully offset by a valuation allowance. The valuation allowance increased by approximately $4.6 million and $4.5 million for the years ended December 31, 2020 and 2019, respectively.</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operating losses and tax credit carryforwards as of December 31, 2020 are as follows (in thousands):</w:t>
      </w:r>
    </w:p>
    <w:p>
      <w:pPr>
        <w:spacing w:after="0" w:line="8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Expiration Years</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losses, federal (Post December 31, 2017)</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7,919</w:t>
            </w: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Do Not Expire</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Net operating losses, 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71,363</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2038-2040</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Tax credits, federal</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2039-2040</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Tax credits, 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2,893</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losses, foreign</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5,086</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The Company’s policy is to include interest and penalties related to unrecognized tax benefits, if any, within the provision for taxes in the consolidated statements of operations and comprehensive loss. If the Company is eventually able to recognize its uncertain tax positions, the Company’s effective tax rate would be reduced. The Company currently has a full valuation allowance against its net deferred tax asset which would impact the timing of the effective tax rate benefit should any of these uncertain tax positions be favorably settled in the future.</w:t>
      </w:r>
    </w:p>
    <w:p>
      <w:pPr>
        <w:spacing w:after="0" w:line="63" w:lineRule="exact"/>
        <w:rPr>
          <w:sz w:val="20"/>
          <w:szCs w:val="20"/>
          <w:color w:val="auto"/>
        </w:rPr>
      </w:pPr>
    </w:p>
    <w:p>
      <w:pPr>
        <w:ind w:right="400" w:firstLine="589"/>
        <w:spacing w:after="0" w:line="308" w:lineRule="auto"/>
        <w:rPr>
          <w:sz w:val="20"/>
          <w:szCs w:val="20"/>
          <w:color w:val="auto"/>
        </w:rPr>
      </w:pPr>
      <w:r>
        <w:rPr>
          <w:rFonts w:ascii="Arial" w:cs="Arial" w:eastAsia="Arial" w:hAnsi="Arial"/>
          <w:sz w:val="17"/>
          <w:szCs w:val="17"/>
          <w:color w:val="auto"/>
        </w:rPr>
        <w:t>The unrecognized tax benefits as of December 31, 2020, 2019 and 2018 were $0.8 million, $0.7 million and $0.4 million, respectively. Future changes in the unrecognized tax benefits will not impact the effective tax rate due to the Company's full valuation allowance.</w:t>
      </w:r>
    </w:p>
    <w:p>
      <w:pPr>
        <w:spacing w:after="0" w:line="146"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The Company will file income tax returns in the U.S. federal and California jurisdiction, is not currently under examination, and all years since inception are open to examination.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has the following activity relating to unrecognized tax benefits (in thousands):</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beginning of year</w:t>
            </w:r>
          </w:p>
        </w:tc>
        <w:tc>
          <w:tcPr>
            <w:tcW w:w="9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Additions/reversals based on tax positions of prior years</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Lapses in statutes of limitations</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end of year</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2020, 2019 and 2018, no interest or penalties were required to be recognized relating to unrecognized tax benefits.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(9) 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(Equity) Agreement with The Board of Trustees of the Leland Stanford Junior University</w:t>
      </w:r>
    </w:p>
    <w:p>
      <w:pPr>
        <w:spacing w:after="0" w:line="117"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78"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shares of common stock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December 31, 2020.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85"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fails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License Agreement with Selexis SA</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 containing such compound in all fields of use. The rights granted under this agreement include the rights to grant sublicenses to contractors or other collaboration partners, in each case to develop production processes or manufacture licensed product containing ALX148.</w:t>
      </w:r>
    </w:p>
    <w:p>
      <w:pPr>
        <w:spacing w:after="0" w:line="188"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38" w:name="page139"/>
    <w:bookmarkEnd w:id="138"/>
    <w:p>
      <w:pPr>
        <w:ind w:right="60" w:firstLine="589"/>
        <w:spacing w:after="0" w:line="275"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Antibody Agreement with Crystal Bioscience Inc. (Now a Subsidiary of Ligand Pharmaceuticals Incorporated)</w:t>
      </w:r>
    </w:p>
    <w:p>
      <w:pPr>
        <w:spacing w:after="0" w:line="117"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SIRPα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71"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78" w:lineRule="exact"/>
        <w:rPr>
          <w:sz w:val="20"/>
          <w:szCs w:val="20"/>
          <w:color w:val="auto"/>
        </w:rPr>
      </w:pPr>
    </w:p>
    <w:p>
      <w:pPr>
        <w:ind w:right="780" w:firstLine="589"/>
        <w:spacing w:after="0" w:line="277" w:lineRule="auto"/>
        <w:rPr>
          <w:sz w:val="20"/>
          <w:szCs w:val="20"/>
          <w:color w:val="auto"/>
        </w:rPr>
      </w:pPr>
      <w:r>
        <w:rPr>
          <w:rFonts w:ascii="Arial" w:cs="Arial" w:eastAsia="Arial" w:hAnsi="Arial"/>
          <w:sz w:val="18"/>
          <w:szCs w:val="18"/>
          <w:color w:val="auto"/>
        </w:rPr>
        <w:t>The Company agreed to use commercially reasonable efforts to develop and commercialize licensed products, including meeting defined development milestones by certain specified dates.</w:t>
      </w:r>
    </w:p>
    <w:p>
      <w:pPr>
        <w:spacing w:after="0" w:line="170"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In June 2018, the Company entered into a Research and Development Services Agreement, or Tollnine Agreement, with Tollnine, a related-party of the Company, to provide research and development services to Tollnine. The Company’s Chief Executive Officer was also the Chief Executive Officer of Tollnine until April 2020 and two of the Company’s investors are also investors in Tollnine. As such, Tollnine was deemed to be a related-party. The Tollnine Agreement had an initial term of 3 years, to be automatically renewed for additional one-year terms unless terminated by either party. The services were to be provided at a price based on the costs incurred by the Company plus a mark-up equal to 10% of such costs. The Company recognized revenue when Tollnine, as the Company’s customer, obtained control of promised goods or services, in an amount that reflects the consideration which the Company expected to receive in exchange for those goods or services. The Company recognized related-party revenues of $1.2 million, $4.8 million and $2.1 million for the years ended December 31, 2020, 2019 and 2018, respectively, under the Tollnine Agreement. Effective as of July 1, 2020, the Company terminated the Tollnine Agreement and entered into the Tallac Services Agreement with Tallac Therapeutics.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due from related-party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2020 and 2019, the Company had outstanding related-party receivables from Tollnine of zero and $0.5 million, respectively.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i w:val="1"/>
          <w:iCs w:val="1"/>
          <w:color w:val="auto"/>
        </w:rPr>
        <w:t>Tallac Service Agreement</w:t>
      </w:r>
    </w:p>
    <w:p>
      <w:pPr>
        <w:spacing w:after="0" w:line="117"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The Company entered into a research and development services agreement, or the Tallac 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10.0% of such costs. The Tallac Services Agreement has an initial term of four years and is renewed automatically for additional one year terms thereafter. The Company records the payments for the research and development services as research and development costs within the consolidated statement of operations and comprehensive loss. The Company has recorded $0.6 million as research and development costs for the year ended December 31,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Tallac Collaboration Agreement</w:t>
      </w:r>
    </w:p>
    <w:p>
      <w:pPr>
        <w:spacing w:after="0" w:line="117"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On March 4, 2021, the Company entered into a Collaboration Agreement with Tallac Therapeutics pursuant to which the Company and Tallac Therapeutics expect to jointly develop, manufacture, and commercialize a novel class of cancer immunotherapeutics. The key economic components of the collaboration transaction include that both parties will share equally (a) in the cost and expenses of research and development and (b) any profit or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 ATTRIBUTABLE TO COMMON STOCKHOLDERS</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share and per share data):</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87"/>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4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(45,740)</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(19,243)</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(13,731)</w:t>
            </w: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Less: cumulative preferred dividends allocated to</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stockholders</w:t>
            </w: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(5,202)</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(4,028)</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(3,671)</w:t>
            </w:r>
          </w:p>
        </w:tc>
      </w:tr>
      <w:tr>
        <w:trPr>
          <w:trHeight w:val="26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8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(50,942)</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(23,271)</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(17,402)</w:t>
            </w:r>
          </w:p>
        </w:tc>
        <w:tc>
          <w:tcPr>
            <w:tcW w:w="100" w:type="dxa"/>
            <w:vAlign w:val="bottom"/>
            <w:tcBorders>
              <w:bottom w:val="single" w:sz="8" w:color="CFF0FC"/>
            </w:tcBorders>
          </w:tcPr>
          <w:p>
            <w:pPr>
              <w:spacing w:after="0"/>
              <w:rPr>
                <w:sz w:val="22"/>
                <w:szCs w:val="22"/>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Weighted-average shares of common stock</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18,485,343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3,076,461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2,750,838</w:t>
            </w:r>
          </w:p>
        </w:tc>
        <w:tc>
          <w:tcPr>
            <w:tcW w:w="100" w:type="dxa"/>
            <w:vAlign w:val="bottom"/>
          </w:tcPr>
          <w:p>
            <w:pPr>
              <w:spacing w:after="0"/>
              <w:rPr>
                <w:sz w:val="20"/>
                <w:szCs w:val="20"/>
                <w:color w:val="auto"/>
              </w:rPr>
            </w:pP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10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(2.76)</w:t>
            </w:r>
          </w:p>
        </w:tc>
        <w:tc>
          <w:tcPr>
            <w:tcW w:w="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(7.56)</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(6.33)</w:t>
            </w: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outstanding potentially dilutive securities were excluded from the computation of diluted net loss per share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 because including them would have been anti-dilutive: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92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4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10,313,808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9,297,081</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14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61,292</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Common stock subject to repurchase</w:t>
            </w:r>
          </w:p>
        </w:tc>
        <w:tc>
          <w:tcPr>
            <w:tcW w:w="2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34,024</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229,912</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Options issued and outstanding</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4,857,308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1,183,745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864,819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92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4,857,371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11,592,869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10,391,812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0" w:type="dxa"/>
            <w:vAlign w:val="bottom"/>
            <w:vMerge w:val="restart"/>
          </w:tcPr>
          <w:p>
            <w:pPr>
              <w:jc w:val="right"/>
              <w:ind w:right="610"/>
              <w:spacing w:after="0"/>
              <w:rPr>
                <w:sz w:val="20"/>
                <w:szCs w:val="20"/>
                <w:color w:val="auto"/>
              </w:rPr>
            </w:pPr>
            <w:r>
              <w:rPr>
                <w:rFonts w:ascii="Arial" w:cs="Arial" w:eastAsia="Arial" w:hAnsi="Arial"/>
                <w:sz w:val="18"/>
                <w:szCs w:val="18"/>
                <w:color w:val="auto"/>
              </w:rPr>
              <w:t>136</w:t>
            </w: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140" w:name="page141"/>
    <w:bookmarkEnd w:id="140"/>
    <w:p>
      <w:pPr>
        <w:ind w:left="600" w:right="7440" w:hanging="592"/>
        <w:spacing w:after="0" w:line="377" w:lineRule="auto"/>
        <w:tabs>
          <w:tab w:leader="none" w:pos="356"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Guarantees and Indemnifications</w:t>
      </w:r>
    </w:p>
    <w:p>
      <w:pPr>
        <w:spacing w:after="0" w:line="2"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2020.</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2020, 2019 and 2018, the Company had no pending or threatened litigation.</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Contractual Obligations and Other Commitments</w:t>
      </w:r>
    </w:p>
    <w:p>
      <w:pPr>
        <w:spacing w:after="0" w:line="117" w:lineRule="exact"/>
        <w:rPr>
          <w:sz w:val="20"/>
          <w:szCs w:val="20"/>
          <w:color w:val="auto"/>
        </w:rPr>
      </w:pPr>
    </w:p>
    <w:p>
      <w:pPr>
        <w:ind w:right="560" w:firstLine="594"/>
        <w:spacing w:after="0" w:line="263" w:lineRule="auto"/>
        <w:rPr>
          <w:sz w:val="20"/>
          <w:szCs w:val="20"/>
          <w:color w:val="auto"/>
        </w:rPr>
      </w:pPr>
      <w:r>
        <w:rPr>
          <w:rFonts w:ascii="Arial" w:cs="Arial" w:eastAsia="Arial" w:hAnsi="Arial"/>
          <w:sz w:val="18"/>
          <w:szCs w:val="18"/>
          <w:color w:val="auto"/>
        </w:rPr>
        <w:t>The Company has contractual obligations from its operating lease, manufacturing and service contracts and other research and development activities. The following table aggregates the Company’s material expected contractual obligations and commitments as of December 31, 2020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155"/>
        </w:trPr>
        <w:tc>
          <w:tcPr>
            <w:tcW w:w="40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2022 - 2023</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2024 - 2025</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FF0FC"/>
            </w:tcBorders>
          </w:tcPr>
          <w:p>
            <w:pPr>
              <w:spacing w:after="0"/>
              <w:rPr>
                <w:sz w:val="13"/>
                <w:szCs w:val="13"/>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 xml:space="preserve">Manufacturing and service contracts </w:t>
            </w: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600" w:hanging="592"/>
        <w:spacing w:after="0"/>
        <w:tabs>
          <w:tab w:leader="none" w:pos="600"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Payments due for the office space in Burlingame, California under a single operating sub-lease agreement that expires in 2023.</w:t>
      </w:r>
    </w:p>
    <w:p>
      <w:pPr>
        <w:spacing w:after="0" w:line="9" w:lineRule="exact"/>
        <w:rPr>
          <w:rFonts w:ascii="Arial" w:cs="Arial" w:eastAsia="Arial" w:hAnsi="Arial"/>
          <w:sz w:val="18"/>
          <w:szCs w:val="18"/>
          <w:i w:val="1"/>
          <w:iCs w:val="1"/>
          <w:color w:val="auto"/>
        </w:rPr>
      </w:pPr>
    </w:p>
    <w:p>
      <w:pPr>
        <w:ind w:left="600" w:hanging="592"/>
        <w:spacing w:after="0" w:line="252" w:lineRule="auto"/>
        <w:tabs>
          <w:tab w:leader="none" w:pos="600"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In November 2015, the Company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the Company to certain purchase obligations of approximately $9.9 million. In addition, the Company has commitments with a second drug product manufacturer that commits the Company to certain purchase obligations of approximately $0.4 million. These amounts are based on non-cancellable commitments and forecasts that include estimates of future market demand, quantity discounts and manufacturing efficiencies that may impact timing of purchases.</w:t>
      </w:r>
    </w:p>
    <w:p>
      <w:pPr>
        <w:spacing w:after="0" w:line="192"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Facilities</w:t>
      </w:r>
    </w:p>
    <w:p>
      <w:pPr>
        <w:spacing w:after="0" w:line="117"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In 2017, the Company entered into a lease agreement for office space for a period of five years and four months, commencing February 1, 2018 and ending May 31,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41" w:name="page142"/>
    <w:bookmarkEnd w:id="141"/>
    <w:p>
      <w:pPr>
        <w:ind w:right="140" w:firstLine="589"/>
        <w:spacing w:after="0" w:line="277" w:lineRule="auto"/>
        <w:rPr>
          <w:sz w:val="20"/>
          <w:szCs w:val="20"/>
          <w:color w:val="auto"/>
        </w:rPr>
      </w:pPr>
      <w:r>
        <w:rPr>
          <w:rFonts w:ascii="Arial" w:cs="Arial" w:eastAsia="Arial" w:hAnsi="Arial"/>
          <w:sz w:val="18"/>
          <w:szCs w:val="18"/>
          <w:color w:val="auto"/>
        </w:rPr>
        <w:t>In July 2020, the Company (i) assigned to Tallac Therapeutics, a related party (Note 10), the Company’s lease with respect to the premises located at 866 Malcolm Road, Burlingame, California, and (ii) received a sub-lease for premises from Tallac Therapeutics.</w:t>
      </w:r>
    </w:p>
    <w:p>
      <w:pPr>
        <w:spacing w:after="0" w:line="170"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Minimum rent payments under operating leases are recognized on a straight-line basis over the term of the lease including any periods of free rent. Rent expense was $0.6 million, $0.8 million and $1.0 million for the years ended December 31, 2020, 2019 and 2018, respectively. Sub-lease expenses are recorded within rent expense.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Tallac Collaboration Agreement</w:t>
      </w:r>
    </w:p>
    <w:p>
      <w:pPr>
        <w:spacing w:after="0" w:line="117" w:lineRule="exact"/>
        <w:rPr>
          <w:sz w:val="20"/>
          <w:szCs w:val="20"/>
          <w:color w:val="auto"/>
        </w:rPr>
      </w:pPr>
    </w:p>
    <w:p>
      <w:pPr>
        <w:ind w:right="360" w:firstLine="589"/>
        <w:spacing w:after="0" w:line="272" w:lineRule="auto"/>
        <w:rPr>
          <w:sz w:val="20"/>
          <w:szCs w:val="20"/>
          <w:color w:val="auto"/>
        </w:rPr>
      </w:pPr>
      <w:r>
        <w:rPr>
          <w:rFonts w:ascii="Arial" w:cs="Arial" w:eastAsia="Arial" w:hAnsi="Arial"/>
          <w:sz w:val="17"/>
          <w:szCs w:val="17"/>
          <w:color w:val="auto"/>
        </w:rPr>
        <w:t>On March 4, 2021, the Company entered into a Collaboration Agreement with Tallac Therapeutics pursuant to which the Company and Tallac Therapeutics expect to jointly develop, manufacture, and commercialize a novel class of cancer immunotherapeutics. The collaboration builds on the Company’s expertise in developing therapies that block the CD47 checkpoint pathway and expands its immuno-oncology pipeline. The companies will leverage their respective scientific and technical expertise to advance an anti-SIRPα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 The Company is currently evaluating the accounting for the collaboration.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121" w:lineRule="exact"/>
        <w:rPr>
          <w:sz w:val="20"/>
          <w:szCs w:val="20"/>
          <w:color w:val="auto"/>
        </w:rPr>
      </w:pPr>
    </w:p>
    <w:p>
      <w:pPr>
        <w:jc w:val="both"/>
        <w:ind w:right="180" w:firstLine="864"/>
        <w:spacing w:after="0" w:line="279" w:lineRule="auto"/>
        <w:rPr>
          <w:sz w:val="20"/>
          <w:szCs w:val="20"/>
          <w:color w:val="auto"/>
        </w:rPr>
      </w:pPr>
      <w:r>
        <w:rPr>
          <w:rFonts w:ascii="Arial" w:cs="Arial" w:eastAsia="Arial" w:hAnsi="Arial"/>
          <w:sz w:val="17"/>
          <w:szCs w:val="17"/>
          <w:color w:val="auto"/>
        </w:rPr>
        <w:t>The following presents certain unaudited quarterly consolidated financial information for the years ended December 31, 2020 and 2019. This information has been prepared on the same basis as the audited consolidated financial statements and includes all adjustments (consisting only of normal recurring adjustments) necessary to present fairly the unaudited quarterly results of operations set forth herein. Net loss per share for all periods presented has been retroactively adjusted to reflect the 1-for-6.5806 reverse stock split effected on July 8,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3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Q1</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Q2</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Q3</w:t>
            </w: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5,897</w:t>
            </w:r>
          </w:p>
        </w:tc>
        <w:tc>
          <w:tcPr>
            <w:tcW w:w="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11,314</w:t>
            </w: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4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w:t>
            </w:r>
          </w:p>
        </w:tc>
        <w:tc>
          <w:tcPr>
            <w:tcW w:w="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(13,972)</w:t>
            </w: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Net loss per share attributable to common stockholders, basic and diluted</w:t>
            </w:r>
          </w:p>
        </w:tc>
        <w:tc>
          <w:tcPr>
            <w:tcW w:w="800" w:type="dxa"/>
            <w:vAlign w:val="bottom"/>
            <w:tcBorders>
              <w:bottom w:val="single" w:sz="8" w:color="CFF0FC"/>
            </w:tcBorders>
            <w:gridSpan w:val="2"/>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3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3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13"/>
                <w:szCs w:val="13"/>
                <w:color w:val="auto"/>
              </w:rPr>
            </w:pPr>
          </w:p>
        </w:tc>
        <w:tc>
          <w:tcPr>
            <w:tcW w:w="8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Q2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Q3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5,484</w:t>
            </w: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4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w:t>
            </w:r>
          </w:p>
        </w:tc>
        <w:tc>
          <w:tcPr>
            <w:tcW w:w="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Net loss per share attributable to common stockholders, basic and diluted</w:t>
            </w:r>
          </w:p>
        </w:tc>
        <w:tc>
          <w:tcPr>
            <w:tcW w:w="4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vMerge w:val="restart"/>
          </w:tcPr>
          <w:p>
            <w:pPr>
              <w:jc w:val="right"/>
              <w:ind w:right="1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13a-15(b) and 15d-15(b) under the Exchange Act.</w:t>
      </w:r>
    </w:p>
    <w:p>
      <w:pPr>
        <w:spacing w:after="0" w:line="76"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December 31, 2020. For the purpose of this review,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The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connection with the audit of our consolidated financial statements as of and for the years ended December 31, 2019 and 2018, we identified material weaknesses in our internal control over financial reporting resulting from a lack of sufficient qualified personnel. For the year ended December 31, 2019, the material weaknesses related to (i) independent reviews of journal entries not being performed prior to posting, (ii) account reconciliations not being performed and independently reviewed on a timely basis and (iii) lack of independent review of technical accounting matters. During 2020, we have undertaken specific remediation actions to address the control deficiencies in our financial reporting. We have established more robust processes related to the review of complex accounting transactions, the preparation of account reconciliations and the review of journal entries. These remediation actions included hiring a full time Chief Financial Officer in January 2020, a Vice President, Finance and Chief Accounting Officer in March 2020 and a Controller in August 2020, all of whom have extensive experience in developing and implementing internal controls and executing plans to remediate control deficiencies. We added new control activities, modified existing controls, and enhanced the documentation that evidences that controls are performed. We concluded that the control deficiencies have been remediated as of December 31, 2020, as the applicable controls have operated for a sufficient period of time and we have concluded that these controls are operating effectively.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jc w:val="center"/>
        <w:ind w:left="580"/>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Certain information required by Part III is omitted from this Annual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The information required by this Item concerning our directors, executive officers, corporate governance, Section 16 reporting compliance and code of business conduct and ethics is incorporated by reference to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regarding executive compensation is incorporated by reference to the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to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regarding executive compensation is incorporated by reference to the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information required by this Item regarding principal accountant fees and services is incorporated by reference to the Proxy Statement.</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44" w:name="page145"/>
    <w:bookmarkEnd w:id="144"/>
    <w:p>
      <w:pPr>
        <w:ind w:left="55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160" w:hanging="572"/>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1180"/>
        <w:spacing w:after="0" w:line="277" w:lineRule="auto"/>
        <w:rPr>
          <w:sz w:val="20"/>
          <w:szCs w:val="20"/>
          <w:color w:val="auto"/>
        </w:rPr>
      </w:pPr>
      <w:r>
        <w:rPr>
          <w:rFonts w:ascii="Arial" w:cs="Arial" w:eastAsia="Arial" w:hAnsi="Arial"/>
          <w:sz w:val="18"/>
          <w:szCs w:val="18"/>
          <w:color w:val="auto"/>
        </w:rPr>
        <w:t>The financial statements filed as part of this Annual Report on Form 10-K are listed in the “Index to Financial Statements” under Part II, Item 8 of this Annual Report on Form 10-K.</w:t>
      </w:r>
    </w:p>
    <w:p>
      <w:pPr>
        <w:spacing w:after="0" w:line="278" w:lineRule="exact"/>
        <w:rPr>
          <w:sz w:val="20"/>
          <w:szCs w:val="20"/>
          <w:color w:val="auto"/>
        </w:rPr>
      </w:pPr>
    </w:p>
    <w:p>
      <w:pPr>
        <w:ind w:left="1760" w:hanging="578"/>
        <w:spacing w:after="0"/>
        <w:tabs>
          <w:tab w:leader="none" w:pos="1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180" w:right="400"/>
        <w:spacing w:after="0" w:line="277" w:lineRule="auto"/>
        <w:rPr>
          <w:sz w:val="20"/>
          <w:szCs w:val="20"/>
          <w:color w:val="auto"/>
        </w:rPr>
      </w:pPr>
      <w:r>
        <w:rPr>
          <w:rFonts w:ascii="Arial" w:cs="Arial" w:eastAsia="Arial" w:hAnsi="Arial"/>
          <w:sz w:val="18"/>
          <w:szCs w:val="18"/>
          <w:color w:val="auto"/>
        </w:rPr>
        <w:t>Financial statement schedules have been omitted as the information required is not applicable or the information is presented in the financial statements or related notes included in Part II, Item 8 of this Annual Report on Form 10-K.</w:t>
      </w:r>
    </w:p>
    <w:p>
      <w:pPr>
        <w:spacing w:after="0" w:line="278" w:lineRule="exact"/>
        <w:rPr>
          <w:sz w:val="20"/>
          <w:szCs w:val="20"/>
          <w:color w:val="auto"/>
        </w:rPr>
      </w:pPr>
    </w:p>
    <w:p>
      <w:pPr>
        <w:ind w:left="1760" w:hanging="578"/>
        <w:spacing w:after="0"/>
        <w:tabs>
          <w:tab w:leader="none" w:pos="1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200" w:right="140" w:hanging="14"/>
        <w:spacing w:after="0" w:line="277" w:lineRule="auto"/>
        <w:rPr>
          <w:sz w:val="20"/>
          <w:szCs w:val="20"/>
          <w:color w:val="auto"/>
        </w:rPr>
      </w:pPr>
      <w:r>
        <w:rPr>
          <w:rFonts w:ascii="Arial" w:cs="Arial" w:eastAsia="Arial" w:hAnsi="Arial"/>
          <w:sz w:val="18"/>
          <w:szCs w:val="18"/>
          <w:color w:val="auto"/>
        </w:rPr>
        <w:t>The exhibits listed below are filed as part of this Annual Report on Form 10-K, or are incorporated herein by reference, in each case as indicated below.</w:t>
      </w: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145" w:name="page146"/>
    <w:bookmarkEnd w:id="145"/>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gridSpan w:val="6"/>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0" w:type="dxa"/>
            <w:vAlign w:val="bottom"/>
            <w:gridSpan w:val="20"/>
            <w:vMerge w:val="restart"/>
          </w:tcPr>
          <w:p>
            <w:pPr>
              <w:ind w:left="8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vMerge w:val="restart"/>
          </w:tcPr>
          <w:p>
            <w:pPr>
              <w:spacing w:after="0"/>
              <w:rPr>
                <w:sz w:val="10"/>
                <w:szCs w:val="10"/>
                <w:color w:val="auto"/>
              </w:rPr>
            </w:pPr>
          </w:p>
        </w:tc>
        <w:tc>
          <w:tcPr>
            <w:tcW w:w="144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20" w:type="dxa"/>
            <w:vAlign w:val="bottom"/>
            <w:tcBorders>
              <w:top w:val="single" w:sz="8" w:color="auto"/>
            </w:tcBorders>
            <w:vMerge w:val="restart"/>
          </w:tcPr>
          <w:p>
            <w:pPr>
              <w:spacing w:after="0"/>
              <w:rPr>
                <w:sz w:val="10"/>
                <w:szCs w:val="10"/>
                <w:color w:val="auto"/>
              </w:rPr>
            </w:pPr>
          </w:p>
        </w:tc>
        <w:tc>
          <w:tcPr>
            <w:tcW w:w="80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20" w:type="dxa"/>
            <w:vAlign w:val="bottom"/>
            <w:tcBorders>
              <w:top w:val="single" w:sz="8" w:color="auto"/>
            </w:tcBorders>
            <w:vMerge w:val="restart"/>
          </w:tcPr>
          <w:p>
            <w:pPr>
              <w:spacing w:after="0"/>
              <w:rPr>
                <w:sz w:val="10"/>
                <w:szCs w:val="10"/>
                <w:color w:val="auto"/>
              </w:rPr>
            </w:pPr>
          </w:p>
        </w:tc>
        <w:tc>
          <w:tcPr>
            <w:tcW w:w="1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0"/>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900" w:type="dxa"/>
            <w:vAlign w:val="bottom"/>
            <w:tcBorders>
              <w:bottom w:val="single" w:sz="8" w:color="0000EE"/>
            </w:tcBorders>
            <w:gridSpan w:val="23"/>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Amended and Restated Certificate of Incorporation of</w:t>
              </w:r>
            </w:hyperlink>
          </w:p>
        </w:tc>
        <w:tc>
          <w:tcPr>
            <w:tcW w:w="180" w:type="dxa"/>
            <w:vAlign w:val="bottom"/>
            <w:gridSpan w:val="3"/>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001-39386</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July 21,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the Registrant.</w:t>
              </w:r>
            </w:hyperlink>
          </w:p>
        </w:tc>
        <w:tc>
          <w:tcPr>
            <w:tcW w:w="3020" w:type="dxa"/>
            <w:vAlign w:val="bottom"/>
            <w:gridSpan w:val="23"/>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580" w:type="dxa"/>
            <w:vAlign w:val="bottom"/>
            <w:tcBorders>
              <w:bottom w:val="single" w:sz="8" w:color="0000EE"/>
            </w:tcBorders>
            <w:gridSpan w:val="16"/>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Amended and Restated Bylaws of the Registrant.</w:t>
              </w:r>
            </w:hyperlink>
          </w:p>
        </w:tc>
        <w:tc>
          <w:tcPr>
            <w:tcW w:w="500" w:type="dxa"/>
            <w:vAlign w:val="bottom"/>
            <w:gridSpan w:val="10"/>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001-39386</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July 21,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3820" w:type="dxa"/>
            <w:vAlign w:val="bottom"/>
            <w:tcBorders>
              <w:bottom w:val="single" w:sz="8" w:color="0000EE"/>
            </w:tcBorders>
            <w:gridSpan w:val="21"/>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Amended and Restated Investors’ Rights Agreement</w:t>
              </w:r>
            </w:hyperlink>
          </w:p>
        </w:tc>
        <w:tc>
          <w:tcPr>
            <w:tcW w:w="260" w:type="dxa"/>
            <w:vAlign w:val="bottom"/>
            <w:gridSpan w:val="5"/>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26,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83">
              <w:r>
                <w:rPr>
                  <w:rFonts w:ascii="Arial" w:cs="Arial" w:eastAsia="Arial" w:hAnsi="Arial"/>
                  <w:sz w:val="18"/>
                  <w:szCs w:val="18"/>
                  <w:color w:val="0000EE"/>
                  <w:w w:val="89"/>
                </w:rPr>
                <w:t>among the Registrant and certain of its stockholders,</w:t>
              </w:r>
            </w:hyperlink>
          </w:p>
        </w:tc>
        <w:tc>
          <w:tcPr>
            <w:tcW w:w="28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dated April 1, 2020.</w:t>
              </w:r>
            </w:hyperlink>
          </w:p>
        </w:tc>
        <w:tc>
          <w:tcPr>
            <w:tcW w:w="2620" w:type="dxa"/>
            <w:vAlign w:val="bottom"/>
            <w:gridSpan w:val="20"/>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3880" w:type="dxa"/>
            <w:vAlign w:val="bottom"/>
            <w:tcBorders>
              <w:bottom w:val="single" w:sz="8" w:color="0000EE"/>
            </w:tcBorders>
            <w:gridSpan w:val="22"/>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Specimen common stock certificate of the Registrant.</w:t>
              </w:r>
            </w:hyperlink>
          </w:p>
        </w:tc>
        <w:tc>
          <w:tcPr>
            <w:tcW w:w="200" w:type="dxa"/>
            <w:vAlign w:val="bottom"/>
            <w:gridSpan w:val="4"/>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26,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4080" w:type="dxa"/>
            <w:vAlign w:val="bottom"/>
            <w:gridSpan w:val="26"/>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Description of Securities.</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080" w:type="dxa"/>
            <w:vAlign w:val="bottom"/>
            <w:gridSpan w:val="26"/>
          </w:tcPr>
          <w:p>
            <w:pPr>
              <w:spacing w:after="0"/>
              <w:rPr>
                <w:rFonts w:ascii="Arial" w:cs="Arial" w:eastAsia="Arial" w:hAnsi="Arial"/>
                <w:sz w:val="18"/>
                <w:szCs w:val="18"/>
                <w:color w:val="0000EE"/>
              </w:rPr>
            </w:pPr>
            <w:hyperlink r:id="rId185">
              <w:r>
                <w:rPr>
                  <w:rFonts w:ascii="Arial" w:cs="Arial" w:eastAsia="Arial" w:hAnsi="Arial"/>
                  <w:sz w:val="18"/>
                  <w:szCs w:val="18"/>
                  <w:color w:val="0000EE"/>
                </w:rPr>
                <w:t>Form of Indemnification Agreement between the</w:t>
              </w:r>
            </w:hyperlink>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26,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Registrant and each of its directors and executive</w:t>
              </w:r>
            </w:hyperlink>
          </w:p>
        </w:tc>
        <w:tc>
          <w:tcPr>
            <w:tcW w:w="52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gridSpan w:val="26"/>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officers.</w:t>
              </w:r>
            </w:hyperlink>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080" w:type="dxa"/>
            <w:vAlign w:val="bottom"/>
            <w:gridSpan w:val="26"/>
          </w:tcPr>
          <w:p>
            <w:pPr>
              <w:spacing w:after="0"/>
              <w:rPr>
                <w:rFonts w:ascii="Arial" w:cs="Arial" w:eastAsia="Arial" w:hAnsi="Arial"/>
                <w:sz w:val="18"/>
                <w:szCs w:val="18"/>
                <w:color w:val="0000EE"/>
                <w:w w:val="99"/>
              </w:rPr>
            </w:pPr>
            <w:hyperlink r:id="rId186">
              <w:r>
                <w:rPr>
                  <w:rFonts w:ascii="Arial" w:cs="Arial" w:eastAsia="Arial" w:hAnsi="Arial"/>
                  <w:sz w:val="18"/>
                  <w:szCs w:val="18"/>
                  <w:color w:val="0000EE"/>
                  <w:w w:val="99"/>
                </w:rPr>
                <w:t>Amended and Restated 2020 Equity Incentive Plan</w:t>
              </w:r>
            </w:hyperlink>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July 13,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and forms of agreements thereunder.</w:t>
              </w:r>
            </w:hyperlink>
          </w:p>
        </w:tc>
        <w:tc>
          <w:tcPr>
            <w:tcW w:w="40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4080" w:type="dxa"/>
            <w:vAlign w:val="bottom"/>
            <w:gridSpan w:val="26"/>
          </w:tcPr>
          <w:p>
            <w:pPr>
              <w:spacing w:after="0"/>
              <w:rPr>
                <w:rFonts w:ascii="Arial" w:cs="Arial" w:eastAsia="Arial" w:hAnsi="Arial"/>
                <w:sz w:val="18"/>
                <w:szCs w:val="18"/>
                <w:color w:val="0000EE"/>
              </w:rPr>
            </w:pPr>
            <w:hyperlink r:id="rId187">
              <w:r>
                <w:rPr>
                  <w:rFonts w:ascii="Arial" w:cs="Arial" w:eastAsia="Arial" w:hAnsi="Arial"/>
                  <w:sz w:val="18"/>
                  <w:szCs w:val="18"/>
                  <w:color w:val="0000EE"/>
                </w:rPr>
                <w:t>2020 Employee Stock Purchase Plan.</w:t>
              </w:r>
            </w:hyperlink>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July 13,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3900" w:type="dxa"/>
            <w:vAlign w:val="bottom"/>
            <w:tcBorders>
              <w:bottom w:val="single" w:sz="8" w:color="0000EE"/>
            </w:tcBorders>
            <w:gridSpan w:val="23"/>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Confirmatory Offer Letter between the Registrant and</w:t>
              </w:r>
            </w:hyperlink>
          </w:p>
        </w:tc>
        <w:tc>
          <w:tcPr>
            <w:tcW w:w="180" w:type="dxa"/>
            <w:vAlign w:val="bottom"/>
            <w:gridSpan w:val="3"/>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July 13,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gridSpan w:val="26"/>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Jaume Pons, Ph.D.</w:t>
              </w:r>
            </w:hyperlink>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3900" w:type="dxa"/>
            <w:vAlign w:val="bottom"/>
            <w:tcBorders>
              <w:bottom w:val="single" w:sz="8" w:color="0000EE"/>
            </w:tcBorders>
            <w:gridSpan w:val="23"/>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Confirmatory Offer Letter between the Registrant and</w:t>
              </w:r>
            </w:hyperlink>
          </w:p>
        </w:tc>
        <w:tc>
          <w:tcPr>
            <w:tcW w:w="180" w:type="dxa"/>
            <w:vAlign w:val="bottom"/>
            <w:gridSpan w:val="3"/>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July 13,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gridSpan w:val="26"/>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Peter García.</w:t>
              </w:r>
            </w:hyperlink>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3900" w:type="dxa"/>
            <w:vAlign w:val="bottom"/>
            <w:tcBorders>
              <w:bottom w:val="single" w:sz="8" w:color="0000EE"/>
            </w:tcBorders>
            <w:gridSpan w:val="23"/>
          </w:tcPr>
          <w:p>
            <w:pPr>
              <w:spacing w:after="0"/>
              <w:rPr>
                <w:rFonts w:ascii="Arial" w:cs="Arial" w:eastAsia="Arial" w:hAnsi="Arial"/>
                <w:sz w:val="18"/>
                <w:szCs w:val="18"/>
                <w:color w:val="0000EE"/>
                <w:w w:val="91"/>
              </w:rPr>
            </w:pPr>
            <w:hyperlink r:id="rId190">
              <w:r>
                <w:rPr>
                  <w:rFonts w:ascii="Arial" w:cs="Arial" w:eastAsia="Arial" w:hAnsi="Arial"/>
                  <w:sz w:val="18"/>
                  <w:szCs w:val="18"/>
                  <w:color w:val="0000EE"/>
                  <w:w w:val="91"/>
                </w:rPr>
                <w:t>Confirmatory Offer Letter between the Registrant and</w:t>
              </w:r>
            </w:hyperlink>
          </w:p>
        </w:tc>
        <w:tc>
          <w:tcPr>
            <w:tcW w:w="180" w:type="dxa"/>
            <w:vAlign w:val="bottom"/>
            <w:gridSpan w:val="3"/>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July 13,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gridSpan w:val="26"/>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Steffen Pietzke.</w:t>
              </w:r>
            </w:hyperlink>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3900" w:type="dxa"/>
            <w:vAlign w:val="bottom"/>
            <w:tcBorders>
              <w:bottom w:val="single" w:sz="8" w:color="0000EE"/>
            </w:tcBorders>
            <w:gridSpan w:val="23"/>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Confirmatory Offer Letter between the Registrant and</w:t>
              </w:r>
            </w:hyperlink>
          </w:p>
        </w:tc>
        <w:tc>
          <w:tcPr>
            <w:tcW w:w="180" w:type="dxa"/>
            <w:vAlign w:val="bottom"/>
            <w:gridSpan w:val="3"/>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July 13,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gridSpan w:val="26"/>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Sophia Randolph, M.D., Ph.D.</w:t>
              </w:r>
            </w:hyperlink>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940" w:type="dxa"/>
            <w:vAlign w:val="bottom"/>
            <w:tcBorders>
              <w:bottom w:val="single" w:sz="8" w:color="0000EE"/>
            </w:tcBorders>
            <w:gridSpan w:val="12"/>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Executive Incentive Compensation Plan.</w:t>
              </w:r>
            </w:hyperlink>
          </w:p>
        </w:tc>
        <w:tc>
          <w:tcPr>
            <w:tcW w:w="1140" w:type="dxa"/>
            <w:vAlign w:val="bottom"/>
            <w:gridSpan w:val="14"/>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July 13,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2840" w:type="dxa"/>
            <w:vAlign w:val="bottom"/>
            <w:tcBorders>
              <w:bottom w:val="single" w:sz="8" w:color="0000EE"/>
            </w:tcBorders>
            <w:gridSpan w:val="11"/>
          </w:tcPr>
          <w:p>
            <w:pPr>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Outside Director Compensation Policy.</w:t>
              </w:r>
            </w:hyperlink>
          </w:p>
        </w:tc>
        <w:tc>
          <w:tcPr>
            <w:tcW w:w="1240" w:type="dxa"/>
            <w:vAlign w:val="bottom"/>
            <w:gridSpan w:val="15"/>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July 13,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4080" w:type="dxa"/>
            <w:vAlign w:val="bottom"/>
            <w:gridSpan w:val="26"/>
          </w:tcPr>
          <w:p>
            <w:pPr>
              <w:spacing w:after="0"/>
              <w:rPr>
                <w:rFonts w:ascii="Arial" w:cs="Arial" w:eastAsia="Arial" w:hAnsi="Arial"/>
                <w:sz w:val="18"/>
                <w:szCs w:val="18"/>
                <w:color w:val="0000EE"/>
                <w:w w:val="93"/>
              </w:rPr>
            </w:pPr>
            <w:hyperlink r:id="rId194">
              <w:r>
                <w:rPr>
                  <w:rFonts w:ascii="Arial" w:cs="Arial" w:eastAsia="Arial" w:hAnsi="Arial"/>
                  <w:sz w:val="18"/>
                  <w:szCs w:val="18"/>
                  <w:color w:val="0000EE"/>
                  <w:w w:val="93"/>
                </w:rPr>
                <w:t>Form of Change in Control and Severance Agreement.</w:t>
              </w:r>
            </w:hyperlink>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July 13,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3940" w:type="dxa"/>
            <w:vAlign w:val="bottom"/>
            <w:tcBorders>
              <w:top w:val="single" w:sz="8" w:color="0000EE"/>
            </w:tcBorders>
            <w:gridSpan w:val="24"/>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Exclusive (Equity) Agreement between the Registrant</w:t>
              </w:r>
            </w:hyperlink>
          </w:p>
        </w:tc>
        <w:tc>
          <w:tcPr>
            <w:tcW w:w="140" w:type="dxa"/>
            <w:vAlign w:val="bottom"/>
            <w:gridSpan w:val="2"/>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333-239490</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26,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and The Board of Trustees of the Leland Stanford</w:t>
              </w:r>
            </w:hyperlink>
          </w:p>
        </w:tc>
        <w:tc>
          <w:tcPr>
            <w:tcW w:w="300" w:type="dxa"/>
            <w:vAlign w:val="bottom"/>
            <w:tcBorders>
              <w:top w:val="single" w:sz="8" w:color="0000EE"/>
            </w:tcBorders>
            <w:gridSpan w:val="6"/>
          </w:tcPr>
          <w:p>
            <w:pPr>
              <w:spacing w:after="0"/>
              <w:rPr>
                <w:sz w:val="17"/>
                <w:szCs w:val="17"/>
                <w:color w:val="auto"/>
              </w:rPr>
            </w:pPr>
          </w:p>
        </w:tc>
        <w:tc>
          <w:tcPr>
            <w:tcW w:w="18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gridSpan w:val="26"/>
          </w:tcPr>
          <w:p>
            <w:pPr>
              <w:spacing w:after="0" w:line="196" w:lineRule="exact"/>
              <w:rPr>
                <w:rFonts w:ascii="Arial" w:cs="Arial" w:eastAsia="Arial" w:hAnsi="Arial"/>
                <w:sz w:val="18"/>
                <w:szCs w:val="18"/>
                <w:color w:val="0000EE"/>
                <w:w w:val="98"/>
              </w:rPr>
            </w:pPr>
            <w:hyperlink r:id="rId195">
              <w:r>
                <w:rPr>
                  <w:rFonts w:ascii="Arial" w:cs="Arial" w:eastAsia="Arial" w:hAnsi="Arial"/>
                  <w:sz w:val="18"/>
                  <w:szCs w:val="18"/>
                  <w:color w:val="0000EE"/>
                  <w:w w:val="98"/>
                </w:rPr>
                <w:t>Junior University, effective as of March 24, 2015, as</w:t>
              </w:r>
            </w:hyperlink>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amended on April 24, 2015 and May 15, 2015.</w:t>
              </w:r>
            </w:hyperlink>
          </w:p>
        </w:tc>
        <w:tc>
          <w:tcPr>
            <w:tcW w:w="30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10.13</w:t>
            </w:r>
          </w:p>
        </w:tc>
        <w:tc>
          <w:tcPr>
            <w:tcW w:w="3840" w:type="dxa"/>
            <w:vAlign w:val="bottom"/>
            <w:tcBorders>
              <w:bottom w:val="single" w:sz="8" w:color="0000EE"/>
            </w:tcBorders>
            <w:gridSpan w:val="19"/>
          </w:tcPr>
          <w:p>
            <w:pPr>
              <w:spacing w:after="0"/>
              <w:rPr>
                <w:rFonts w:ascii="Arial" w:cs="Arial" w:eastAsia="Arial" w:hAnsi="Arial"/>
                <w:sz w:val="18"/>
                <w:szCs w:val="18"/>
                <w:color w:val="0000EE"/>
                <w:w w:val="89"/>
              </w:rPr>
            </w:pPr>
            <w:hyperlink r:id="rId198">
              <w:r>
                <w:rPr>
                  <w:rFonts w:ascii="Arial" w:cs="Arial" w:eastAsia="Arial" w:hAnsi="Arial"/>
                  <w:sz w:val="18"/>
                  <w:szCs w:val="18"/>
                  <w:color w:val="0000EE"/>
                  <w:w w:val="89"/>
                </w:rPr>
                <w:t>Loan and Security Agreement, dated as of December</w:t>
              </w:r>
            </w:hyperlink>
          </w:p>
        </w:tc>
        <w:tc>
          <w:tcPr>
            <w:tcW w:w="260" w:type="dxa"/>
            <w:vAlign w:val="bottom"/>
            <w:gridSpan w:val="5"/>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333-239490</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2800" w:type="dxa"/>
            <w:vAlign w:val="bottom"/>
          </w:tcPr>
          <w:p>
            <w:pPr>
              <w:ind w:left="300"/>
              <w:spacing w:after="0"/>
              <w:rPr>
                <w:sz w:val="20"/>
                <w:szCs w:val="20"/>
                <w:color w:val="auto"/>
              </w:rPr>
            </w:pPr>
            <w:r>
              <w:rPr>
                <w:rFonts w:ascii="Arial" w:cs="Arial" w:eastAsia="Arial" w:hAnsi="Arial"/>
                <w:sz w:val="18"/>
                <w:szCs w:val="18"/>
                <w:color w:val="auto"/>
              </w:rPr>
              <w:t>June 26, 2020</w:t>
            </w:r>
          </w:p>
        </w:tc>
      </w:tr>
      <w:tr>
        <w:trPr>
          <w:trHeight w:val="196"/>
        </w:trPr>
        <w:tc>
          <w:tcPr>
            <w:tcW w:w="1160" w:type="dxa"/>
            <w:vAlign w:val="bottom"/>
          </w:tcPr>
          <w:p>
            <w:pPr>
              <w:spacing w:after="0"/>
              <w:rPr>
                <w:sz w:val="17"/>
                <w:szCs w:val="17"/>
                <w:color w:val="auto"/>
              </w:rPr>
            </w:pPr>
          </w:p>
        </w:tc>
        <w:tc>
          <w:tcPr>
            <w:tcW w:w="32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20, 2019, among the Registrant, certain of its</w:t>
              </w:r>
            </w:hyperlink>
          </w:p>
        </w:tc>
        <w:tc>
          <w:tcPr>
            <w:tcW w:w="840" w:type="dxa"/>
            <w:vAlign w:val="bottom"/>
            <w:gridSpan w:val="17"/>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100" w:type="dxa"/>
            <w:vAlign w:val="bottom"/>
            <w:gridSpan w:val="24"/>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affiliates, Silicon Valley Bank and WestRiver</w:t>
              </w:r>
            </w:hyperlink>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7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Innovation Lending Fund VIII, L.P., as amended by</w:t>
              </w:r>
            </w:hyperlink>
          </w:p>
        </w:tc>
        <w:tc>
          <w:tcPr>
            <w:tcW w:w="36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100" w:type="dxa"/>
            <w:vAlign w:val="bottom"/>
            <w:gridSpan w:val="24"/>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the Joinder and First Amendment to Loan and</w:t>
              </w:r>
            </w:hyperlink>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Security Agreement on May 21, 2020.</w:t>
              </w:r>
            </w:hyperlink>
          </w:p>
        </w:tc>
        <w:tc>
          <w:tcPr>
            <w:tcW w:w="540" w:type="dxa"/>
            <w:vAlign w:val="bottom"/>
            <w:tcBorders>
              <w:top w:val="single" w:sz="8" w:color="0000EE"/>
            </w:tcBorders>
            <w:gridSpan w:val="2"/>
          </w:tcPr>
          <w:p>
            <w:pPr>
              <w:spacing w:after="0"/>
              <w:rPr>
                <w:sz w:val="17"/>
                <w:szCs w:val="17"/>
                <w:color w:val="auto"/>
              </w:rPr>
            </w:pPr>
          </w:p>
        </w:tc>
        <w:tc>
          <w:tcPr>
            <w:tcW w:w="780" w:type="dxa"/>
            <w:vAlign w:val="bottom"/>
            <w:gridSpan w:val="16"/>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10.14</w:t>
            </w:r>
          </w:p>
        </w:tc>
        <w:tc>
          <w:tcPr>
            <w:tcW w:w="3880" w:type="dxa"/>
            <w:vAlign w:val="bottom"/>
            <w:tcBorders>
              <w:bottom w:val="single" w:sz="8" w:color="0000EE"/>
            </w:tcBorders>
            <w:gridSpan w:val="20"/>
          </w:tcPr>
          <w:p>
            <w:pPr>
              <w:spacing w:after="0"/>
              <w:rPr>
                <w:rFonts w:ascii="Arial" w:cs="Arial" w:eastAsia="Arial" w:hAnsi="Arial"/>
                <w:sz w:val="18"/>
                <w:szCs w:val="18"/>
                <w:color w:val="0000EE"/>
                <w:w w:val="89"/>
              </w:rPr>
            </w:pPr>
            <w:hyperlink r:id="rId199">
              <w:r>
                <w:rPr>
                  <w:rFonts w:ascii="Arial" w:cs="Arial" w:eastAsia="Arial" w:hAnsi="Arial"/>
                  <w:sz w:val="18"/>
                  <w:szCs w:val="18"/>
                  <w:color w:val="0000EE"/>
                  <w:w w:val="89"/>
                </w:rPr>
                <w:t>Conformed Copy of Amended and Restated Research</w:t>
              </w:r>
            </w:hyperlink>
          </w:p>
        </w:tc>
        <w:tc>
          <w:tcPr>
            <w:tcW w:w="220" w:type="dxa"/>
            <w:vAlign w:val="bottom"/>
            <w:gridSpan w:val="4"/>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333-239490</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2800" w:type="dxa"/>
            <w:vAlign w:val="bottom"/>
          </w:tcPr>
          <w:p>
            <w:pPr>
              <w:ind w:left="300"/>
              <w:spacing w:after="0"/>
              <w:rPr>
                <w:sz w:val="20"/>
                <w:szCs w:val="20"/>
                <w:color w:val="auto"/>
              </w:rPr>
            </w:pPr>
            <w:r>
              <w:rPr>
                <w:rFonts w:ascii="Arial" w:cs="Arial" w:eastAsia="Arial" w:hAnsi="Arial"/>
                <w:sz w:val="18"/>
                <w:szCs w:val="18"/>
                <w:color w:val="auto"/>
              </w:rPr>
              <w:t>June 26, 2020</w:t>
            </w:r>
          </w:p>
        </w:tc>
      </w:tr>
      <w:tr>
        <w:trPr>
          <w:trHeight w:val="196"/>
        </w:trPr>
        <w:tc>
          <w:tcPr>
            <w:tcW w:w="1160" w:type="dxa"/>
            <w:vAlign w:val="bottom"/>
          </w:tcPr>
          <w:p>
            <w:pPr>
              <w:spacing w:after="0"/>
              <w:rPr>
                <w:sz w:val="17"/>
                <w:szCs w:val="17"/>
                <w:color w:val="auto"/>
              </w:rPr>
            </w:pPr>
          </w:p>
        </w:tc>
        <w:tc>
          <w:tcPr>
            <w:tcW w:w="36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and Development Services Agreement, dated as of</w:t>
              </w:r>
            </w:hyperlink>
          </w:p>
        </w:tc>
        <w:tc>
          <w:tcPr>
            <w:tcW w:w="440" w:type="dxa"/>
            <w:vAlign w:val="bottom"/>
            <w:gridSpan w:val="10"/>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5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June 18, 2018, between ALX Oncology Inc. and</w:t>
              </w:r>
            </w:hyperlink>
          </w:p>
        </w:tc>
        <w:tc>
          <w:tcPr>
            <w:tcW w:w="60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9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Tollnine, Inc., incorporating Amendment No. 1, dated</w:t>
              </w:r>
            </w:hyperlink>
          </w:p>
        </w:tc>
        <w:tc>
          <w:tcPr>
            <w:tcW w:w="1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as of May 3, 2019.</w:t>
              </w:r>
            </w:hyperlink>
          </w:p>
        </w:tc>
        <w:tc>
          <w:tcPr>
            <w:tcW w:w="2740" w:type="dxa"/>
            <w:vAlign w:val="bottom"/>
            <w:gridSpan w:val="22"/>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10.15</w:t>
            </w:r>
          </w:p>
        </w:tc>
        <w:tc>
          <w:tcPr>
            <w:tcW w:w="3540" w:type="dxa"/>
            <w:vAlign w:val="bottom"/>
            <w:tcBorders>
              <w:bottom w:val="single" w:sz="8" w:color="0000EE"/>
            </w:tcBorders>
            <w:gridSpan w:val="13"/>
          </w:tcPr>
          <w:p>
            <w:pPr>
              <w:spacing w:after="0"/>
              <w:rPr>
                <w:rFonts w:ascii="Arial" w:cs="Arial" w:eastAsia="Arial" w:hAnsi="Arial"/>
                <w:sz w:val="18"/>
                <w:szCs w:val="18"/>
                <w:color w:val="0000EE"/>
                <w:w w:val="89"/>
              </w:rPr>
            </w:pPr>
            <w:hyperlink r:id="rId200">
              <w:r>
                <w:rPr>
                  <w:rFonts w:ascii="Arial" w:cs="Arial" w:eastAsia="Arial" w:hAnsi="Arial"/>
                  <w:sz w:val="18"/>
                  <w:szCs w:val="18"/>
                  <w:color w:val="0000EE"/>
                  <w:w w:val="89"/>
                </w:rPr>
                <w:t>Research and Development Services Agreement,</w:t>
              </w:r>
            </w:hyperlink>
          </w:p>
        </w:tc>
        <w:tc>
          <w:tcPr>
            <w:tcW w:w="560" w:type="dxa"/>
            <w:vAlign w:val="bottom"/>
            <w:gridSpan w:val="11"/>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333-239490</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2800" w:type="dxa"/>
            <w:vAlign w:val="bottom"/>
          </w:tcPr>
          <w:p>
            <w:pPr>
              <w:ind w:left="300"/>
              <w:spacing w:after="0"/>
              <w:rPr>
                <w:sz w:val="20"/>
                <w:szCs w:val="20"/>
                <w:color w:val="auto"/>
              </w:rPr>
            </w:pPr>
            <w:r>
              <w:rPr>
                <w:rFonts w:ascii="Arial" w:cs="Arial" w:eastAsia="Arial" w:hAnsi="Arial"/>
                <w:sz w:val="18"/>
                <w:szCs w:val="18"/>
                <w:color w:val="auto"/>
              </w:rPr>
              <w:t>June 26, 2020</w:t>
            </w:r>
          </w:p>
        </w:tc>
      </w:tr>
      <w:tr>
        <w:trPr>
          <w:trHeight w:val="196"/>
        </w:trPr>
        <w:tc>
          <w:tcPr>
            <w:tcW w:w="1160" w:type="dxa"/>
            <w:vAlign w:val="bottom"/>
          </w:tcPr>
          <w:p>
            <w:pPr>
              <w:spacing w:after="0"/>
              <w:rPr>
                <w:sz w:val="17"/>
                <w:szCs w:val="17"/>
                <w:color w:val="auto"/>
              </w:rPr>
            </w:pPr>
          </w:p>
        </w:tc>
        <w:tc>
          <w:tcPr>
            <w:tcW w:w="39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200">
              <w:r>
                <w:rPr>
                  <w:rFonts w:ascii="Arial" w:cs="Arial" w:eastAsia="Arial" w:hAnsi="Arial"/>
                  <w:sz w:val="18"/>
                  <w:szCs w:val="18"/>
                  <w:color w:val="0000EE"/>
                  <w:w w:val="88"/>
                </w:rPr>
                <w:t>dated as of June 25, 2020, between the Registrant and</w:t>
              </w:r>
            </w:hyperlink>
          </w:p>
        </w:tc>
        <w:tc>
          <w:tcPr>
            <w:tcW w:w="20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9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Tallac Therapeutics, Inc. (formerly known as Tollnine,</w:t>
              </w:r>
            </w:hyperlink>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100" w:type="dxa"/>
            <w:vAlign w:val="bottom"/>
            <w:gridSpan w:val="24"/>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Inc.).</w:t>
              </w:r>
            </w:hyperlink>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21.1</w:t>
            </w:r>
          </w:p>
        </w:tc>
        <w:tc>
          <w:tcPr>
            <w:tcW w:w="4100" w:type="dxa"/>
            <w:vAlign w:val="bottom"/>
            <w:gridSpan w:val="24"/>
          </w:tcPr>
          <w:p>
            <w:pPr>
              <w:spacing w:after="0"/>
              <w:rPr>
                <w:rFonts w:ascii="Arial" w:cs="Arial" w:eastAsia="Arial" w:hAnsi="Arial"/>
                <w:sz w:val="18"/>
                <w:szCs w:val="18"/>
                <w:color w:val="0000EE"/>
              </w:rPr>
            </w:pPr>
            <w:hyperlink r:id="rId201">
              <w:r>
                <w:rPr>
                  <w:rFonts w:ascii="Arial" w:cs="Arial" w:eastAsia="Arial" w:hAnsi="Arial"/>
                  <w:sz w:val="18"/>
                  <w:szCs w:val="18"/>
                  <w:color w:val="0000EE"/>
                </w:rPr>
                <w:t>List of subsidiaries of Registrant.</w:t>
              </w:r>
            </w:hyperlink>
          </w:p>
        </w:tc>
        <w:tc>
          <w:tcPr>
            <w:tcW w:w="760" w:type="dxa"/>
            <w:vAlign w:val="bottom"/>
          </w:tcPr>
          <w:p>
            <w:pPr>
              <w:ind w:left="180"/>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333-239490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2800" w:type="dxa"/>
            <w:vAlign w:val="bottom"/>
          </w:tcPr>
          <w:p>
            <w:pPr>
              <w:ind w:left="300"/>
              <w:spacing w:after="0"/>
              <w:rPr>
                <w:sz w:val="20"/>
                <w:szCs w:val="20"/>
                <w:color w:val="auto"/>
              </w:rPr>
            </w:pPr>
            <w:r>
              <w:rPr>
                <w:rFonts w:ascii="Arial" w:cs="Arial" w:eastAsia="Arial" w:hAnsi="Arial"/>
                <w:sz w:val="18"/>
                <w:szCs w:val="18"/>
                <w:color w:val="auto"/>
              </w:rPr>
              <w:t>June 26, 2020</w:t>
            </w:r>
          </w:p>
        </w:tc>
      </w:tr>
      <w:tr>
        <w:trPr>
          <w:trHeight w:val="20"/>
        </w:trPr>
        <w:tc>
          <w:tcPr>
            <w:tcW w:w="11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35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55">
              <w:r>
                <w:rPr>
                  <w:rFonts w:ascii="Arial" w:cs="Arial" w:eastAsia="Arial" w:hAnsi="Arial"/>
                  <w:sz w:val="18"/>
                  <w:szCs w:val="18"/>
                  <w:color w:val="0000EE"/>
                  <w:w w:val="90"/>
                </w:rPr>
                <w:t>Consent of KPMG LLP, Independent Registered</w:t>
              </w:r>
            </w:hyperlink>
          </w:p>
        </w:tc>
        <w:tc>
          <w:tcPr>
            <w:tcW w:w="600" w:type="dxa"/>
            <w:vAlign w:val="bottom"/>
            <w:gridSpan w:val="12"/>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ind w:left="2180"/>
              <w:spacing w:after="0"/>
              <w:rPr>
                <w:sz w:val="20"/>
                <w:szCs w:val="20"/>
                <w:color w:val="auto"/>
              </w:rPr>
            </w:pPr>
            <w:r>
              <w:rPr>
                <w:rFonts w:ascii="Arial" w:cs="Arial" w:eastAsia="Arial" w:hAnsi="Arial"/>
                <w:sz w:val="18"/>
                <w:szCs w:val="18"/>
                <w:color w:val="auto"/>
              </w:rPr>
              <w:t>X</w:t>
            </w:r>
          </w:p>
        </w:tc>
      </w:tr>
      <w:tr>
        <w:trPr>
          <w:trHeight w:val="196"/>
        </w:trPr>
        <w:tc>
          <w:tcPr>
            <w:tcW w:w="116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55">
              <w:r>
                <w:rPr>
                  <w:rFonts w:ascii="Arial" w:cs="Arial" w:eastAsia="Arial" w:hAnsi="Arial"/>
                  <w:sz w:val="18"/>
                  <w:szCs w:val="18"/>
                  <w:color w:val="0000EE"/>
                  <w:w w:val="94"/>
                </w:rPr>
                <w:t>Public Accounting Firm.</w:t>
              </w:r>
            </w:hyperlink>
          </w:p>
        </w:tc>
        <w:tc>
          <w:tcPr>
            <w:tcW w:w="2300" w:type="dxa"/>
            <w:vAlign w:val="bottom"/>
            <w:gridSpan w:val="20"/>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24.1</w:t>
            </w:r>
          </w:p>
        </w:tc>
        <w:tc>
          <w:tcPr>
            <w:tcW w:w="4100" w:type="dxa"/>
            <w:vAlign w:val="bottom"/>
            <w:gridSpan w:val="24"/>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Power of Attorney.</w:t>
              </w:r>
            </w:hyperlink>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ind w:left="2180"/>
              <w:spacing w:after="0"/>
              <w:rPr>
                <w:sz w:val="20"/>
                <w:szCs w:val="20"/>
                <w:color w:val="auto"/>
              </w:rPr>
            </w:pPr>
            <w:r>
              <w:rPr>
                <w:rFonts w:ascii="Arial" w:cs="Arial" w:eastAsia="Arial" w:hAnsi="Arial"/>
                <w:sz w:val="18"/>
                <w:szCs w:val="18"/>
                <w:color w:val="auto"/>
              </w:rPr>
              <w:t>X</w:t>
            </w:r>
          </w:p>
        </w:tc>
      </w:tr>
      <w:tr>
        <w:trPr>
          <w:trHeight w:val="20"/>
        </w:trPr>
        <w:tc>
          <w:tcPr>
            <w:tcW w:w="11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382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56">
              <w:r>
                <w:rPr>
                  <w:rFonts w:ascii="Arial" w:cs="Arial" w:eastAsia="Arial" w:hAnsi="Arial"/>
                  <w:sz w:val="18"/>
                  <w:szCs w:val="18"/>
                  <w:color w:val="0000EE"/>
                  <w:w w:val="93"/>
                </w:rPr>
                <w:t>Certification of Principal Executive Officer Pursuant</w:t>
              </w:r>
            </w:hyperlink>
          </w:p>
        </w:tc>
        <w:tc>
          <w:tcPr>
            <w:tcW w:w="28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ind w:left="2180"/>
              <w:spacing w:after="0"/>
              <w:rPr>
                <w:sz w:val="20"/>
                <w:szCs w:val="20"/>
                <w:color w:val="auto"/>
              </w:rPr>
            </w:pPr>
            <w:r>
              <w:rPr>
                <w:rFonts w:ascii="Arial" w:cs="Arial" w:eastAsia="Arial" w:hAnsi="Arial"/>
                <w:sz w:val="18"/>
                <w:szCs w:val="18"/>
                <w:color w:val="auto"/>
              </w:rPr>
              <w:t>X</w:t>
            </w:r>
          </w:p>
        </w:tc>
      </w:tr>
      <w:tr>
        <w:trPr>
          <w:trHeight w:val="196"/>
        </w:trPr>
        <w:tc>
          <w:tcPr>
            <w:tcW w:w="1160" w:type="dxa"/>
            <w:vAlign w:val="bottom"/>
          </w:tcPr>
          <w:p>
            <w:pPr>
              <w:spacing w:after="0"/>
              <w:rPr>
                <w:sz w:val="17"/>
                <w:szCs w:val="17"/>
                <w:color w:val="auto"/>
              </w:rPr>
            </w:pPr>
          </w:p>
        </w:tc>
        <w:tc>
          <w:tcPr>
            <w:tcW w:w="4100" w:type="dxa"/>
            <w:vAlign w:val="bottom"/>
            <w:gridSpan w:val="24"/>
          </w:tcPr>
          <w:p>
            <w:pPr>
              <w:spacing w:after="0" w:line="196" w:lineRule="exact"/>
              <w:rPr>
                <w:rFonts w:ascii="Arial" w:cs="Arial" w:eastAsia="Arial" w:hAnsi="Arial"/>
                <w:sz w:val="18"/>
                <w:szCs w:val="18"/>
                <w:color w:val="0000EE"/>
                <w:w w:val="94"/>
              </w:rPr>
            </w:pPr>
            <w:hyperlink w:anchor="page156">
              <w:r>
                <w:rPr>
                  <w:rFonts w:ascii="Arial" w:cs="Arial" w:eastAsia="Arial" w:hAnsi="Arial"/>
                  <w:sz w:val="18"/>
                  <w:szCs w:val="18"/>
                  <w:color w:val="0000EE"/>
                  <w:w w:val="94"/>
                </w:rPr>
                <w:t>to Rules 13a-14(a) and 15d-14(a) under the Securities</w:t>
              </w:r>
            </w:hyperlink>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8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Exchange Act of 1934, as Adopted Pursuant to</w:t>
              </w:r>
            </w:hyperlink>
          </w:p>
        </w:tc>
        <w:tc>
          <w:tcPr>
            <w:tcW w:w="22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100" w:type="dxa"/>
            <w:vAlign w:val="bottom"/>
            <w:gridSpan w:val="24"/>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Section 302 of the Sarbanes-Oxley Act of 2002.</w:t>
              </w:r>
            </w:hyperlink>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gridSpan w:val="10"/>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4100" w:type="dxa"/>
            <w:vAlign w:val="bottom"/>
            <w:gridSpan w:val="24"/>
          </w:tcPr>
          <w:p>
            <w:pPr>
              <w:spacing w:after="0"/>
              <w:rPr>
                <w:rFonts w:ascii="Arial" w:cs="Arial" w:eastAsia="Arial" w:hAnsi="Arial"/>
                <w:sz w:val="18"/>
                <w:szCs w:val="18"/>
                <w:color w:val="0000EE"/>
                <w:w w:val="96"/>
              </w:rPr>
            </w:pPr>
            <w:hyperlink w:anchor="page157">
              <w:r>
                <w:rPr>
                  <w:rFonts w:ascii="Arial" w:cs="Arial" w:eastAsia="Arial" w:hAnsi="Arial"/>
                  <w:sz w:val="18"/>
                  <w:szCs w:val="18"/>
                  <w:color w:val="0000EE"/>
                  <w:w w:val="96"/>
                </w:rPr>
                <w:t>Certification of Principal Financial Officer Pursuant to</w:t>
              </w:r>
            </w:hyperlink>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ind w:left="2180"/>
              <w:spacing w:after="0"/>
              <w:rPr>
                <w:sz w:val="20"/>
                <w:szCs w:val="20"/>
                <w:color w:val="auto"/>
              </w:rPr>
            </w:pPr>
            <w:r>
              <w:rPr>
                <w:rFonts w:ascii="Arial" w:cs="Arial" w:eastAsia="Arial" w:hAnsi="Arial"/>
                <w:sz w:val="18"/>
                <w:szCs w:val="18"/>
                <w:color w:val="auto"/>
              </w:rPr>
              <w:t>X</w:t>
            </w:r>
          </w:p>
        </w:tc>
      </w:tr>
      <w:tr>
        <w:trPr>
          <w:trHeight w:val="196"/>
        </w:trPr>
        <w:tc>
          <w:tcPr>
            <w:tcW w:w="11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Rules 13a-14(a) and 15d-14(a) under the Securities</w:t>
              </w:r>
            </w:hyperlink>
          </w:p>
        </w:tc>
        <w:tc>
          <w:tcPr>
            <w:tcW w:w="240" w:type="dxa"/>
            <w:vAlign w:val="bottom"/>
            <w:tcBorders>
              <w:top w:val="single" w:sz="8" w:color="0000EE"/>
            </w:tcBorders>
            <w:gridSpan w:val="8"/>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100" w:type="dxa"/>
            <w:vAlign w:val="bottom"/>
            <w:gridSpan w:val="24"/>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Exchange Act of 1934, as Adopted Pursuant to</w:t>
              </w:r>
            </w:hyperlink>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100" w:type="dxa"/>
            <w:vAlign w:val="bottom"/>
            <w:gridSpan w:val="24"/>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Section 302 of the Sarbanes-Oxley Act of 2002.</w:t>
              </w:r>
            </w:hyperlink>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gridSpan w:val="10"/>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4100" w:type="dxa"/>
            <w:vAlign w:val="bottom"/>
            <w:gridSpan w:val="24"/>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Certification of Principal Executive Officer Pursuant</w:t>
              </w:r>
            </w:hyperlink>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ind w:left="2180"/>
              <w:spacing w:after="0"/>
              <w:rPr>
                <w:sz w:val="20"/>
                <w:szCs w:val="20"/>
                <w:color w:val="auto"/>
              </w:rPr>
            </w:pPr>
            <w:r>
              <w:rPr>
                <w:rFonts w:ascii="Arial" w:cs="Arial" w:eastAsia="Arial" w:hAnsi="Arial"/>
                <w:sz w:val="18"/>
                <w:szCs w:val="18"/>
                <w:color w:val="auto"/>
              </w:rPr>
              <w:t>X</w:t>
            </w:r>
          </w:p>
        </w:tc>
      </w:tr>
      <w:tr>
        <w:trPr>
          <w:trHeight w:val="196"/>
        </w:trPr>
        <w:tc>
          <w:tcPr>
            <w:tcW w:w="116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to 18 U.S.C. Section 1350, as Adopted Pursuant to</w:t>
              </w:r>
            </w:hyperlink>
          </w:p>
        </w:tc>
        <w:tc>
          <w:tcPr>
            <w:tcW w:w="140" w:type="dxa"/>
            <w:vAlign w:val="bottom"/>
            <w:tcBorders>
              <w:top w:val="single" w:sz="8" w:color="0000EE"/>
            </w:tcBorders>
            <w:gridSpan w:val="3"/>
          </w:tcPr>
          <w:p>
            <w:pPr>
              <w:spacing w:after="0"/>
              <w:rPr>
                <w:sz w:val="17"/>
                <w:szCs w:val="17"/>
                <w:color w:val="auto"/>
              </w:rPr>
            </w:pPr>
          </w:p>
        </w:tc>
        <w:tc>
          <w:tcPr>
            <w:tcW w:w="30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100" w:type="dxa"/>
            <w:vAlign w:val="bottom"/>
            <w:gridSpan w:val="24"/>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Section 906 of the Sarbanes-Oxley Act of 2002</w:t>
              </w:r>
              <w:r>
                <w:rPr>
                  <w:rFonts w:ascii="Arial" w:cs="Arial" w:eastAsia="Arial" w:hAnsi="Arial"/>
                  <w:sz w:val="18"/>
                  <w:szCs w:val="18"/>
                  <w:color w:val="000000"/>
                </w:rPr>
                <w:t>.</w:t>
              </w:r>
            </w:hyperlink>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4100" w:type="dxa"/>
            <w:vAlign w:val="bottom"/>
            <w:gridSpan w:val="24"/>
          </w:tcPr>
          <w:p>
            <w:pPr>
              <w:spacing w:after="0"/>
              <w:rPr>
                <w:rFonts w:ascii="Arial" w:cs="Arial" w:eastAsia="Arial" w:hAnsi="Arial"/>
                <w:sz w:val="18"/>
                <w:szCs w:val="18"/>
                <w:color w:val="0000EE"/>
                <w:w w:val="96"/>
              </w:rPr>
            </w:pPr>
            <w:hyperlink w:anchor="page159">
              <w:r>
                <w:rPr>
                  <w:rFonts w:ascii="Arial" w:cs="Arial" w:eastAsia="Arial" w:hAnsi="Arial"/>
                  <w:sz w:val="18"/>
                  <w:szCs w:val="18"/>
                  <w:color w:val="0000EE"/>
                  <w:w w:val="96"/>
                </w:rPr>
                <w:t>Certification of Principal Financial Officer Pursuant to</w:t>
              </w:r>
            </w:hyperlink>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ind w:left="2180"/>
              <w:spacing w:after="0"/>
              <w:rPr>
                <w:sz w:val="20"/>
                <w:szCs w:val="20"/>
                <w:color w:val="auto"/>
              </w:rPr>
            </w:pPr>
            <w:r>
              <w:rPr>
                <w:rFonts w:ascii="Arial" w:cs="Arial" w:eastAsia="Arial" w:hAnsi="Arial"/>
                <w:sz w:val="18"/>
                <w:szCs w:val="18"/>
                <w:color w:val="auto"/>
              </w:rPr>
              <w:t>X</w:t>
            </w:r>
          </w:p>
        </w:tc>
      </w:tr>
      <w:tr>
        <w:trPr>
          <w:trHeight w:val="196"/>
        </w:trPr>
        <w:tc>
          <w:tcPr>
            <w:tcW w:w="116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18 U.S.C. Section 1350, as Adopted Pursuant to</w:t>
              </w:r>
            </w:hyperlink>
          </w:p>
        </w:tc>
        <w:tc>
          <w:tcPr>
            <w:tcW w:w="460" w:type="dxa"/>
            <w:vAlign w:val="bottom"/>
            <w:tcBorders>
              <w:top w:val="single" w:sz="8" w:color="0000EE"/>
            </w:tcBorders>
            <w:gridSpan w:val="12"/>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100" w:type="dxa"/>
            <w:vAlign w:val="bottom"/>
            <w:gridSpan w:val="24"/>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Section 906 of the Sarbanes-Oxley Act of 2002.</w:t>
              </w:r>
            </w:hyperlink>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143</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6840" w:type="dxa"/>
            <w:vAlign w:val="bottom"/>
          </w:tcPr>
          <w:p>
            <w:pPr>
              <w:ind w:left="240"/>
              <w:spacing w:after="0"/>
              <w:rPr>
                <w:sz w:val="20"/>
                <w:szCs w:val="20"/>
                <w:color w:val="auto"/>
              </w:rPr>
            </w:pPr>
            <w:r>
              <w:rPr>
                <w:rFonts w:ascii="Arial" w:cs="Arial" w:eastAsia="Arial" w:hAnsi="Arial"/>
                <w:sz w:val="18"/>
                <w:szCs w:val="18"/>
                <w:color w:val="auto"/>
              </w:rPr>
              <w:t>XBRL Instance Document.</w:t>
            </w:r>
          </w:p>
        </w:tc>
        <w:tc>
          <w:tcPr>
            <w:tcW w:w="3020" w:type="dxa"/>
            <w:vAlign w:val="bottom"/>
          </w:tcPr>
          <w:p>
            <w:pPr>
              <w:ind w:left="2880"/>
              <w:spacing w:after="0"/>
              <w:rPr>
                <w:sz w:val="20"/>
                <w:szCs w:val="20"/>
                <w:color w:val="auto"/>
              </w:rPr>
            </w:pPr>
            <w:r>
              <w:rPr>
                <w:rFonts w:ascii="Arial" w:cs="Arial" w:eastAsia="Arial" w:hAnsi="Arial"/>
                <w:sz w:val="18"/>
                <w:szCs w:val="18"/>
                <w:color w:val="auto"/>
                <w:w w:val="99"/>
              </w:rPr>
              <w:t>X</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68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3020" w:type="dxa"/>
            <w:vAlign w:val="bottom"/>
          </w:tcPr>
          <w:p>
            <w:pPr>
              <w:ind w:left="2880"/>
              <w:spacing w:after="0"/>
              <w:rPr>
                <w:sz w:val="20"/>
                <w:szCs w:val="20"/>
                <w:color w:val="auto"/>
              </w:rPr>
            </w:pPr>
            <w:r>
              <w:rPr>
                <w:rFonts w:ascii="Arial" w:cs="Arial" w:eastAsia="Arial" w:hAnsi="Arial"/>
                <w:sz w:val="18"/>
                <w:szCs w:val="18"/>
                <w:color w:val="auto"/>
                <w:w w:val="99"/>
              </w:rPr>
              <w:t>X</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68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c>
          <w:tcPr>
            <w:tcW w:w="3020" w:type="dxa"/>
            <w:vAlign w:val="bottom"/>
          </w:tcPr>
          <w:p>
            <w:pPr>
              <w:ind w:left="288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Document.</w:t>
            </w:r>
          </w:p>
        </w:tc>
        <w:tc>
          <w:tcPr>
            <w:tcW w:w="3020" w:type="dxa"/>
            <w:vAlign w:val="bottom"/>
          </w:tcPr>
          <w:p>
            <w:pPr>
              <w:spacing w:after="0"/>
              <w:rPr>
                <w:sz w:val="20"/>
                <w:szCs w:val="20"/>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68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c>
          <w:tcPr>
            <w:tcW w:w="3020" w:type="dxa"/>
            <w:vAlign w:val="bottom"/>
          </w:tcPr>
          <w:p>
            <w:pPr>
              <w:ind w:left="288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Document.</w:t>
            </w:r>
          </w:p>
        </w:tc>
        <w:tc>
          <w:tcPr>
            <w:tcW w:w="3020" w:type="dxa"/>
            <w:vAlign w:val="bottom"/>
          </w:tcPr>
          <w:p>
            <w:pPr>
              <w:spacing w:after="0"/>
              <w:rPr>
                <w:sz w:val="20"/>
                <w:szCs w:val="20"/>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68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c>
          <w:tcPr>
            <w:tcW w:w="3020" w:type="dxa"/>
            <w:vAlign w:val="bottom"/>
          </w:tcPr>
          <w:p>
            <w:pPr>
              <w:ind w:left="288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Document.</w:t>
            </w:r>
          </w:p>
        </w:tc>
        <w:tc>
          <w:tcPr>
            <w:tcW w:w="3020" w:type="dxa"/>
            <w:vAlign w:val="bottom"/>
          </w:tcPr>
          <w:p>
            <w:pPr>
              <w:spacing w:after="0"/>
              <w:rPr>
                <w:sz w:val="20"/>
                <w:szCs w:val="20"/>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68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c>
          <w:tcPr>
            <w:tcW w:w="3020" w:type="dxa"/>
            <w:vAlign w:val="bottom"/>
          </w:tcPr>
          <w:p>
            <w:pPr>
              <w:ind w:left="288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Document.</w:t>
            </w:r>
          </w:p>
        </w:tc>
        <w:tc>
          <w:tcPr>
            <w:tcW w:w="3020" w:type="dxa"/>
            <w:vAlign w:val="bottom"/>
          </w:tcPr>
          <w:p>
            <w:pPr>
              <w:spacing w:after="0"/>
              <w:rPr>
                <w:sz w:val="20"/>
                <w:szCs w:val="20"/>
                <w:color w:val="auto"/>
              </w:rPr>
            </w:pPr>
          </w:p>
        </w:tc>
      </w:tr>
    </w:tbl>
    <w:p>
      <w:pPr>
        <w:spacing w:after="0" w:line="175" w:lineRule="exact"/>
        <w:rPr>
          <w:sz w:val="20"/>
          <w:szCs w:val="20"/>
          <w:color w:val="auto"/>
        </w:rPr>
      </w:pPr>
    </w:p>
    <w:p>
      <w:pPr>
        <w:ind w:left="600" w:hanging="592"/>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50" w:lineRule="exact"/>
        <w:rPr>
          <w:sz w:val="20"/>
          <w:szCs w:val="20"/>
          <w:color w:val="auto"/>
        </w:rPr>
      </w:pPr>
    </w:p>
    <w:p>
      <w:pPr>
        <w:ind w:left="600" w:hanging="592"/>
        <w:spacing w:after="0" w:line="259"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r>
        <w:rPr>
          <w:rFonts w:ascii="Arial" w:cs="Arial" w:eastAsia="Arial" w:hAnsi="Arial"/>
          <w:sz w:val="18"/>
          <w:szCs w:val="18"/>
          <w:b w:val="1"/>
          <w:bCs w:val="1"/>
          <w:color w:val="auto"/>
        </w:rPr>
        <w:t>.</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ALX ONCOLOGY HOLDINGS INC.</w:t>
      </w:r>
    </w:p>
    <w:p>
      <w:pPr>
        <w:spacing w:after="0" w:line="252" w:lineRule="exact"/>
        <w:rPr>
          <w:sz w:val="20"/>
          <w:szCs w:val="20"/>
          <w:color w:val="auto"/>
        </w:rPr>
      </w:pPr>
    </w:p>
    <w:p>
      <w:pPr>
        <w:spacing w:after="0"/>
        <w:tabs>
          <w:tab w:leader="none" w:pos="5160" w:val="left"/>
          <w:tab w:leader="none" w:pos="7880" w:val="left"/>
        </w:tabs>
        <w:rPr>
          <w:sz w:val="20"/>
          <w:szCs w:val="20"/>
          <w:color w:val="auto"/>
        </w:rPr>
      </w:pPr>
      <w:r>
        <w:rPr>
          <w:rFonts w:ascii="Arial" w:cs="Arial" w:eastAsia="Arial" w:hAnsi="Arial"/>
          <w:sz w:val="18"/>
          <w:szCs w:val="18"/>
          <w:color w:val="auto"/>
        </w:rPr>
        <w:t>Date: March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Dr. Jaume Pons and Peter Garcia,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262"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4"/>
                <w:szCs w:val="1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4"/>
                <w:szCs w:val="14"/>
                <w:color w:val="auto"/>
              </w:rPr>
            </w:pPr>
          </w:p>
        </w:tc>
        <w:tc>
          <w:tcPr>
            <w:tcW w:w="20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Date</w:t>
            </w:r>
          </w:p>
        </w:tc>
      </w:tr>
      <w:tr>
        <w:trPr>
          <w:trHeight w:val="317"/>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2000" w:type="dxa"/>
            <w:vAlign w:val="bottom"/>
          </w:tcPr>
          <w:p>
            <w:pPr>
              <w:spacing w:after="0"/>
              <w:rPr>
                <w:sz w:val="24"/>
                <w:szCs w:val="24"/>
                <w:color w:val="auto"/>
              </w:rPr>
            </w:pPr>
          </w:p>
        </w:tc>
      </w:tr>
      <w:tr>
        <w:trPr>
          <w:trHeight w:val="23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Jaume Pons</w:t>
            </w:r>
          </w:p>
        </w:tc>
        <w:tc>
          <w:tcPr>
            <w:tcW w:w="100" w:type="dxa"/>
            <w:vAlign w:val="bottom"/>
          </w:tcPr>
          <w:p>
            <w:pPr>
              <w:spacing w:after="0"/>
              <w:rPr>
                <w:sz w:val="20"/>
                <w:szCs w:val="20"/>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000" w:type="dxa"/>
            <w:vAlign w:val="bottom"/>
          </w:tcPr>
          <w:p>
            <w:pPr>
              <w:ind w:left="420"/>
              <w:spacing w:after="0"/>
              <w:rPr>
                <w:sz w:val="20"/>
                <w:szCs w:val="20"/>
                <w:color w:val="auto"/>
              </w:rPr>
            </w:pPr>
            <w:r>
              <w:rPr>
                <w:rFonts w:ascii="Arial" w:cs="Arial" w:eastAsia="Arial" w:hAnsi="Arial"/>
                <w:sz w:val="18"/>
                <w:szCs w:val="18"/>
                <w:color w:val="auto"/>
              </w:rPr>
              <w:t>March 18, 2021</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Jaume Pons, Ph.D.</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8"/>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000" w:type="dxa"/>
            <w:vAlign w:val="bottom"/>
          </w:tcPr>
          <w:p>
            <w:pPr>
              <w:spacing w:after="0"/>
              <w:rPr>
                <w:sz w:val="24"/>
                <w:szCs w:val="24"/>
                <w:color w:val="auto"/>
              </w:rPr>
            </w:pPr>
          </w:p>
        </w:tc>
      </w:tr>
      <w:tr>
        <w:trPr>
          <w:trHeight w:val="23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Peter Garcia</w:t>
            </w:r>
          </w:p>
        </w:tc>
        <w:tc>
          <w:tcPr>
            <w:tcW w:w="100" w:type="dxa"/>
            <w:vAlign w:val="bottom"/>
          </w:tcPr>
          <w:p>
            <w:pPr>
              <w:spacing w:after="0"/>
              <w:rPr>
                <w:sz w:val="20"/>
                <w:szCs w:val="20"/>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2000" w:type="dxa"/>
            <w:vAlign w:val="bottom"/>
          </w:tcPr>
          <w:p>
            <w:pPr>
              <w:ind w:left="420"/>
              <w:spacing w:after="0"/>
              <w:rPr>
                <w:sz w:val="20"/>
                <w:szCs w:val="20"/>
                <w:color w:val="auto"/>
              </w:rPr>
            </w:pPr>
            <w:r>
              <w:rPr>
                <w:rFonts w:ascii="Arial" w:cs="Arial" w:eastAsia="Arial" w:hAnsi="Arial"/>
                <w:sz w:val="18"/>
                <w:szCs w:val="18"/>
                <w:color w:val="auto"/>
              </w:rPr>
              <w:t>March 18, 2021</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Peter Garcia</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8"/>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Vice President, Finance and Chief Accounting Officer</w:t>
            </w:r>
          </w:p>
        </w:tc>
        <w:tc>
          <w:tcPr>
            <w:tcW w:w="2000" w:type="dxa"/>
            <w:vAlign w:val="bottom"/>
          </w:tcPr>
          <w:p>
            <w:pPr>
              <w:spacing w:after="0"/>
              <w:rPr>
                <w:sz w:val="24"/>
                <w:szCs w:val="24"/>
                <w:color w:val="auto"/>
              </w:rPr>
            </w:pPr>
          </w:p>
        </w:tc>
      </w:tr>
      <w:tr>
        <w:trPr>
          <w:trHeight w:val="23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Steffen Pietzke</w:t>
            </w:r>
          </w:p>
        </w:tc>
        <w:tc>
          <w:tcPr>
            <w:tcW w:w="100" w:type="dxa"/>
            <w:vAlign w:val="bottom"/>
          </w:tcPr>
          <w:p>
            <w:pPr>
              <w:spacing w:after="0"/>
              <w:rPr>
                <w:sz w:val="20"/>
                <w:szCs w:val="20"/>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5"/>
              </w:rPr>
              <w:t>(Principal Accounting Officer)</w:t>
            </w:r>
          </w:p>
        </w:tc>
        <w:tc>
          <w:tcPr>
            <w:tcW w:w="2000" w:type="dxa"/>
            <w:vAlign w:val="bottom"/>
          </w:tcPr>
          <w:p>
            <w:pPr>
              <w:ind w:left="420"/>
              <w:spacing w:after="0"/>
              <w:rPr>
                <w:sz w:val="20"/>
                <w:szCs w:val="20"/>
                <w:color w:val="auto"/>
              </w:rPr>
            </w:pPr>
            <w:r>
              <w:rPr>
                <w:rFonts w:ascii="Arial" w:cs="Arial" w:eastAsia="Arial" w:hAnsi="Arial"/>
                <w:sz w:val="18"/>
                <w:szCs w:val="18"/>
                <w:color w:val="auto"/>
              </w:rPr>
              <w:t>March 18, 2021</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Steffen Pietzke</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Corey Goodman</w:t>
            </w: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Executive Chairman of the Board of Directors</w:t>
            </w:r>
          </w:p>
        </w:tc>
        <w:tc>
          <w:tcPr>
            <w:tcW w:w="2000" w:type="dxa"/>
            <w:vAlign w:val="bottom"/>
          </w:tcPr>
          <w:p>
            <w:pPr>
              <w:ind w:left="380"/>
              <w:spacing w:after="0"/>
              <w:rPr>
                <w:sz w:val="20"/>
                <w:szCs w:val="20"/>
                <w:color w:val="auto"/>
              </w:rPr>
            </w:pPr>
            <w:r>
              <w:rPr>
                <w:rFonts w:ascii="Arial" w:cs="Arial" w:eastAsia="Arial" w:hAnsi="Arial"/>
                <w:sz w:val="18"/>
                <w:szCs w:val="18"/>
                <w:color w:val="auto"/>
              </w:rPr>
              <w:t>March 18, 2021</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Corey Goodman, Ph.D.</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Rekha Hemrajani</w:t>
            </w: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380"/>
              <w:spacing w:after="0"/>
              <w:rPr>
                <w:sz w:val="20"/>
                <w:szCs w:val="20"/>
                <w:color w:val="auto"/>
              </w:rPr>
            </w:pPr>
            <w:r>
              <w:rPr>
                <w:rFonts w:ascii="Arial" w:cs="Arial" w:eastAsia="Arial" w:hAnsi="Arial"/>
                <w:sz w:val="18"/>
                <w:szCs w:val="18"/>
                <w:color w:val="auto"/>
              </w:rPr>
              <w:t>March 18, 2021</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4"/>
              </w:rPr>
              <w:t>Rekha Hemrajani</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Jason Lettmann</w:t>
            </w: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380"/>
              <w:spacing w:after="0"/>
              <w:rPr>
                <w:sz w:val="20"/>
                <w:szCs w:val="20"/>
                <w:color w:val="auto"/>
              </w:rPr>
            </w:pPr>
            <w:r>
              <w:rPr>
                <w:rFonts w:ascii="Arial" w:cs="Arial" w:eastAsia="Arial" w:hAnsi="Arial"/>
                <w:sz w:val="18"/>
                <w:szCs w:val="18"/>
                <w:color w:val="auto"/>
              </w:rPr>
              <w:t>March 18, 2021</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Jason Lettmann</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Jack Nielsen</w:t>
            </w: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380"/>
              <w:spacing w:after="0"/>
              <w:rPr>
                <w:sz w:val="20"/>
                <w:szCs w:val="20"/>
                <w:color w:val="auto"/>
              </w:rPr>
            </w:pPr>
            <w:r>
              <w:rPr>
                <w:rFonts w:ascii="Arial" w:cs="Arial" w:eastAsia="Arial" w:hAnsi="Arial"/>
                <w:sz w:val="18"/>
                <w:szCs w:val="18"/>
                <w:color w:val="auto"/>
              </w:rPr>
              <w:t>March 18, 2021</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Jack Nielsen</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Sophia Randolph</w:t>
            </w: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380"/>
              <w:spacing w:after="0"/>
              <w:rPr>
                <w:sz w:val="20"/>
                <w:szCs w:val="20"/>
                <w:color w:val="auto"/>
              </w:rPr>
            </w:pPr>
            <w:r>
              <w:rPr>
                <w:rFonts w:ascii="Arial" w:cs="Arial" w:eastAsia="Arial" w:hAnsi="Arial"/>
                <w:sz w:val="18"/>
                <w:szCs w:val="18"/>
                <w:color w:val="auto"/>
              </w:rPr>
              <w:t>March 18, 2021</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Sophia Randolph, M.D., Ph.D.</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Graham Walmsley</w:t>
            </w: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380"/>
              <w:spacing w:after="0"/>
              <w:rPr>
                <w:sz w:val="20"/>
                <w:szCs w:val="20"/>
                <w:color w:val="auto"/>
              </w:rPr>
            </w:pPr>
            <w:r>
              <w:rPr>
                <w:rFonts w:ascii="Arial" w:cs="Arial" w:eastAsia="Arial" w:hAnsi="Arial"/>
                <w:sz w:val="18"/>
                <w:szCs w:val="18"/>
                <w:color w:val="auto"/>
              </w:rPr>
              <w:t>March 18, 2021</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Graham Walmsley</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643"/>
        </w:trPr>
        <w:tc>
          <w:tcPr>
            <w:tcW w:w="3700" w:type="dxa"/>
            <w:vAlign w:val="bottom"/>
          </w:tcPr>
          <w:p>
            <w:pPr>
              <w:spacing w:after="0"/>
              <w:rPr>
                <w:sz w:val="24"/>
                <w:szCs w:val="24"/>
                <w:color w:val="auto"/>
              </w:rPr>
            </w:pPr>
          </w:p>
        </w:tc>
        <w:tc>
          <w:tcPr>
            <w:tcW w:w="5440" w:type="dxa"/>
            <w:vAlign w:val="bottom"/>
            <w:gridSpan w:val="2"/>
          </w:tcPr>
          <w:p>
            <w:pPr>
              <w:jc w:val="right"/>
              <w:ind w:right="329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4.3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authorized capital stock of ALX Oncology Holdings Inc., consists of 1,000,000,000 shares of common stock, par value $0.001 per share, and 100,000,000 shares of convertible preferred stock, par value $0.001 per share. We have one class of securities registered under Section 12 of the Securities and Exchange Act of 1934, as amended (the “Exchange Act”), our common stock, which is listed on the Nasdaq Global Select Market under the symbol “ALXO”. For purposes of this exhibit, unless the context otherwise requires, the work “we,” “our,” “us” and “our company” refer to ALX Oncology Holdings Inc. a Delaware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w:t>
      </w:r>
    </w:p>
    <w:p>
      <w:pPr>
        <w:spacing w:after="0" w:line="225"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rested bylaws, each of which is an exhibit to our Annual Report on Form 10-K to which this summary is also an exhibit, and the applicable provisions of the Delaware General Corporation Law (the DGCL”).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Voting Rights</w:t>
      </w:r>
    </w:p>
    <w:p>
      <w:pPr>
        <w:spacing w:after="0" w:line="225"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Dividends</w:t>
      </w:r>
    </w:p>
    <w:p>
      <w:pPr>
        <w:spacing w:after="0" w:line="225"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Liquidation</w:t>
      </w:r>
    </w:p>
    <w:p>
      <w:pPr>
        <w:spacing w:after="0" w:line="225"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Rights and Preferences</w:t>
      </w:r>
    </w:p>
    <w:p>
      <w:pPr>
        <w:spacing w:after="0" w:line="225" w:lineRule="exact"/>
        <w:rPr>
          <w:sz w:val="20"/>
          <w:szCs w:val="20"/>
          <w:color w:val="auto"/>
        </w:rPr>
      </w:pPr>
    </w:p>
    <w:p>
      <w:pPr>
        <w:jc w:val="both"/>
        <w:ind w:right="40" w:firstLine="589"/>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i w:val="1"/>
          <w:iCs w:val="1"/>
          <w:color w:val="231F20"/>
        </w:rPr>
        <w:t>Fully Paid and Nonassessable</w:t>
      </w:r>
    </w:p>
    <w:p>
      <w:pPr>
        <w:spacing w:after="0" w:line="225"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 and we have no present plan to issue any shares of preferred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party to an amended and restated investors’ rights agreement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of 1933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3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holders of an aggregate of 24,429,399 shares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S-3 Registration Rights</w:t>
      </w:r>
    </w:p>
    <w:p>
      <w:pPr>
        <w:spacing w:after="0" w:line="5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holders of an aggregate of 24,429,399 shares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5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connection with this offering, the holders of an aggregate of 24,429,399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1" w:name="page152"/>
    <w:bookmarkEnd w:id="151"/>
    <w:p>
      <w:pPr>
        <w:ind w:right="60"/>
        <w:spacing w:after="0" w:line="263" w:lineRule="auto"/>
        <w:rPr>
          <w:sz w:val="20"/>
          <w:szCs w:val="20"/>
          <w:color w:val="auto"/>
        </w:rPr>
      </w:pPr>
      <w:r>
        <w:rPr>
          <w:rFonts w:ascii="Arial" w:cs="Arial" w:eastAsia="Arial" w:hAnsi="Arial"/>
          <w:sz w:val="18"/>
          <w:szCs w:val="18"/>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of Registration</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pay the registration expenses, other than underwriting discounts and commissions, of the shares registered by the demand, Form S-3 and piggyback registrations described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Registration Rights</w:t>
      </w:r>
    </w:p>
    <w:p>
      <w:pPr>
        <w:spacing w:after="0" w:line="3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demand, Form S-3 and piggyback registration described above will expire upon the earliest of (1) the fifth anniversary after the closing of our initial public offering, (2) a deemed liquidation event (as defined in our amended and restated certificate of incorporation, in effect prior to the completion of our initial public offering) and (3) such time after the completion of our initial public offering that such stockholder can sell all of its shares entitled to registration rights under Rule 144 of the Securities Act.</w:t>
      </w:r>
    </w:p>
    <w:p>
      <w:pPr>
        <w:spacing w:after="0" w:line="23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6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Preferred Stock</w:t>
      </w:r>
    </w:p>
    <w:p>
      <w:pPr>
        <w:spacing w:after="0" w:line="225"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Classified Board</w:t>
      </w:r>
    </w:p>
    <w:p>
      <w:pPr>
        <w:spacing w:after="0" w:line="225" w:lineRule="exact"/>
        <w:rPr>
          <w:sz w:val="20"/>
          <w:szCs w:val="20"/>
          <w:color w:val="auto"/>
        </w:rPr>
      </w:pPr>
    </w:p>
    <w:p>
      <w:pPr>
        <w:jc w:val="both"/>
        <w:ind w:right="20" w:firstLine="589"/>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2021 annual meeting, the term of the initial Class II directors shall terminate on the date of the 2022 annual meeting, and the term of the initial Class III directors shall terminate on the date of the 2023 annual meeting. At each annual meeting of stockholders beginning in 2021, successors to the class of directors whose term expires at that annual meeting will be elected for a three-year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Removal of Directors</w:t>
      </w:r>
    </w:p>
    <w:p>
      <w:pPr>
        <w:spacing w:after="0" w:line="225"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Director Vacancies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i w:val="1"/>
          <w:iCs w:val="1"/>
          <w:color w:val="231F20"/>
        </w:rPr>
        <w:t>No Cumulative Voting</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amended and restated certificate of incorporation provides that stockholders do not have the right to cumulate votes in the election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Special Meetings of Stockholders</w:t>
      </w:r>
    </w:p>
    <w:p>
      <w:pPr>
        <w:spacing w:after="0" w:line="225"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Advance Notice Procedures for Director Nominations</w:t>
      </w:r>
    </w:p>
    <w:p>
      <w:pPr>
        <w:spacing w:after="0" w:line="225"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Action by Written Consent</w:t>
      </w:r>
    </w:p>
    <w:p>
      <w:pPr>
        <w:spacing w:after="0" w:line="225"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Amending our Certificate of Incorporation and Bylaws</w:t>
      </w:r>
    </w:p>
    <w:p>
      <w:pPr>
        <w:spacing w:after="0" w:line="225"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Authorized but Unissued Shares</w:t>
      </w:r>
    </w:p>
    <w:p>
      <w:pPr>
        <w:spacing w:after="0" w:line="225"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Our authorized but unissued shares of common stock and preferred stock are available for future issuances without stockholder approval, except as required by the listing standards of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Exclusive Jurisdiction</w:t>
      </w:r>
    </w:p>
    <w:p>
      <w:pPr>
        <w:spacing w:after="0" w:line="225" w:lineRule="exact"/>
        <w:rPr>
          <w:sz w:val="20"/>
          <w:szCs w:val="20"/>
          <w:color w:val="auto"/>
        </w:rPr>
      </w:pPr>
    </w:p>
    <w:p>
      <w:pPr>
        <w:jc w:val="both"/>
        <w:ind w:right="220" w:firstLine="589"/>
        <w:spacing w:after="0" w:line="275" w:lineRule="auto"/>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53" w:name="page154"/>
    <w:bookmarkEnd w:id="153"/>
    <w:p>
      <w:pPr>
        <w:ind w:right="40"/>
        <w:spacing w:after="0" w:line="271" w:lineRule="auto"/>
        <w:rPr>
          <w:sz w:val="20"/>
          <w:szCs w:val="20"/>
          <w:color w:val="auto"/>
        </w:rPr>
      </w:pPr>
      <w:r>
        <w:rPr>
          <w:rFonts w:ascii="Arial" w:cs="Arial" w:eastAsia="Arial" w:hAnsi="Arial"/>
          <w:sz w:val="17"/>
          <w:szCs w:val="17"/>
          <w:color w:val="auto"/>
        </w:rPr>
        <w:t>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For additional information, please also see the section titled “Risk Factors—Our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Business Combinations with Interested Stockholders</w:t>
      </w:r>
    </w:p>
    <w:p>
      <w:pPr>
        <w:spacing w:after="0" w:line="225"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7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Listing</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common stock is listed on the Nasdaq Global Select Market under the symbol “ALXO.”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Transfer Agent and Registrar</w:t>
      </w:r>
    </w:p>
    <w:p>
      <w:pPr>
        <w:spacing w:after="0" w:line="225"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 Street, Canton, Massachusetts 02021.</w:t>
      </w:r>
    </w:p>
    <w:p>
      <w:pPr>
        <w:sectPr>
          <w:pgSz w:w="11900" w:h="16838" w:orient="portrait"/>
          <w:cols w:equalWidth="0" w:num="1">
            <w:col w:w="11240"/>
          </w:cols>
          <w:pgMar w:left="320" w:top="57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consent to the incorporation by reference in the registration statement (No. 333-239927) on Form S-8 of ALX Oncology Holdings Inc. and subsidiaries of our report dated March 18, 2021, with respect to the consolidated balance sheets of ALX Oncology Holdings Inc. and subsidiaries as of December 31, 2020 and 2019, the related consolidated statements of operations and comprehensive loss, convertible preferred stock and stockholders’ equity (deficit), and cash flows for each of the years in the three-year period ended December 31, 2020, and the related notes, which report appears in the December 31, 2020 annual report on Form 10-K of ALX Oncology Holdings Inc. and subsidiaries.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ectPr>
          <w:pgSz w:w="11900" w:h="16838" w:orient="portrait"/>
          <w:cols w:equalWidth="0" w:num="1">
            <w:col w:w="11240"/>
          </w:cols>
          <w:pgMar w:left="320" w:top="121"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Jaume Pons, Ph.D., certify that:</w:t>
      </w:r>
    </w:p>
    <w:p>
      <w:pPr>
        <w:spacing w:after="0" w:line="117" w:lineRule="exact"/>
        <w:rPr>
          <w:sz w:val="20"/>
          <w:szCs w:val="20"/>
          <w:color w:val="auto"/>
        </w:rPr>
      </w:pPr>
    </w:p>
    <w:p>
      <w:pPr>
        <w:ind w:left="580" w:hanging="572"/>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ALX Oncology Holdings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00" w:hanging="572"/>
        <w:spacing w:after="0" w:line="308" w:lineRule="auto"/>
        <w:tabs>
          <w:tab w:leader="none" w:pos="5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8040" w:val="left"/>
        </w:tabs>
        <w:rPr>
          <w:sz w:val="20"/>
          <w:szCs w:val="20"/>
          <w:color w:val="auto"/>
        </w:rPr>
      </w:pPr>
      <w:r>
        <w:rPr>
          <w:rFonts w:ascii="Arial" w:cs="Arial" w:eastAsia="Arial" w:hAnsi="Arial"/>
          <w:sz w:val="18"/>
          <w:szCs w:val="18"/>
          <w:color w:val="auto"/>
        </w:rPr>
        <w:t>Date: March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Garcia, certify that:</w:t>
      </w:r>
    </w:p>
    <w:p>
      <w:pPr>
        <w:spacing w:after="0" w:line="117"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ALX Oncology Holdings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00" w:hanging="572"/>
        <w:spacing w:after="0" w:line="308" w:lineRule="auto"/>
        <w:tabs>
          <w:tab w:leader="none" w:pos="5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8020" w:val="left"/>
        </w:tabs>
        <w:rPr>
          <w:sz w:val="20"/>
          <w:szCs w:val="20"/>
          <w:color w:val="auto"/>
        </w:rPr>
      </w:pPr>
      <w:r>
        <w:rPr>
          <w:rFonts w:ascii="Arial" w:cs="Arial" w:eastAsia="Arial" w:hAnsi="Arial"/>
          <w:sz w:val="18"/>
          <w:szCs w:val="18"/>
          <w:color w:val="auto"/>
        </w:rPr>
        <w:t>Date: March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connection with the Annual Report of ALX Oncology Holdings Inc. (the “Company”), on Form 10-K for the fiscal year ended December 31, 2020, as filed with the Securities and Exchange Commission on the date hereof (the “Report”), I certify, pursuant to 18 U.S.C. §1350, as adopted pursuant to section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560" w:val="left"/>
          <w:tab w:leader="none" w:pos="8000" w:val="left"/>
        </w:tabs>
        <w:rPr>
          <w:sz w:val="20"/>
          <w:szCs w:val="20"/>
          <w:color w:val="auto"/>
        </w:rPr>
      </w:pPr>
      <w:r>
        <w:rPr>
          <w:rFonts w:ascii="Arial" w:cs="Arial" w:eastAsia="Arial" w:hAnsi="Arial"/>
          <w:sz w:val="18"/>
          <w:szCs w:val="18"/>
          <w:color w:val="auto"/>
        </w:rPr>
        <w:t>Date: March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connection with the Annual Report of ALX Oncology Holdings Inc. (the “Company”), on Form 10-K for the fiscal year ended December 31, 2020, as filed with the Securities and Exchange Commission on the date hereof (the “Report”), I certify, pursuant to 18 U.S.C. §1350, as adopted pursuant to section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560" w:val="left"/>
          <w:tab w:leader="none" w:pos="7980" w:val="left"/>
        </w:tabs>
        <w:rPr>
          <w:sz w:val="20"/>
          <w:szCs w:val="20"/>
          <w:color w:val="auto"/>
        </w:rPr>
      </w:pPr>
      <w:r>
        <w:rPr>
          <w:rFonts w:ascii="Arial" w:cs="Arial" w:eastAsia="Arial" w:hAnsi="Arial"/>
          <w:sz w:val="18"/>
          <w:szCs w:val="18"/>
          <w:color w:val="auto"/>
        </w:rPr>
        <w:t>Date: March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lvl w:ilvl="1">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lvl w:ilvl="1">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lvl w:ilvl="1">
      <w:lvlJc w:val="left"/>
      <w:lvlText w:val="▪"/>
      <w:numFmt w:val="bullet"/>
      <w:start w:val="1"/>
    </w:lvl>
  </w:abstractNum>
  <w:abstractNum w:abstractNumId="39">
    <w:nsid w:val="3F6AB60F"/>
    <w:multiLevelType w:val="hybridMultilevel"/>
    <w:lvl w:ilvl="0">
      <w:lvlJc w:val="left"/>
      <w:lvlText w:val="▪"/>
      <w:numFmt w:val="bullet"/>
      <w:start w:val="1"/>
    </w:lvl>
    <w:lvl w:ilvl="1">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1)"/>
      <w:numFmt w:val="lowerRoman"/>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1)"/>
      <w:numFmt w:val="decimal"/>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1)"/>
      <w:numFmt w:val="decimal"/>
      <w:start w:val="2"/>
    </w:lvl>
  </w:abstractNum>
  <w:abstractNum w:abstractNumId="68">
    <w:nsid w:val="613EFDC5"/>
    <w:multiLevelType w:val="hybridMultilevel"/>
    <w:lvl w:ilvl="0">
      <w:lvlJc w:val="left"/>
      <w:lvlText w:val="(%1)"/>
      <w:numFmt w:val="decimal"/>
      <w:start w:val="4"/>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7"/>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1)"/>
      <w:numFmt w:val="decimal"/>
      <w:start w:val="12"/>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lowerLetter"/>
      <w:start w:val="1"/>
    </w:lvl>
    <w:lvl w:ilvl="1">
      <w:lvlJc w:val="left"/>
      <w:lvlText w:val="(%2)"/>
      <w:numFmt w:val="decimal"/>
      <w:start w:val="1"/>
    </w:lvl>
  </w:abstractNum>
  <w:abstractNum w:abstractNumId="75">
    <w:nsid w:val="3B0FD379"/>
    <w:multiLevelType w:val="hybridMultilevel"/>
    <w:lvl w:ilvl="0">
      <w:lvlJc w:val="left"/>
      <w:lvlText w:val="(%1)"/>
      <w:numFmt w:val="decimal"/>
      <w:start w:val="2"/>
    </w:lvl>
  </w:abstractNum>
  <w:abstractNum w:abstractNumId="76">
    <w:nsid w:val="68EB2F63"/>
    <w:multiLevelType w:val="hybridMultilevel"/>
    <w:lvl w:ilvl="0">
      <w:lvlJc w:val="left"/>
      <w:lvlText w:val="(%1)"/>
      <w:numFmt w:val="decimal"/>
      <w:start w:val="3"/>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181" Type="http://schemas.openxmlformats.org/officeDocument/2006/relationships/hyperlink" Target="http://www.sec.gov/Archives/edgar/data/1810182/000119312520196288/d47591dex31.htm" TargetMode="External"/><Relationship Id="rId182" Type="http://schemas.openxmlformats.org/officeDocument/2006/relationships/hyperlink" Target="http://www.sec.gov/Archives/edgar/data/1810182/000119312520196288/d47591dex32.htm" TargetMode="External"/><Relationship Id="rId183" Type="http://schemas.openxmlformats.org/officeDocument/2006/relationships/hyperlink" Target="http://www.sec.gov/Archives/edgar/data/1810182/000119312520181021/d913838dex41.htm" TargetMode="External"/><Relationship Id="rId184" Type="http://schemas.openxmlformats.org/officeDocument/2006/relationships/hyperlink" Target="http://www.sec.gov/Archives/edgar/data/1810182/000119312520181021/d913838dex42.htm" TargetMode="External"/><Relationship Id="rId185" Type="http://schemas.openxmlformats.org/officeDocument/2006/relationships/hyperlink" Target="http://www.sec.gov/Archives/edgar/data/1810182/000119312520181021/d913838dex101.htm" TargetMode="External"/><Relationship Id="rId186" Type="http://schemas.openxmlformats.org/officeDocument/2006/relationships/hyperlink" Target="http://www.sec.gov/Archives/edgar/data/1810182/000119312520191500/d913838dex102.htm" TargetMode="External"/><Relationship Id="rId187" Type="http://schemas.openxmlformats.org/officeDocument/2006/relationships/hyperlink" Target="http://www.sec.gov/Archives/edgar/data/1810182/000119312520191500/d913838dex103.htm" TargetMode="External"/><Relationship Id="rId188" Type="http://schemas.openxmlformats.org/officeDocument/2006/relationships/hyperlink" Target="http://www.sec.gov/Archives/edgar/data/1810182/000119312520191500/d913838dex104.htm" TargetMode="External"/><Relationship Id="rId189" Type="http://schemas.openxmlformats.org/officeDocument/2006/relationships/hyperlink" Target="http://www.sec.gov/Archives/edgar/data/1810182/000119312520191500/d913838dex106.htm" TargetMode="External"/><Relationship Id="rId190" Type="http://schemas.openxmlformats.org/officeDocument/2006/relationships/hyperlink" Target="http://www.sec.gov/Archives/edgar/data/1810182/000119312520191500/d913838dex107.htm" TargetMode="External"/><Relationship Id="rId191" Type="http://schemas.openxmlformats.org/officeDocument/2006/relationships/hyperlink" Target="http://www.sec.gov/Archives/edgar/data/1810182/000119312520191500/d913838dex108.htm" TargetMode="External"/><Relationship Id="rId192" Type="http://schemas.openxmlformats.org/officeDocument/2006/relationships/hyperlink" Target="http://www.sec.gov/Archives/edgar/data/1810182/000119312520191500/d913838dex109.htm" TargetMode="External"/><Relationship Id="rId193" Type="http://schemas.openxmlformats.org/officeDocument/2006/relationships/hyperlink" Target="http://www.sec.gov/Archives/edgar/data/1810182/000119312520191500/d913838dex1010.htm" TargetMode="External"/><Relationship Id="rId194" Type="http://schemas.openxmlformats.org/officeDocument/2006/relationships/hyperlink" Target="http://www.sec.gov/Archives/edgar/data/1810182/000119312520191500/d913838dex1011.htm" TargetMode="External"/><Relationship Id="rId195" Type="http://schemas.openxmlformats.org/officeDocument/2006/relationships/hyperlink" Target="http://www.sec.gov/Archives/edgar/data/1810182/000119312520181021/d913838dex1012.htm" TargetMode="External"/><Relationship Id="rId198" Type="http://schemas.openxmlformats.org/officeDocument/2006/relationships/hyperlink" Target="http://www.sec.gov/Archives/edgar/data/1810182/000119312520181021/d913838dex1013.htm" TargetMode="External"/><Relationship Id="rId199" Type="http://schemas.openxmlformats.org/officeDocument/2006/relationships/hyperlink" Target="http://www.sec.gov/Archives/edgar/data/1810182/000119312520181021/d913838dex1014.htm" TargetMode="External"/><Relationship Id="rId200" Type="http://schemas.openxmlformats.org/officeDocument/2006/relationships/hyperlink" Target="http://www.sec.gov/Archives/edgar/data/1810182/000119312520181021/d913838dex1015.htm" TargetMode="External"/><Relationship Id="rId201" Type="http://schemas.openxmlformats.org/officeDocument/2006/relationships/hyperlink" Target="http://www.sec.gov/Archives/edgar/data/1810182/000119312520181021/d91383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2021-03-18T15:30:23Z</dcterms:created>
  <dcterms:modified xsi:type="dcterms:W3CDTF">2021-03-18T15:30:23Z</dcterms:modified>
</cp:coreProperties>
</file>