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0808.htm"/>
      <w:bookmarkStart w:id="1" w:name="ksalxo20240808"/>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August 8, 2024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pPr>
            <w:r>
              <w:rPr/>
              <w:t> </w:t>
            </w:r>
          </w:p>
        </w:tc>
      </w:tr>
      <w:tr>
        <w:trPr/>
        <w:tc>
          <w:tcPr>
            <w:tcW w:w="2821"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2024, ALX Oncology Holdings Inc. (the "Company"), issued a press release announcing its financial results for the second quarter ended June 30, 2024. A copy of this press release is furnished as Exhibit 99.1 to this Current Report on Form 8-K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99_1.htm">
              <w:r>
                <w:rPr>
                  <w:rStyle w:val="InternetLink"/>
                  <w:rFonts w:ascii="Times New Roman" w:hAnsi="Times New Roman"/>
                  <w:color w:val="0000FF"/>
                  <w:sz w:val="20"/>
                  <w:u w:val="single"/>
                </w:rPr>
                <w:t>Press Release dated August 8,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47" w:type="dxa"/>
        <w:jc w:val="left"/>
        <w:tblInd w:w="0" w:type="dxa"/>
        <w:tblLayout w:type="fixed"/>
        <w:tblCellMar>
          <w:top w:w="28" w:type="dxa"/>
          <w:left w:w="28" w:type="dxa"/>
          <w:bottom w:w="28" w:type="dxa"/>
          <w:right w:w="28" w:type="dxa"/>
        </w:tblCellMar>
      </w:tblPr>
      <w:tblGrid>
        <w:gridCol w:w="1846"/>
        <w:gridCol w:w="146"/>
        <w:gridCol w:w="527"/>
        <w:gridCol w:w="2728"/>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Garcia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Peter Garcia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alxo-ex99_1.htm"/>
      <w:bookmarkStart w:id="3" w:name="ksalxoex99_1"/>
      <w:bookmarkEnd w:id="2"/>
      <w:bookmarkEnd w:id="3"/>
      <w:r>
        <w:rPr/>
        <w:t> </w:t>
      </w:r>
      <w:r>
        <w:br w:type="page"/>
      </w:r>
    </w:p>
    <w:tbl>
      <w:tblPr>
        <w:tblW w:w="4677" w:type="dxa"/>
        <w:jc w:val="left"/>
        <w:tblInd w:w="0" w:type="dxa"/>
        <w:tblLayout w:type="fixed"/>
        <w:tblCellMar>
          <w:top w:w="28" w:type="dxa"/>
          <w:left w:w="28" w:type="dxa"/>
          <w:bottom w:w="28" w:type="dxa"/>
          <w:right w:w="28" w:type="dxa"/>
        </w:tblCellMar>
      </w:tblPr>
      <w:tblGrid>
        <w:gridCol w:w="3341"/>
        <w:gridCol w:w="1336"/>
      </w:tblGrid>
      <w:tr>
        <w:trPr/>
        <w:tc>
          <w:tcPr>
            <w:tcW w:w="33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drawing>
                <wp:inline distT="0" distB="0" distL="0" distR="0">
                  <wp:extent cx="2019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r>
              <w:rPr/>
              <w:t> </w:t>
            </w:r>
          </w:p>
        </w:tc>
        <w:tc>
          <w:tcPr>
            <w:tcW w:w="1336" w:type="dxa"/>
            <w:tcBorders/>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ALX Oncology Reports Second Quarter 2024 Financial Results and Provides Corporate Update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August 8, 2024 (GLOBE NEWSWIRE) -- </w:t>
      </w:r>
      <w:r>
        <w:rPr>
          <w:rFonts w:ascii="Times New Roman" w:hAnsi="Times New Roman"/>
          <w:color w:val="000000"/>
          <w:sz w:val="22"/>
        </w:rPr>
        <w:t>ALX Oncology Holdings Inc., (“ALX Oncology” or “the Company”) (Nasdaq: ALXO), an immuno-oncology company developing therapies that block the CD47 immune checkpoint pathway, today reported financial results for the second quarter ended June 30, 2024, and provided a corporate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Our team continues to make significant progress in the advancement of our evorpacept development pipeline across multiple oncology indications,” said Jason Lettmann, Chief Executive Officer of ALX Oncology. “Data readouts across our Phase 1 and 2 clinical trials highlight the potential of evorpacept as a disruptive therapy in combination with anti-cancer antibodies and ADCs. In particular, the recent ASPEN-06 Phase 2 clinical trial readout in patients with previously treated HER2-positive advanced gastric cancer is a significant growth milestone for the Company. We are well positioned to build on our second quarter achievements and continue to advance toward our anticipated milestones in the months ahead.”</w:t>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Second Quarter 2024 Highlights and Recent Developments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Evorpacept Clinical Development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On </w:t>
      </w:r>
      <w:r>
        <w:rPr>
          <w:rFonts w:ascii="Times New Roman" w:hAnsi="Times New Roman"/>
          <w:sz w:val="22"/>
        </w:rPr>
        <w:t>July 31</w:t>
      </w:r>
      <w:r>
        <w:rPr>
          <w:rFonts w:ascii="Times New Roman" w:hAnsi="Times New Roman"/>
          <w:color w:val="000000"/>
          <w:sz w:val="22"/>
        </w:rPr>
        <w:t>, ALX Oncology reported topline data from the multi-center, international ASPEN-06 Phase 2 clinical trial evaluating evorpacept in combination with trastuzumab, CYRAMZA® (ramucirumab) and paclitaxel (“Evo-TRP”) against trastuzumab, CYRAMZA (ramucirumab) and paclitaxel (“TRP”) for the treatment of patients with HER2-positive gastric/gastroesophageal junction (“GEJ”) cancer, where all patients had received an anti-HER2 agent in prior lines of therapy (NCT05002127).</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Results demonstrated that evorpacept improved tumor response in patients with HER2-positive gastric/GEJ cancer, becoming the first CD47 blocker to show promising and durable response with a well-tolerated safety profile in a prospective randomized study.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primary endpoint was confirmed overall response rate (“ORR”) with key secondary endpoints being safety, median duration of response (“mDOR”), progression-free survival (“PFS”) and overall survival (“OS”). Primary study objectives were to compare confirmed ORR of Evo-TRP to an assumed ORR of 30% for CYRAMZA (ramucirumab) and paclitaxel (“RP”) with one-sided alpha error of 0.025, and to identify a clinically meaningful contribution of Evo to TRP in ORR (delta &gt;10%).</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Evo-TRP achieved a confirmed ORR of 40.3% compared to 26.6% for the TRP control arm and demonstrated a mDOR of 15.7 months compared to 7.6 months in the intent to treat population (“ITT”) (N=127). The primary analysis of the ITT compared Evo-TRP to an assumed RP control ORR of 30% (p=0.095). When a comparison of Evo-TRP to the observed TRP control arm ORR of 26.6% was explored using a similar testing procedure, a p-value of p=0.027 was observed. Secondary endpoints of PFS and OS were immature at the time of analysis.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Evo-TRP combination showed the greatest response with an ORR of 54.8% compared to 23.1% in the TRP control arm in a pre-specified population of patients with fresh HER2-positive biopsies (n=48). In this population, Evo-TRP compared to an assumed RP control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ORR of 30% yielded a p-value of p=0.030. When Evo-TRP compared to the observed TRP ORR of 23.1% was explored using a similar testing procedure, a p-value of p=0.0038 was observed, suggesting HER2-expression strongly correlates with evorpacept efficacy and validating its mechanism of action.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In </w:t>
      </w:r>
      <w:r>
        <w:rPr>
          <w:rFonts w:ascii="Times New Roman" w:hAnsi="Times New Roman"/>
          <w:sz w:val="22"/>
        </w:rPr>
        <w:t>June</w:t>
      </w:r>
      <w:r>
        <w:rPr>
          <w:rFonts w:ascii="Times New Roman" w:hAnsi="Times New Roman"/>
          <w:color w:val="000000"/>
          <w:sz w:val="22"/>
        </w:rPr>
        <w:t>, ALX Oncology presented the first evorpacept combination data with an antibody-drug conjugate (“ADC”) from the Phase 1 ASPEN-07 clinical trial in patients with advanced urothelial cancer at the 2024 American Society of Cancer Oncology (“ASCO”) Annual Meeting.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open-label, single-arm, clinical trial of evorpacept in combination with an approved ADC, PADCEV® (enfortumab vedotin), demonstrated promising activity and was generally well tolerated in patients with locally advanced or metastatic urothelial cancer (NCT05524545).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In </w:t>
      </w:r>
      <w:r>
        <w:rPr>
          <w:rFonts w:ascii="Times New Roman" w:hAnsi="Times New Roman"/>
          <w:sz w:val="22"/>
        </w:rPr>
        <w:t>April</w:t>
      </w:r>
      <w:r>
        <w:rPr>
          <w:rFonts w:ascii="Times New Roman" w:hAnsi="Times New Roman"/>
          <w:color w:val="000000"/>
          <w:sz w:val="22"/>
        </w:rPr>
        <w:t>, ALX Oncology reported positive data from the ongoing Phase 1/2 investigator-sponsored clinical trial of evorpacept in combination with standard-of-care in patients with relapsed or refractory B-cell non-Hodgkin lymphoma (NCT05025800).</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combination achieved promising initial activity with a best ORR of 94% and a complete response rate (“CRR”) of 83% in patients with indolent R/R B-NHL (compared to rituximab and lenalidomide historical CRR benchmark of 34%).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In </w:t>
      </w:r>
      <w:r>
        <w:rPr>
          <w:rFonts w:ascii="Times New Roman" w:hAnsi="Times New Roman"/>
          <w:sz w:val="22"/>
        </w:rPr>
        <w:t>April</w:t>
      </w:r>
      <w:r>
        <w:rPr>
          <w:rFonts w:ascii="Times New Roman" w:hAnsi="Times New Roman"/>
          <w:color w:val="000000"/>
          <w:sz w:val="22"/>
        </w:rPr>
        <w:t>, ALX Oncology announced the initiation of a Phase 2 investigator-sponsored trial of neoadjuvant radiation and evorpacept in combination with KEYTRUDA® (pembrolizumab) in patients with previously untreated and early-stage locally advanced, resectable, human papillomavirus-mediated oropharyngeal cancer (NCT05787639).</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Conference Presentations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At the 2024 ASCO Annual Meeting, ALX Oncology presented the first evorpacept combination data with an ADC from the Phase 1 ASPEN-07 clinical trial in patients with locally advanced or metastatic urothelial cancer.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the open-label, single-arm, clinical trial of evorpacept in combination with an approved ADC, PADCEV® (enfortumab vedotin), demonstrated promising activity and was generally well tolerated in patients.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Company also presented results of an investigator-sponsored, Phase 2 study of evorpacept, cetuximab and pembrolizumab in patients with refractory microsatellite stable metastatic colorectal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At the 2024 American Association of Cancer Research Annual Meeting, ALX Oncology presented two evorpacept clinical abstracts including: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Phase 1 investigator-initiated trial of evorpacept, lenalidomide and rituximab for patients with relapsed or refractory B-cell non-Hodgkin lymphoma.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Phase 1 study of azacitidine in combination with evorpacept for higher-risk myelodysplastic syndrome (MDS).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Board and Executive Appointments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ALX Oncology strengthened the Company’s board and leadership team with the </w:t>
      </w:r>
      <w:r>
        <w:rPr>
          <w:rFonts w:ascii="Times New Roman" w:hAnsi="Times New Roman"/>
          <w:sz w:val="22"/>
        </w:rPr>
        <w:t>appointment</w:t>
      </w:r>
      <w:r>
        <w:rPr>
          <w:color w:val="000000"/>
        </w:rPr>
        <w:t xml:space="preserve"> </w:t>
      </w:r>
      <w:r>
        <w:rPr>
          <w:rFonts w:ascii="Times New Roman" w:hAnsi="Times New Roman"/>
          <w:color w:val="000000"/>
          <w:sz w:val="22"/>
        </w:rPr>
        <w:t xml:space="preserve">of Alan Sandler, M.D., to its Board of Directors, and the </w:t>
      </w:r>
      <w:r>
        <w:rPr>
          <w:rFonts w:ascii="Times New Roman" w:hAnsi="Times New Roman"/>
          <w:sz w:val="22"/>
        </w:rPr>
        <w:t>addition</w:t>
      </w:r>
      <w:r>
        <w:rPr>
          <w:color w:val="000000"/>
        </w:rPr>
        <w:t xml:space="preserve"> </w:t>
      </w:r>
      <w:r>
        <w:rPr>
          <w:rFonts w:ascii="Times New Roman" w:hAnsi="Times New Roman"/>
          <w:color w:val="000000"/>
          <w:sz w:val="22"/>
        </w:rPr>
        <w:t>of Allison Dillon, Ph.D., to its executive leadership team as Chief Business Officer.</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Upcoming Clinical Milestones for Evorpacept’s Development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ALX Oncology is well-positioned to achieve numerous milestones across multiple oncology indications in its evorpacept clinical development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Head and Neck Squamous Cell Carcinoma – Topline results from a Phase 2 randomized clinical trial of ASPEN-03 with KEYTRUDA (1H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Head and Neck Squamous Cell Carcinoma – Topline results from a Phase 2 randomized clinical trial of ASPEN-04 with KEYTRUDA and chemotherapy (1H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Gastric/GEJ Cancer – Updated results of ASPEN-06 Phase 2 clinical trial (1H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Urothelial Cancer – Updated results from a Phase 1 clinical trial of ASPEN-07 in combination with PADCEV (1H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Gastric/GEJ Cancer – Initiation of Phase 3 registrational randomized clinical trial for evorpacept (mid-2025)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Breast Cancer – Topline results from a Phase 1b I-SPY TRIAL with ENHERTU® (fam-trastuzumab deruxtecan-nxki) (2H 2025)</w:t>
      </w:r>
    </w:p>
    <w:p>
      <w:pPr>
        <w:pStyle w:val="TextBody"/>
        <w:bidi w:val="0"/>
        <w:spacing w:before="240" w:after="283"/>
        <w:jc w:val="left"/>
        <w:rPr>
          <w:rFonts w:ascii="Times New Roman" w:hAnsi="Times New Roman"/>
          <w:sz w:val="20"/>
        </w:rPr>
      </w:pPr>
      <w:r>
        <w:rPr>
          <w:rFonts w:ascii="Times New Roman" w:hAnsi="Times New Roman"/>
          <w:b/>
          <w:color w:val="000000"/>
          <w:sz w:val="22"/>
        </w:rPr>
        <w:t>Second Quarter 2024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Cash Equivalents and Investments: </w:t>
      </w:r>
      <w:r>
        <w:rPr>
          <w:rFonts w:ascii="Times New Roman" w:hAnsi="Times New Roman"/>
          <w:color w:val="000000"/>
          <w:sz w:val="22"/>
        </w:rPr>
        <w:t>Cash, cash equivalents and investments as of June 30, 2024, were $186.2 million. The Company believes its cash, cash equivalents and investments, which includes the proceeds from sales under its at-the-market (“ATM”) offering in the first half of 2024 are sufficient to fund planned operations well into Q1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R&amp;D expenses consist primarily of pre-clinical, clinical and manufacturing expenses related to the development of the Company’s current lead product candidate, evorpacept, and R&amp;D employee-related expenses. These expenses for the three months ended June 30, 2024, were $34.7 million, compared to $29.5 million for the prior-year period. R&amp;D expenses increased by $5.2 million during the three months ended June 30, 2024, compared to the three months ended June 30, 2023. The increase was primarily attributable to an increase of $1.7 million in preclinical costs for development of new targets, an increase of $1.2 million in personnel and related costs primarily driven by headcount growth, an increase of $1.8 million in stock-based compensation expense and an increase of $0.7 million in other research costs primarily due to absence of VAT refunds in the current quarter compared to prior year quarter.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and Administrative (“G&amp;A”) Expenses: </w:t>
      </w:r>
      <w:r>
        <w:rPr>
          <w:rFonts w:ascii="Times New Roman" w:hAnsi="Times New Roman"/>
          <w:color w:val="000000"/>
          <w:sz w:val="22"/>
        </w:rPr>
        <w:t>G&amp;A expenses consist primarily of administrative employee-related expenses, legal and other professional fees, patent filing and maintenance fees, and insurance. These expenses for the three months ended June 30, 2024, were $6.9 million, compared to $7.3 million for the prior year period. G&amp;A expenses decreased by $0.4 million during the three months ended June 30, 2024, compared to the three months ended June 30, 2023. The decrease was primarily attributable to a decrease of $0.8 million in stock-based compensation expense primarily due to a change in classification from the comparative periods of stock-based compensation from G&amp;A to R&amp;D as described above under R&amp;D expenses, offset by an increase of $0.3 million in other G&amp;A costs from accounting consulting and personnel costs driven by headcount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GAAP net loss was $39.4 million for the three months ended June 30, 2024, or ($0.76) per basic and diluted share, as compared to a GAAP net loss of $34.2 million for the three months ended June 30, 2023, or ($0.84) per basic and diluted share. Non-GAAP net loss was $32.1 million for the three months ended June 30, 2024, as compared to a non-GAAP net loss of $27.9 million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for the three months ended June 30, 2023. A reconciliation of GAAP to non-GAAP financial results can be found at the end of this news release.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About ALX Oncology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CD47 blocking therapeutic that combines a high-affinity CD47 binding domain with an inactivated, proprietary Fc domain. To date, evorpacept has been dosed in over 500 subjects and has demonstrated promising activity and favorable tolerability profile across a range of hematologic and solid malignancies in combination with various leading anti-cancer antibodies. ALX Oncology is currently focusing on combining evorpacept with anti-cancer antibodies, ADCs, and PD-1/PD-L1 immune checkpoint inhibitors.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2"/>
        </w:rPr>
        <w:t>Condensed Consolidated Statements of</w:t>
      </w:r>
      <w:r>
        <w:rPr>
          <w:rFonts w:ascii="Times New Roman" w:hAnsi="Times New Roman"/>
          <w:color w:val="000000"/>
          <w:sz w:val="20"/>
        </w:rPr>
        <w:t xml:space="preserve"> </w:t>
      </w:r>
      <w:r>
        <w:rPr>
          <w:rFonts w:ascii="Times New Roman" w:hAnsi="Times New Roman"/>
          <w:b/>
          <w:color w:val="000000"/>
          <w:sz w:val="22"/>
        </w:rPr>
        <w:t>Operations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rFonts w:ascii="Times New Roman" w:hAnsi="Times New Roman"/>
          <w:sz w:val="20"/>
        </w:rPr>
      </w:pPr>
      <w:r>
        <w:rPr>
          <w:rFonts w:ascii="Times New Roman" w:hAnsi="Times New Roman"/>
          <w:color w:val="000000"/>
          <w:sz w:val="22"/>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w:t>
              <w:br/>
              <w:t>   used to compute net loss per shares, basic</w:t>
              <w:br/>
              <w:t>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40,875,457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40,869,021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 Data</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6312"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52"/>
        <w:gridCol w:w="1008"/>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218,147</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9677" w:type="dxa"/>
        <w:jc w:val="left"/>
        <w:tblInd w:w="0" w:type="dxa"/>
        <w:tblLayout w:type="fixed"/>
        <w:tblCellMar>
          <w:top w:w="28" w:type="dxa"/>
          <w:left w:w="28" w:type="dxa"/>
          <w:bottom w:w="28" w:type="dxa"/>
          <w:right w:w="28" w:type="dxa"/>
        </w:tblCellMar>
      </w:tblPr>
      <w:tblGrid>
        <w:gridCol w:w="4416"/>
        <w:gridCol w:w="146"/>
        <w:gridCol w:w="211"/>
        <w:gridCol w:w="736"/>
        <w:gridCol w:w="166"/>
        <w:gridCol w:w="146"/>
        <w:gridCol w:w="211"/>
        <w:gridCol w:w="736"/>
        <w:gridCol w:w="166"/>
        <w:gridCol w:w="146"/>
        <w:gridCol w:w="211"/>
        <w:gridCol w:w="736"/>
        <w:gridCol w:w="166"/>
        <w:gridCol w:w="146"/>
        <w:gridCol w:w="211"/>
        <w:gridCol w:w="73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as reported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pStyle w:val="TextBody"/>
        <w:bidi w:val="0"/>
        <w:spacing w:before="120" w:after="283"/>
        <w:jc w:val="left"/>
        <w:rPr>
          <w:color w:val="000000"/>
        </w:rPr>
      </w:pPr>
      <w:r>
        <w:rPr>
          <w:color w:val="000000"/>
        </w:rPr>
        <w:t>“</w:t>
      </w:r>
      <w:r>
        <w:rPr>
          <w:rFonts w:ascii="Times New Roman" w:hAnsi="Times New Roman"/>
          <w:color w:val="000000"/>
          <w:sz w:val="22"/>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Company Contact: </w:t>
      </w:r>
      <w:r>
        <w:rPr>
          <w:rFonts w:ascii="Times New Roman" w:hAnsi="Times New Roman"/>
          <w:color w:val="000000"/>
          <w:sz w:val="22"/>
        </w:rPr>
        <w:t xml:space="preserve">Caitlyn Doherty, Manager, Corporate Communications, ALX Oncology, </w:t>
      </w:r>
      <w:r>
        <w:rPr>
          <w:rFonts w:ascii="Times New Roman" w:hAnsi="Times New Roman"/>
          <w:sz w:val="22"/>
        </w:rPr>
        <w:t>cdoherty@alxoncology.com</w:t>
      </w:r>
      <w:r>
        <w:rPr>
          <w:rFonts w:ascii="Times New Roman" w:hAnsi="Times New Roman"/>
          <w:color w:val="000000"/>
          <w:sz w:val="22"/>
        </w:rPr>
        <w:t>, (650) 466-7125</w:t>
      </w:r>
    </w:p>
    <w:p>
      <w:pPr>
        <w:pStyle w:val="TextBody"/>
        <w:bidi w:val="0"/>
        <w:spacing w:before="240" w:after="283"/>
        <w:jc w:val="left"/>
        <w:rPr>
          <w:rFonts w:ascii="Times New Roman" w:hAnsi="Times New Roman"/>
          <w:sz w:val="20"/>
        </w:rPr>
      </w:pPr>
      <w:r>
        <w:rPr>
          <w:rFonts w:ascii="Times New Roman" w:hAnsi="Times New Roman"/>
          <w:b/>
          <w:color w:val="000000"/>
          <w:sz w:val="22"/>
        </w:rPr>
        <w:t>Investor Contact:</w:t>
      </w:r>
      <w:r>
        <w:rPr>
          <w:rFonts w:ascii="Times New Roman" w:hAnsi="Times New Roman"/>
          <w:color w:val="000000"/>
          <w:sz w:val="20"/>
        </w:rPr>
        <w:t xml:space="preserve"> </w:t>
      </w:r>
      <w:r>
        <w:rPr>
          <w:rFonts w:ascii="Times New Roman" w:hAnsi="Times New Roman"/>
          <w:color w:val="000000"/>
          <w:sz w:val="22"/>
        </w:rPr>
        <w:t xml:space="preserve">Malini Chatterjee, Ph.D., Blueprint Life Science Group, </w:t>
      </w:r>
      <w:r>
        <w:rPr>
          <w:rFonts w:ascii="Times New Roman" w:hAnsi="Times New Roman"/>
          <w:sz w:val="22"/>
        </w:rPr>
        <w:t>mchatterjee@bplifescience.com</w:t>
      </w:r>
      <w:r>
        <w:rPr>
          <w:rFonts w:ascii="Times New Roman" w:hAnsi="Times New Roman"/>
          <w:color w:val="000000"/>
          <w:sz w:val="22"/>
        </w:rPr>
        <w:t>, (917) 330-4269</w:t>
      </w:r>
    </w:p>
    <w:p>
      <w:pPr>
        <w:pStyle w:val="TextBody"/>
        <w:bidi w:val="0"/>
        <w:spacing w:before="240" w:after="283"/>
        <w:jc w:val="left"/>
        <w:rPr>
          <w:rFonts w:ascii="Times New Roman" w:hAnsi="Times New Roman"/>
          <w:sz w:val="20"/>
        </w:rPr>
      </w:pPr>
      <w:r>
        <w:rPr>
          <w:rFonts w:ascii="Times New Roman" w:hAnsi="Times New Roman"/>
          <w:b/>
          <w:color w:val="000000"/>
          <w:sz w:val="22"/>
        </w:rPr>
        <w:t>Media Contact:</w:t>
      </w:r>
      <w:r>
        <w:rPr>
          <w:rFonts w:ascii="Times New Roman" w:hAnsi="Times New Roman"/>
          <w:color w:val="000000"/>
          <w:sz w:val="20"/>
        </w:rPr>
        <w:t xml:space="preserve"> </w:t>
      </w:r>
      <w:r>
        <w:rPr>
          <w:rFonts w:ascii="Times New Roman" w:hAnsi="Times New Roman"/>
          <w:color w:val="000000"/>
          <w:sz w:val="22"/>
        </w:rPr>
        <w:t xml:space="preserve">Audra Friis, Sam Brown, Inc., </w:t>
      </w:r>
      <w:r>
        <w:rPr>
          <w:rFonts w:ascii="Times New Roman" w:hAnsi="Times New Roman"/>
          <w:sz w:val="22"/>
        </w:rPr>
        <w:t>haudrafriis@sambrown.com</w:t>
      </w:r>
      <w:r>
        <w:rPr>
          <w:rFonts w:ascii="Times New Roman" w:hAnsi="Times New Roman"/>
          <w:color w:val="000000"/>
          <w:sz w:val="22"/>
        </w:rPr>
        <w:t>, (917) 519-9577</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2794</Words>
  <Characters>15891</Characters>
  <CharactersWithSpaces>18670</CharactersWithSpaces>
  <Paragraphs>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