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158750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186690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171450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p>
      <w:pPr>
        <w:spacing w:after="0" w:line="200" w:lineRule="exact"/>
        <w:rPr>
          <w:sz w:val="24"/>
          <w:szCs w:val="24"/>
          <w:color w:val="auto"/>
        </w:rPr>
      </w:pPr>
    </w:p>
    <w:p>
      <w:pPr>
        <w:spacing w:after="0" w:line="252" w:lineRule="exact"/>
        <w:rPr>
          <w:sz w:val="24"/>
          <w:szCs w:val="24"/>
          <w:color w:val="auto"/>
        </w:rPr>
      </w:pPr>
    </w:p>
    <w:p>
      <w:pPr>
        <w:ind w:left="15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001-39386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50" w:lineRule="exact"/>
        <w:rPr>
          <w:sz w:val="24"/>
          <w:szCs w:val="24"/>
          <w:color w:val="auto"/>
        </w:rPr>
      </w:pPr>
    </w:p>
    <w:p>
      <w:pPr>
        <w:sectPr>
          <w:pgSz w:w="11900" w:h="16838" w:orient="portrait"/>
          <w:cols w:equalWidth="0" w:num="3">
            <w:col w:w="4540" w:space="720"/>
            <w:col w:w="2920" w:space="720"/>
            <w:col w:w="2340"/>
          </w:cols>
          <w:pgMar w:left="320" w:top="611" w:right="339" w:bottom="1440" w:gutter="0" w:footer="0" w:header="0"/>
          <w:type w:val="continuous"/>
        </w:sectPr>
      </w:pPr>
    </w:p>
    <w:p>
      <w:pPr>
        <w:jc w:val="center"/>
        <w:ind w:right="280"/>
        <w:spacing w:after="0"/>
        <w:rPr>
          <w:sz w:val="20"/>
          <w:szCs w:val="20"/>
          <w:color w:val="auto"/>
        </w:rPr>
      </w:pPr>
      <w:r>
        <w:rPr>
          <w:rFonts w:ascii="Arial" w:cs="Arial" w:eastAsia="Arial" w:hAnsi="Arial"/>
          <w:sz w:val="12"/>
          <w:szCs w:val="12"/>
          <w:b w:val="1"/>
          <w:bCs w:val="1"/>
          <w:color w:val="auto"/>
        </w:rPr>
        <w:t>(State or other jurisdiction</w:t>
      </w:r>
    </w:p>
    <w:p>
      <w:pPr>
        <w:spacing w:after="0" w:line="1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6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360"/>
        <w:spacing w:after="0"/>
        <w:rPr>
          <w:sz w:val="20"/>
          <w:szCs w:val="20"/>
          <w:color w:val="auto"/>
        </w:rPr>
      </w:pPr>
      <w:r>
        <w:rPr>
          <w:rFonts w:ascii="Arial" w:cs="Arial" w:eastAsia="Arial" w:hAnsi="Arial"/>
          <w:sz w:val="13"/>
          <w:szCs w:val="13"/>
          <w:b w:val="1"/>
          <w:bCs w:val="1"/>
          <w:color w:val="auto"/>
        </w:rPr>
        <w:t>(IRS Employer</w:t>
      </w:r>
    </w:p>
    <w:p>
      <w:pPr>
        <w:jc w:val="center"/>
        <w:ind w:right="1360"/>
        <w:spacing w:after="0"/>
        <w:rPr>
          <w:sz w:val="20"/>
          <w:szCs w:val="20"/>
          <w:color w:val="auto"/>
        </w:rPr>
      </w:pPr>
      <w:r>
        <w:rPr>
          <w:rFonts w:ascii="Arial" w:cs="Arial" w:eastAsia="Arial" w:hAnsi="Arial"/>
          <w:sz w:val="12"/>
          <w:szCs w:val="12"/>
          <w:b w:val="1"/>
          <w:bCs w:val="1"/>
          <w:color w:val="auto"/>
        </w:rPr>
        <w:t>Identification No.)</w:t>
      </w:r>
    </w:p>
    <w:p>
      <w:pPr>
        <w:spacing w:after="0" w:line="135" w:lineRule="exact"/>
        <w:rPr>
          <w:sz w:val="24"/>
          <w:szCs w:val="24"/>
          <w:color w:val="auto"/>
        </w:rPr>
      </w:pPr>
    </w:p>
    <w:p>
      <w:pPr>
        <w:sectPr>
          <w:pgSz w:w="11900" w:h="16838" w:orient="portrait"/>
          <w:cols w:equalWidth="0" w:num="3">
            <w:col w:w="4140" w:space="720"/>
            <w:col w:w="3240" w:space="720"/>
            <w:col w:w="2420"/>
          </w:cols>
          <w:pgMar w:left="320" w:top="611" w:right="33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866 Malcolm Road, Suite 100</w:t>
      </w:r>
    </w:p>
    <w:p>
      <w:pPr>
        <w:jc w:val="center"/>
        <w:spacing w:after="0" w:line="226" w:lineRule="auto"/>
        <w:rPr>
          <w:sz w:val="20"/>
          <w:szCs w:val="20"/>
          <w:color w:val="auto"/>
        </w:rPr>
      </w:pPr>
      <w:r>
        <w:rPr>
          <w:rFonts w:ascii="Arial" w:cs="Arial" w:eastAsia="Arial" w:hAnsi="Arial"/>
          <w:sz w:val="14"/>
          <w:szCs w:val="14"/>
          <w:b w:val="1"/>
          <w:bCs w:val="1"/>
          <w:color w:val="auto"/>
        </w:rPr>
        <w:t>Burlingame, California 94010</w:t>
      </w:r>
    </w:p>
    <w:p>
      <w:pPr>
        <w:jc w:val="center"/>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466-7125</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ectPr>
          <w:pgSz w:w="11900" w:h="16838" w:orient="portrait"/>
          <w:cols w:equalWidth="0" w:num="1">
            <w:col w:w="11240"/>
          </w:cols>
          <w:pgMar w:left="320" w:top="611" w:right="339" w:bottom="1440" w:gutter="0" w:footer="0" w:header="0"/>
          <w:type w:val="continuous"/>
        </w:sectPr>
      </w:pPr>
    </w:p>
    <w:p>
      <w:pPr>
        <w:spacing w:after="0" w:line="16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ind w:left="760"/>
              <w:spacing w:after="0"/>
              <w:rPr>
                <w:sz w:val="20"/>
                <w:szCs w:val="20"/>
                <w:color w:val="auto"/>
              </w:rPr>
            </w:pPr>
            <w:r>
              <w:rPr>
                <w:rFonts w:ascii="Arial" w:cs="Arial" w:eastAsia="Arial" w:hAnsi="Arial"/>
                <w:sz w:val="14"/>
                <w:szCs w:val="14"/>
                <w:b w:val="1"/>
                <w:bCs w:val="1"/>
                <w:color w:val="auto"/>
              </w:rPr>
              <w:t>Trading</w:t>
            </w:r>
          </w:p>
        </w:tc>
        <w:tc>
          <w:tcPr>
            <w:tcW w:w="4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40" w:type="dxa"/>
            <w:vAlign w:val="bottom"/>
            <w:gridSpan w:val="2"/>
            <w:vMerge w:val="continue"/>
          </w:tcPr>
          <w:p>
            <w:pPr>
              <w:spacing w:after="0"/>
              <w:rPr>
                <w:sz w:val="14"/>
                <w:szCs w:val="14"/>
                <w:color w:val="auto"/>
              </w:rPr>
            </w:pPr>
          </w:p>
        </w:tc>
        <w:tc>
          <w:tcPr>
            <w:tcW w:w="2140" w:type="dxa"/>
            <w:vAlign w:val="bottom"/>
            <w:gridSpan w:val="2"/>
          </w:tcPr>
          <w:p>
            <w:pPr>
              <w:ind w:left="780"/>
              <w:spacing w:after="0"/>
              <w:rPr>
                <w:sz w:val="20"/>
                <w:szCs w:val="20"/>
                <w:color w:val="auto"/>
              </w:rPr>
            </w:pPr>
            <w:r>
              <w:rPr>
                <w:rFonts w:ascii="Arial" w:cs="Arial" w:eastAsia="Arial" w:hAnsi="Arial"/>
                <w:sz w:val="14"/>
                <w:szCs w:val="14"/>
                <w:b w:val="1"/>
                <w:bCs w:val="1"/>
                <w:color w:val="auto"/>
              </w:rPr>
              <w:t>Symbol</w:t>
            </w:r>
          </w:p>
        </w:tc>
        <w:tc>
          <w:tcPr>
            <w:tcW w:w="4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200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ALXO</w:t>
            </w:r>
          </w:p>
        </w:tc>
        <w:tc>
          <w:tcPr>
            <w:tcW w:w="140" w:type="dxa"/>
            <w:vAlign w:val="bottom"/>
          </w:tcPr>
          <w:p>
            <w:pPr>
              <w:spacing w:after="0"/>
              <w:rPr>
                <w:sz w:val="19"/>
                <w:szCs w:val="19"/>
                <w:color w:val="auto"/>
              </w:rPr>
            </w:pPr>
          </w:p>
        </w:tc>
        <w:tc>
          <w:tcPr>
            <w:tcW w:w="4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 xml:space="preserve">The Nasdaq </w:t>
            </w:r>
            <w:r>
              <w:rPr>
                <w:rFonts w:ascii="Arial" w:cs="Arial" w:eastAsia="Arial" w:hAnsi="Arial"/>
                <w:sz w:val="18"/>
                <w:szCs w:val="18"/>
                <w:color w:val="212529"/>
                <w:w w:val="90"/>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729615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type w:val="continuous"/>
        </w:sectPr>
      </w:pPr>
    </w:p>
    <w:bookmarkStart w:id="1" w:name="page2"/>
    <w:bookmarkEnd w:id="1"/>
    <w:p>
      <w:pPr>
        <w:spacing w:after="0"/>
        <w:tabs>
          <w:tab w:leader="none" w:pos="14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ALX Oncology Holdings Inc. (the “Company”) held its Annual Meeting of stockholders (the “Annual Meeting”) on June 10, 2021. The matters voted upon at the Annual Meeting and the voting results for each proposal are set forth below.</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Three Class I Directors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94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860" w:type="dxa"/>
            <w:vAlign w:val="bottom"/>
            <w:tcBorders>
              <w:top w:val="single" w:sz="8" w:color="auto"/>
              <w:bottom w:val="single" w:sz="8" w:color="auto"/>
              <w:right w:val="single" w:sz="8" w:color="auto"/>
            </w:tcBorders>
          </w:tcPr>
          <w:p>
            <w:pPr>
              <w:spacing w:after="0"/>
              <w:rPr>
                <w:sz w:val="19"/>
                <w:szCs w:val="19"/>
                <w:color w:val="auto"/>
              </w:rPr>
            </w:pPr>
          </w:p>
        </w:tc>
        <w:tc>
          <w:tcPr>
            <w:tcW w:w="1780" w:type="dxa"/>
            <w:vAlign w:val="bottom"/>
            <w:tcBorders>
              <w:top w:val="single" w:sz="8" w:color="auto"/>
              <w:bottom w:val="single" w:sz="8" w:color="auto"/>
              <w:right w:val="single" w:sz="8" w:color="auto"/>
            </w:tcBorders>
          </w:tcPr>
          <w:p>
            <w:pPr>
              <w:spacing w:after="0"/>
              <w:rPr>
                <w:sz w:val="19"/>
                <w:szCs w:val="19"/>
                <w:color w:val="auto"/>
              </w:rPr>
            </w:pPr>
          </w:p>
        </w:tc>
        <w:tc>
          <w:tcPr>
            <w:tcW w:w="1960" w:type="dxa"/>
            <w:vAlign w:val="bottom"/>
            <w:tcBorders>
              <w:top w:val="single" w:sz="8" w:color="auto"/>
              <w:bottom w:val="single" w:sz="8" w:color="auto"/>
              <w:right w:val="single" w:sz="8" w:color="auto"/>
            </w:tcBorders>
          </w:tcPr>
          <w:p>
            <w:pPr>
              <w:spacing w:after="0"/>
              <w:rPr>
                <w:sz w:val="19"/>
                <w:szCs w:val="19"/>
                <w:color w:val="auto"/>
              </w:rPr>
            </w:pPr>
          </w:p>
        </w:tc>
      </w:tr>
      <w:tr>
        <w:trPr>
          <w:trHeight w:val="371"/>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Name of Director</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1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Withheld</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372"/>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Corey Goodman, Ph.D.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33,898,340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2,307,647</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1,259,184</w:t>
            </w:r>
          </w:p>
        </w:tc>
      </w:tr>
      <w:tr>
        <w:trPr>
          <w:trHeight w:val="372"/>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Jason Lettmann</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33,911,262</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2,294,725</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1,259,184</w:t>
            </w:r>
          </w:p>
        </w:tc>
      </w:tr>
      <w:tr>
        <w:trPr>
          <w:trHeight w:val="372"/>
        </w:trPr>
        <w:tc>
          <w:tcPr>
            <w:tcW w:w="29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Sophia Randolph, M.D., Ph.D.</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35,309,396</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896,591</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1,259,184</w:t>
            </w:r>
          </w:p>
        </w:tc>
      </w:tr>
    </w:tbl>
    <w:p>
      <w:pPr>
        <w:spacing w:after="0" w:line="3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director nominee was duly elected to serve until the 2024 annual meeting of stockholders and until their successor is duly elected and qualified, subject to earlier resignation or removal.</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Registered Public Accounting Firm</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23"/>
        </w:trPr>
        <w:tc>
          <w:tcPr>
            <w:tcW w:w="252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2420" w:type="dxa"/>
            <w:vAlign w:val="bottom"/>
            <w:tcBorders>
              <w:top w:val="single" w:sz="8" w:color="auto"/>
              <w:bottom w:val="single" w:sz="8" w:color="auto"/>
              <w:right w:val="single" w:sz="8" w:color="auto"/>
            </w:tcBorders>
          </w:tcPr>
          <w:p>
            <w:pPr>
              <w:spacing w:after="0"/>
              <w:rPr>
                <w:sz w:val="19"/>
                <w:szCs w:val="19"/>
                <w:color w:val="auto"/>
              </w:rPr>
            </w:pPr>
          </w:p>
        </w:tc>
        <w:tc>
          <w:tcPr>
            <w:tcW w:w="2420" w:type="dxa"/>
            <w:vAlign w:val="bottom"/>
            <w:tcBorders>
              <w:top w:val="single" w:sz="8" w:color="auto"/>
              <w:bottom w:val="single" w:sz="8" w:color="auto"/>
              <w:right w:val="single" w:sz="8" w:color="auto"/>
            </w:tcBorders>
          </w:tcPr>
          <w:p>
            <w:pPr>
              <w:spacing w:after="0"/>
              <w:rPr>
                <w:sz w:val="19"/>
                <w:szCs w:val="19"/>
                <w:color w:val="auto"/>
              </w:rPr>
            </w:pPr>
          </w:p>
        </w:tc>
      </w:tr>
      <w:tr>
        <w:trPr>
          <w:trHeight w:val="372"/>
        </w:trPr>
        <w:tc>
          <w:tcPr>
            <w:tcW w:w="2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For</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Against</w:t>
            </w:r>
          </w:p>
        </w:tc>
        <w:tc>
          <w:tcPr>
            <w:tcW w:w="2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371"/>
        </w:trPr>
        <w:tc>
          <w:tcPr>
            <w:tcW w:w="2520" w:type="dxa"/>
            <w:vAlign w:val="bottom"/>
            <w:tcBorders>
              <w:left w:val="single" w:sz="8" w:color="auto"/>
              <w:bottom w:val="single" w:sz="8" w:color="auto"/>
              <w:right w:val="single" w:sz="8" w:color="auto"/>
            </w:tcBorders>
          </w:tcPr>
          <w:p>
            <w:pPr>
              <w:jc w:val="right"/>
              <w:ind w:right="770"/>
              <w:spacing w:after="0"/>
              <w:rPr>
                <w:sz w:val="20"/>
                <w:szCs w:val="20"/>
                <w:color w:val="auto"/>
              </w:rPr>
            </w:pPr>
            <w:r>
              <w:rPr>
                <w:rFonts w:ascii="Arial" w:cs="Arial" w:eastAsia="Arial" w:hAnsi="Arial"/>
                <w:sz w:val="18"/>
                <w:szCs w:val="18"/>
                <w:color w:val="auto"/>
              </w:rPr>
              <w:t>37,458,731</w:t>
            </w:r>
          </w:p>
        </w:tc>
        <w:tc>
          <w:tcPr>
            <w:tcW w:w="24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4,303</w:t>
            </w:r>
          </w:p>
        </w:tc>
        <w:tc>
          <w:tcPr>
            <w:tcW w:w="2420" w:type="dxa"/>
            <w:vAlign w:val="bottom"/>
            <w:tcBorders>
              <w:bottom w:val="single" w:sz="8" w:color="auto"/>
              <w:right w:val="single" w:sz="8" w:color="auto"/>
            </w:tcBorders>
          </w:tcPr>
          <w:p>
            <w:pPr>
              <w:jc w:val="right"/>
              <w:ind w:right="930"/>
              <w:spacing w:after="0"/>
              <w:rPr>
                <w:sz w:val="20"/>
                <w:szCs w:val="20"/>
                <w:color w:val="auto"/>
              </w:rPr>
            </w:pPr>
            <w:r>
              <w:rPr>
                <w:rFonts w:ascii="Arial" w:cs="Arial" w:eastAsia="Arial" w:hAnsi="Arial"/>
                <w:sz w:val="18"/>
                <w:szCs w:val="18"/>
                <w:color w:val="auto"/>
              </w:rPr>
              <w:t>2,137</w:t>
            </w:r>
          </w:p>
        </w:tc>
      </w:tr>
    </w:tbl>
    <w:p>
      <w:pPr>
        <w:spacing w:after="0" w:line="1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stockholders ratified the appointment of KPMG LLP as the Company’s independent registered public accounting firm for the fiscal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860"/>
          </w:cols>
          <w:pgMar w:left="320" w:top="580" w:right="71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7540" w:val="left"/>
        </w:tabs>
        <w:rPr>
          <w:sz w:val="20"/>
          <w:szCs w:val="20"/>
          <w:color w:val="auto"/>
        </w:rPr>
      </w:pPr>
      <w:r>
        <w:rPr>
          <w:rFonts w:ascii="Arial" w:cs="Arial" w:eastAsia="Arial" w:hAnsi="Arial"/>
          <w:sz w:val="18"/>
          <w:szCs w:val="18"/>
          <w:color w:val="auto"/>
        </w:rPr>
        <w:t>Date: June 15,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0680"/>
      </w:cols>
      <w:pgMar w:left="320" w:top="580"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2021-06-15T16:10:22Z</dcterms:created>
  <dcterms:modified xsi:type="dcterms:W3CDTF">2021-06-15T16:10:22Z</dcterms:modified>
</cp:coreProperties>
</file>