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Curran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ALX ONCOLOGY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 ALLERTON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ALX ONCOLOGY HOLDINGS INC</w:t>
              </w:r>
            </w:hyperlink>
            <w:r>
              <w:rPr/>
              <w:t xml:space="preserve"> [ </w:t>
            </w:r>
            <w:r>
              <w:rPr>
                <w:rFonts w:ascii="Times;serif" w:hAnsi="Times;serif"/>
                <w:color w:val="0000FF"/>
                <w:sz w:val="24"/>
                <w:shd w:fill="FFFFFF" w:val="clear"/>
              </w:rPr>
              <w:t>ALXO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Pinto,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60" w:after="283"/>
        <w:jc w:val="center"/>
        <w:rPr>
          <w:rFonts w:ascii="Times New Roman" w:hAnsi="Times New Roman"/>
          <w:b/>
          <w:color w:val="000000"/>
          <w:sz w:val="22"/>
        </w:rPr>
      </w:pPr>
      <w:bookmarkStart w:id="2" w:name="alxo-ex24_1.htm"/>
      <w:bookmarkStart w:id="3" w:name="ksalxoex24_1"/>
      <w:bookmarkEnd w:id="2"/>
      <w:bookmarkEnd w:id="3"/>
      <w:r>
        <w:rPr>
          <w:rFonts w:ascii="Times New Roman" w:hAnsi="Times New Roman"/>
          <w:b/>
          <w:color w:val="000000"/>
          <w:sz w:val="22"/>
        </w:rPr>
        <w:t>POWER OF ATTORNEY</w:t>
      </w:r>
      <w:r>
        <w:br w:type="page"/>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as a Section 16 reporting person of ALX Oncology Holdings Inc. (the “Company”), hereby constitutes and appoints Jason Lettmann, Harish Shantharam, and Shelly Pinto, and each of them, as the undersigned’s true and lawful attorney-in-fact 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all acts necessary in order to file such forms with the SEC, any securities exchange or national association, the Company and such other person or agency as the attorneys-in-fact shall deem appropriate.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12th day of August, 2025.</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Signature: </w:t>
      </w:r>
      <w:r>
        <w:rPr>
          <w:rFonts w:ascii="Times New Roman" w:hAnsi="Times New Roman"/>
          <w:color w:val="000000"/>
          <w:sz w:val="22"/>
          <w:u w:val="single"/>
        </w:rPr>
        <w:t>/s/ Daniel Curran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Print Name: Daniel Curran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87599" TargetMode="External"/><Relationship Id="rId3" Type="http://schemas.openxmlformats.org/officeDocument/2006/relationships/hyperlink" Target="http://www.sec.gov/cgi-bin/browse-edgar?action=getcompany&amp;CIK=00018101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3812</Characters>
  <CharactersWithSpaces>4481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