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lxo-20230930.htm"/>
      <w:bookmarkStart w:id="1" w:name="ksalxo20230930"/>
      <w:bookmarkEnd w:id="0"/>
      <w:bookmarkEnd w:id="1"/>
      <w:r>
        <w:rPr/>
        <w:t> </w:t>
      </w:r>
    </w:p>
    <w:p>
      <w:pPr>
        <w:pStyle w:val="TextBody"/>
        <w:bidi w:val="0"/>
        <w:jc w:val="center"/>
        <w:rPr/>
      </w:pPr>
      <w:r>
        <w:rPr/>
        <w:t> </w:t>
      </w:r>
    </w:p>
    <w:p>
      <w:pPr>
        <w:pStyle w:val="TextBody"/>
        <w:pBdr>
          <w:top w:val="double" w:sz="6" w:space="1" w:color="000000"/>
        </w:pBdr>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30"/>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0"/>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Washington, D.C. 20549</w:t>
      </w:r>
      <w:r>
        <w:rPr>
          <w:rFonts w:ascii="Times New Roman" w:hAnsi="Times New Roman"/>
          <w:color w:val="000000"/>
          <w:sz w:val="20"/>
        </w:rPr>
        <w:t xml:space="preserve"> </w:t>
      </w:r>
    </w:p>
    <w:p>
      <w:pPr>
        <w:pStyle w:val="TextBody"/>
        <w:pBdr>
          <w:bottom w:val="single" w:sz="4" w:space="1" w:color="000000"/>
        </w:pBdr>
        <w:bidi w:val="0"/>
        <w:jc w:val="center"/>
        <w:rPr/>
      </w:pPr>
      <w:r>
        <w:rPr/>
        <w:t> </w:t>
      </w:r>
    </w:p>
    <w:p>
      <w:pPr>
        <w:pStyle w:val="TextBody"/>
        <w:bidi w:val="0"/>
        <w:spacing w:before="40" w:after="283"/>
        <w:jc w:val="center"/>
        <w:rPr>
          <w:rFonts w:ascii="Times New Roman" w:hAnsi="Times New Roman"/>
          <w:sz w:val="20"/>
        </w:rPr>
      </w:pPr>
      <w:r>
        <w:rPr>
          <w:rFonts w:ascii="Times New Roman" w:hAnsi="Times New Roman"/>
          <w:b/>
          <w:color w:val="000000"/>
          <w:sz w:val="36"/>
        </w:rPr>
        <w:t>FORM 10-Q</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b/>
          <w:color w:val="000000"/>
          <w:sz w:val="20"/>
        </w:rPr>
        <w:t>(Mark One)</w:t>
      </w:r>
      <w:r>
        <w:rPr>
          <w:rFonts w:ascii="Times New Roman" w:hAnsi="Times New Roman"/>
          <w:color w:val="000000"/>
          <w:sz w:val="20"/>
        </w:rPr>
        <w:t xml:space="preserve"> </w:t>
      </w:r>
    </w:p>
    <w:tbl>
      <w:tblPr>
        <w:tblW w:w="9062" w:type="dxa"/>
        <w:jc w:val="left"/>
        <w:tblInd w:w="0" w:type="dxa"/>
        <w:tblLayout w:type="fixed"/>
        <w:tblCellMar>
          <w:top w:w="28" w:type="dxa"/>
          <w:left w:w="28" w:type="dxa"/>
          <w:bottom w:w="28" w:type="dxa"/>
          <w:right w:w="28" w:type="dxa"/>
        </w:tblCellMar>
      </w:tblPr>
      <w:tblGrid>
        <w:gridCol w:w="331"/>
        <w:gridCol w:w="8731"/>
      </w:tblGrid>
      <w:tr>
        <w:trPr/>
        <w:tc>
          <w:tcPr>
            <w:tcW w:w="331" w:type="dxa"/>
            <w:tcBorders/>
            <w:vAlign w:val="center"/>
          </w:tcPr>
          <w:p>
            <w:pPr>
              <w:pStyle w:val="TableContents"/>
              <w:bidi w:val="0"/>
              <w:spacing w:before="0" w:after="283"/>
              <w:jc w:val="left"/>
              <w:rPr>
                <w:sz w:val="4"/>
                <w:szCs w:val="4"/>
              </w:rPr>
            </w:pPr>
            <w:r>
              <w:rPr>
                <w:sz w:val="4"/>
                <w:szCs w:val="4"/>
              </w:rPr>
            </w:r>
          </w:p>
        </w:tc>
        <w:tc>
          <w:tcPr>
            <w:tcW w:w="873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color w:val="000000"/>
              </w:rPr>
            </w:pPr>
            <w:r>
              <w:rPr>
                <w:color w:val="000000"/>
              </w:rPr>
              <w:t>☒</w:t>
            </w:r>
          </w:p>
        </w:tc>
        <w:tc>
          <w:tcPr>
            <w:tcW w:w="8731" w:type="dxa"/>
            <w:tcBorders/>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QUARTERLY REPORT PURSUANT TO SECTION 13 OR 15(d) OF THE SECURITIES EXCHANGE ACT OF 1934</w:t>
            </w:r>
            <w:r>
              <w:rPr>
                <w:rFonts w:ascii="Times New Roman" w:hAnsi="Times New Roman"/>
                <w:color w:val="000000"/>
                <w:sz w:val="16"/>
              </w:rPr>
              <w:t xml:space="preserve"> </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September 30, 2023</w:t>
      </w:r>
    </w:p>
    <w:p>
      <w:pPr>
        <w:pStyle w:val="TextBody"/>
        <w:bidi w:val="0"/>
        <w:spacing w:before="40" w:after="283"/>
        <w:jc w:val="center"/>
        <w:rPr>
          <w:rFonts w:ascii="Times New Roman" w:hAnsi="Times New Roman"/>
          <w:sz w:val="20"/>
        </w:rPr>
      </w:pPr>
      <w:r>
        <w:rPr>
          <w:rFonts w:ascii="Times New Roman" w:hAnsi="Times New Roman"/>
          <w:b/>
          <w:color w:val="000000"/>
          <w:sz w:val="20"/>
        </w:rPr>
        <w:t>OR</w:t>
      </w:r>
      <w:r>
        <w:rPr>
          <w:rFonts w:ascii="Times New Roman" w:hAnsi="Times New Roman"/>
          <w:color w:val="000000"/>
          <w:sz w:val="20"/>
        </w:rPr>
        <w:t xml:space="preserve"> </w:t>
      </w:r>
    </w:p>
    <w:tbl>
      <w:tblPr>
        <w:tblW w:w="9047" w:type="dxa"/>
        <w:jc w:val="left"/>
        <w:tblInd w:w="0" w:type="dxa"/>
        <w:tblLayout w:type="fixed"/>
        <w:tblCellMar>
          <w:top w:w="28" w:type="dxa"/>
          <w:left w:w="28" w:type="dxa"/>
          <w:bottom w:w="28" w:type="dxa"/>
          <w:right w:w="28" w:type="dxa"/>
        </w:tblCellMar>
      </w:tblPr>
      <w:tblGrid>
        <w:gridCol w:w="331"/>
        <w:gridCol w:w="8716"/>
      </w:tblGrid>
      <w:tr>
        <w:trPr/>
        <w:tc>
          <w:tcPr>
            <w:tcW w:w="331" w:type="dxa"/>
            <w:tcBorders/>
            <w:vAlign w:val="center"/>
          </w:tcPr>
          <w:p>
            <w:pPr>
              <w:pStyle w:val="TableContents"/>
              <w:bidi w:val="0"/>
              <w:spacing w:before="0" w:after="283"/>
              <w:jc w:val="left"/>
              <w:rPr>
                <w:sz w:val="4"/>
                <w:szCs w:val="4"/>
              </w:rPr>
            </w:pPr>
            <w:r>
              <w:rPr>
                <w:sz w:val="4"/>
                <w:szCs w:val="4"/>
              </w:rPr>
            </w:r>
          </w:p>
        </w:tc>
        <w:tc>
          <w:tcPr>
            <w:tcW w:w="8716"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60" w:after="283"/>
              <w:jc w:val="left"/>
              <w:rPr>
                <w:color w:val="000000"/>
              </w:rPr>
            </w:pPr>
            <w:r>
              <w:rPr>
                <w:color w:val="000000"/>
              </w:rPr>
              <w:t>☐</w:t>
            </w:r>
          </w:p>
        </w:tc>
        <w:tc>
          <w:tcPr>
            <w:tcW w:w="8716" w:type="dxa"/>
            <w:tcBorders/>
            <w:vAlign w:val="center"/>
          </w:tcPr>
          <w:p>
            <w:pPr>
              <w:pStyle w:val="TableContents"/>
              <w:bidi w:val="0"/>
              <w:spacing w:before="40" w:after="283"/>
              <w:jc w:val="left"/>
              <w:rPr>
                <w:rFonts w:ascii="Times New Roman" w:hAnsi="Times New Roman"/>
                <w:sz w:val="16"/>
              </w:rPr>
            </w:pPr>
            <w:r>
              <w:rPr>
                <w:rFonts w:ascii="Times New Roman" w:hAnsi="Times New Roman"/>
                <w:b/>
                <w:color w:val="000000"/>
                <w:sz w:val="16"/>
              </w:rPr>
              <w:t>TRANSITION REPORT PURSUANT TO SECTION 13 OR 15(d) OF THE SECURITIES EXCHANGE ACT OF 1934</w:t>
            </w:r>
            <w:r>
              <w:rPr>
                <w:rFonts w:ascii="Times New Roman" w:hAnsi="Times New Roman"/>
                <w:color w:val="000000"/>
                <w:sz w:val="16"/>
              </w:rPr>
              <w:t xml:space="preserve"> </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transition period from to</w:t>
      </w:r>
    </w:p>
    <w:p>
      <w:pPr>
        <w:pStyle w:val="TextBody"/>
        <w:bidi w:val="0"/>
        <w:spacing w:before="40" w:after="283"/>
        <w:jc w:val="center"/>
        <w:rPr>
          <w:rFonts w:ascii="Times New Roman" w:hAnsi="Times New Roman"/>
          <w:sz w:val="20"/>
        </w:rPr>
      </w:pPr>
      <w:r>
        <w:rPr>
          <w:rFonts w:ascii="Times New Roman" w:hAnsi="Times New Roman"/>
          <w:b/>
          <w:color w:val="000000"/>
          <w:sz w:val="20"/>
        </w:rPr>
        <w:t>Commission File Number 001-39386</w:t>
      </w:r>
      <w:r>
        <w:rPr>
          <w:rFonts w:ascii="Times New Roman" w:hAnsi="Times New Roman"/>
          <w:color w:val="000000"/>
          <w:sz w:val="20"/>
        </w:rPr>
        <w:t xml:space="preserve"> </w:t>
      </w:r>
    </w:p>
    <w:p>
      <w:pPr>
        <w:pStyle w:val="TextBody"/>
        <w:bidi w:val="0"/>
        <w:spacing w:before="40" w:after="283"/>
        <w:jc w:val="center"/>
        <w:rPr>
          <w:rFonts w:ascii="Times New Roman" w:hAnsi="Times New Roman"/>
          <w:b/>
          <w:color w:val="000000"/>
          <w:sz w:val="36"/>
        </w:rPr>
      </w:pPr>
      <w:r>
        <w:rPr>
          <w:rFonts w:ascii="Times New Roman" w:hAnsi="Times New Roman"/>
          <w:b/>
          <w:color w:val="000000"/>
          <w:sz w:val="36"/>
        </w:rPr>
        <w:t>ALX ONCOLOGY HOLDINGS INC.</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p>
      <w:pPr>
        <w:pStyle w:val="TextBody"/>
        <w:bidi w:val="0"/>
        <w:jc w:val="left"/>
        <w:rPr/>
      </w:pPr>
      <w:r>
        <w:rPr/>
        <w:t> </w:t>
      </w:r>
    </w:p>
    <w:tbl>
      <w:tblPr>
        <w:tblW w:w="4412" w:type="dxa"/>
        <w:jc w:val="left"/>
        <w:tblInd w:w="0" w:type="dxa"/>
        <w:tblLayout w:type="fixed"/>
        <w:tblCellMar>
          <w:top w:w="28" w:type="dxa"/>
          <w:left w:w="28" w:type="dxa"/>
          <w:bottom w:w="28" w:type="dxa"/>
          <w:right w:w="28" w:type="dxa"/>
        </w:tblCellMar>
      </w:tblPr>
      <w:tblGrid>
        <w:gridCol w:w="2926"/>
        <w:gridCol w:w="1486"/>
      </w:tblGrid>
      <w:tr>
        <w:trPr/>
        <w:tc>
          <w:tcPr>
            <w:tcW w:w="292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92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8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85-0642577</w:t>
            </w:r>
          </w:p>
        </w:tc>
      </w:tr>
      <w:tr>
        <w:trPr/>
        <w:tc>
          <w:tcPr>
            <w:tcW w:w="2926" w:type="dxa"/>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86" w:type="dxa"/>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r>
        <w:trPr/>
        <w:tc>
          <w:tcPr>
            <w:tcW w:w="2926" w:type="dxa"/>
            <w:tcBorders/>
            <w:vAlign w:val="center"/>
          </w:tcPr>
          <w:p>
            <w:pPr>
              <w:pStyle w:val="TableContents"/>
              <w:bidi w:val="0"/>
              <w:spacing w:before="40" w:after="283"/>
              <w:jc w:val="center"/>
              <w:rPr>
                <w:rFonts w:ascii="Times New Roman" w:hAnsi="Times New Roman"/>
                <w:b/>
                <w:color w:val="000000"/>
                <w:sz w:val="20"/>
              </w:rPr>
            </w:pPr>
            <w:r>
              <w:rPr>
                <w:rFonts w:ascii="Times New Roman" w:hAnsi="Times New Roman"/>
                <w:b/>
                <w:color w:val="000000"/>
                <w:sz w:val="20"/>
              </w:rPr>
              <w:t>323 Allerton Avenue</w:t>
            </w:r>
          </w:p>
          <w:p>
            <w:pPr>
              <w:pStyle w:val="TableContents"/>
              <w:bidi w:val="0"/>
              <w:spacing w:before="40" w:after="283"/>
              <w:jc w:val="center"/>
              <w:rPr>
                <w:rFonts w:ascii="Times New Roman" w:hAnsi="Times New Roman"/>
                <w:b/>
                <w:color w:val="000000"/>
                <w:sz w:val="20"/>
              </w:rPr>
            </w:pPr>
            <w:r>
              <w:rPr>
                <w:rFonts w:ascii="Times New Roman" w:hAnsi="Times New Roman"/>
                <w:b/>
                <w:color w:val="000000"/>
                <w:sz w:val="20"/>
              </w:rPr>
              <w:t>South San Francisco, California</w:t>
            </w:r>
          </w:p>
        </w:tc>
        <w:tc>
          <w:tcPr>
            <w:tcW w:w="1486" w:type="dxa"/>
            <w:tcBorders/>
            <w:vAlign w:val="center"/>
          </w:tcPr>
          <w:p>
            <w:pPr>
              <w:pStyle w:val="TableContents"/>
              <w:bidi w:val="0"/>
              <w:spacing w:before="40" w:after="283"/>
              <w:jc w:val="center"/>
              <w:rPr>
                <w:rFonts w:ascii="Times New Roman" w:hAnsi="Times New Roman"/>
                <w:b/>
                <w:color w:val="000000"/>
                <w:sz w:val="20"/>
              </w:rPr>
            </w:pPr>
            <w:r>
              <w:rPr>
                <w:rFonts w:ascii="Times New Roman" w:hAnsi="Times New Roman"/>
                <w:b/>
                <w:color w:val="000000"/>
                <w:sz w:val="20"/>
              </w:rPr>
              <w:t>94080</w:t>
            </w:r>
          </w:p>
        </w:tc>
      </w:tr>
      <w:tr>
        <w:trPr/>
        <w:tc>
          <w:tcPr>
            <w:tcW w:w="292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8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40" w:after="283"/>
        <w:jc w:val="center"/>
        <w:rPr>
          <w:rFonts w:ascii="Times New Roman" w:hAnsi="Times New Roman"/>
          <w:b/>
          <w:color w:val="000000"/>
          <w:sz w:val="20"/>
        </w:rPr>
      </w:pPr>
      <w:r>
        <w:rPr>
          <w:rFonts w:ascii="Times New Roman" w:hAnsi="Times New Roman"/>
          <w:b/>
          <w:color w:val="000000"/>
          <w:sz w:val="20"/>
        </w:rPr>
        <w:t>650-466-7125</w:t>
      </w:r>
    </w:p>
    <w:p>
      <w:pPr>
        <w:pStyle w:val="TextBody"/>
        <w:bidi w:val="0"/>
        <w:spacing w:before="40" w:after="283"/>
        <w:jc w:val="center"/>
        <w:rPr>
          <w:rFonts w:ascii="Times New Roman" w:hAnsi="Times New Roman"/>
          <w:b/>
          <w:color w:val="000000"/>
          <w:sz w:val="20"/>
        </w:rPr>
      </w:pPr>
      <w:r>
        <w:rPr>
          <w:rFonts w:ascii="Times New Roman" w:hAnsi="Times New Roman"/>
          <w:b/>
          <w:color w:val="000000"/>
          <w:sz w:val="20"/>
        </w:rPr>
        <w:t>(Registrant’s telephone number, including area code)</w:t>
      </w:r>
    </w:p>
    <w:p>
      <w:pPr>
        <w:pStyle w:val="TextBody"/>
        <w:bidi w:val="0"/>
        <w:spacing w:before="40" w:after="283"/>
        <w:jc w:val="center"/>
        <w:rPr>
          <w:rFonts w:ascii="Times New Roman" w:hAnsi="Times New Roman"/>
          <w:b/>
          <w:color w:val="000000"/>
          <w:sz w:val="20"/>
        </w:rPr>
      </w:pPr>
      <w:r>
        <w:rPr>
          <w:rFonts w:ascii="Times New Roman" w:hAnsi="Times New Roman"/>
          <w:b/>
          <w:color w:val="000000"/>
          <w:sz w:val="20"/>
        </w:rPr>
        <w:t>Not applicable</w:t>
      </w:r>
    </w:p>
    <w:p>
      <w:pPr>
        <w:pStyle w:val="TextBody"/>
        <w:bidi w:val="0"/>
        <w:spacing w:before="40" w:after="283"/>
        <w:jc w:val="center"/>
        <w:rPr>
          <w:rFonts w:ascii="Times New Roman" w:hAnsi="Times New Roman"/>
          <w:b/>
          <w:color w:val="000000"/>
          <w:sz w:val="20"/>
        </w:rPr>
      </w:pPr>
      <w:r>
        <w:rPr>
          <w:rFonts w:ascii="Times New Roman" w:hAnsi="Times New Roman"/>
          <w:b/>
          <w:color w:val="000000"/>
          <w:sz w:val="20"/>
        </w:rPr>
        <w:t>(Former name, former address and former fiscal year, if changed since last report)</w:t>
      </w:r>
    </w:p>
    <w:p>
      <w:pPr>
        <w:pStyle w:val="TextBody"/>
        <w:bidi w:val="0"/>
        <w:spacing w:before="40" w:after="283"/>
        <w:jc w:val="left"/>
        <w:rPr>
          <w:rFonts w:ascii="Times New Roman" w:hAnsi="Times New Roman"/>
          <w:sz w:val="20"/>
        </w:rPr>
      </w:pPr>
      <w:r>
        <w:rPr>
          <w:rFonts w:ascii="Times New Roman" w:hAnsi="Times New Roman"/>
          <w:b w:val="false"/>
          <w:color w:val="000000"/>
          <w:sz w:val="16"/>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585" w:type="dxa"/>
        <w:jc w:val="left"/>
        <w:tblInd w:w="0" w:type="dxa"/>
        <w:tblLayout w:type="fixed"/>
        <w:tblCellMar>
          <w:top w:w="28" w:type="dxa"/>
          <w:left w:w="28" w:type="dxa"/>
          <w:bottom w:w="28" w:type="dxa"/>
          <w:right w:w="28" w:type="dxa"/>
        </w:tblCellMar>
      </w:tblPr>
      <w:tblGrid>
        <w:gridCol w:w="3151"/>
        <w:gridCol w:w="146"/>
        <w:gridCol w:w="826"/>
        <w:gridCol w:w="146"/>
        <w:gridCol w:w="3316"/>
      </w:tblGrid>
      <w:tr>
        <w:trPr/>
        <w:tc>
          <w:tcPr>
            <w:tcW w:w="3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15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151" w:type="dxa"/>
            <w:tcBorders/>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Common Stock, par value $0.001 per share</w:t>
            </w:r>
          </w:p>
        </w:tc>
        <w:tc>
          <w:tcPr>
            <w:tcW w:w="146" w:type="dxa"/>
            <w:tcBorders/>
            <w:vAlign w:val="center"/>
          </w:tcPr>
          <w:p>
            <w:pPr>
              <w:pStyle w:val="TableContents"/>
              <w:bidi w:val="0"/>
              <w:spacing w:before="0" w:after="283"/>
              <w:jc w:val="center"/>
              <w:rPr/>
            </w:pPr>
            <w:r>
              <w:rPr/>
              <w:t> </w:t>
            </w:r>
          </w:p>
        </w:tc>
        <w:tc>
          <w:tcPr>
            <w:tcW w:w="826" w:type="dxa"/>
            <w:tcBorders/>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ALXO</w:t>
            </w:r>
          </w:p>
        </w:tc>
        <w:tc>
          <w:tcPr>
            <w:tcW w:w="146" w:type="dxa"/>
            <w:tcBorders/>
            <w:vAlign w:val="center"/>
          </w:tcPr>
          <w:p>
            <w:pPr>
              <w:pStyle w:val="TableContents"/>
              <w:bidi w:val="0"/>
              <w:spacing w:before="0" w:after="283"/>
              <w:jc w:val="center"/>
              <w:rPr/>
            </w:pPr>
            <w:r>
              <w:rPr/>
              <w:t> </w:t>
            </w:r>
          </w:p>
        </w:tc>
        <w:tc>
          <w:tcPr>
            <w:tcW w:w="3316" w:type="dxa"/>
            <w:tcBorders/>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The Nasdaq Global Select Market</w:t>
            </w:r>
          </w:p>
        </w:tc>
      </w:tr>
    </w:tbl>
    <w:p>
      <w:pPr>
        <w:pStyle w:val="TextBody"/>
        <w:bidi w:val="0"/>
        <w:spacing w:before="40" w:after="283"/>
        <w:jc w:val="left"/>
        <w:rPr/>
      </w:pPr>
      <w:r>
        <w:rPr/>
        <w:t> </w:t>
      </w:r>
    </w:p>
    <w:p>
      <w:pPr>
        <w:pStyle w:val="TextBody"/>
        <w:bidi w:val="0"/>
        <w:spacing w:before="80" w:after="283"/>
        <w:jc w:val="left"/>
        <w:rPr>
          <w:rFonts w:ascii="Times New Roman" w:hAnsi="Times New Roman"/>
          <w:sz w:val="20"/>
        </w:rPr>
      </w:pPr>
      <w:r>
        <w:rPr>
          <w:rFonts w:ascii="Times New Roman" w:hAnsi="Times New Roman"/>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hAnsi="Times New Roman"/>
          <w:b w:val="false"/>
          <w:caps/>
          <w:color w:val="000000"/>
          <w:sz w:val="16"/>
        </w:rPr>
        <w:t>Yes</w:t>
      </w:r>
      <w:r>
        <w:rPr>
          <w:rFonts w:ascii="Times New Roman" w:hAnsi="Times New Roman"/>
          <w:color w:val="000000"/>
          <w:sz w:val="20"/>
        </w:rPr>
        <w:t xml:space="preserve"> ☒ </w:t>
      </w:r>
      <w:r>
        <w:rPr>
          <w:rFonts w:ascii="Times New Roman" w:hAnsi="Times New Roman"/>
          <w:b w:val="false"/>
          <w:caps/>
          <w:color w:val="000000"/>
          <w:sz w:val="16"/>
        </w:rPr>
        <w:t>No</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Times New Roman" w:hAnsi="Times New Roman"/>
          <w:b w:val="false"/>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hAnsi="Times New Roman"/>
          <w:b w:val="false"/>
          <w:caps/>
          <w:color w:val="000000"/>
          <w:sz w:val="16"/>
        </w:rPr>
        <w:t>Yes</w:t>
      </w:r>
      <w:r>
        <w:rPr>
          <w:rFonts w:ascii="Times New Roman" w:hAnsi="Times New Roman"/>
          <w:color w:val="000000"/>
          <w:sz w:val="20"/>
        </w:rPr>
        <w:t xml:space="preserve"> ☒ </w:t>
      </w:r>
      <w:r>
        <w:rPr>
          <w:rFonts w:ascii="Times New Roman" w:hAnsi="Times New Roman"/>
          <w:b w:val="false"/>
          <w:color w:val="000000"/>
          <w:sz w:val="16"/>
        </w:rPr>
        <w:t>NO ☐</w:t>
      </w:r>
    </w:p>
    <w:p>
      <w:pPr>
        <w:pStyle w:val="TextBody"/>
        <w:bidi w:val="0"/>
        <w:spacing w:before="80" w:after="283"/>
        <w:jc w:val="left"/>
        <w:rPr>
          <w:rFonts w:ascii="Times New Roman" w:hAnsi="Times New Roman"/>
          <w:b w:val="false"/>
          <w:color w:val="000000"/>
          <w:sz w:val="16"/>
        </w:rPr>
      </w:pPr>
      <w:r>
        <w:rPr>
          <w:rFonts w:ascii="Times New Roman" w:hAnsi="Times New Roman"/>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67" w:type="dxa"/>
        <w:jc w:val="left"/>
        <w:tblInd w:w="0" w:type="dxa"/>
        <w:tblLayout w:type="fixed"/>
        <w:tblCellMar>
          <w:top w:w="28" w:type="dxa"/>
          <w:left w:w="28" w:type="dxa"/>
          <w:bottom w:w="28" w:type="dxa"/>
          <w:right w:w="28" w:type="dxa"/>
        </w:tblCellMar>
      </w:tblPr>
      <w:tblGrid>
        <w:gridCol w:w="2041"/>
        <w:gridCol w:w="146"/>
        <w:gridCol w:w="316"/>
        <w:gridCol w:w="146"/>
        <w:gridCol w:w="2011"/>
        <w:gridCol w:w="146"/>
        <w:gridCol w:w="361"/>
      </w:tblGrid>
      <w:tr>
        <w:trPr/>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5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80" w:after="283"/>
        <w:jc w:val="left"/>
        <w:rPr>
          <w:rFonts w:ascii="Times New Roman" w:hAnsi="Times New Roman"/>
          <w:b w:val="false"/>
          <w:color w:val="000000"/>
          <w:sz w:val="16"/>
        </w:rPr>
      </w:pPr>
      <w:r>
        <w:rPr>
          <w:rFonts w:ascii="Times New Roman" w:hAnsi="Times New Roman"/>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283"/>
        <w:jc w:val="left"/>
        <w:rPr>
          <w:rFonts w:ascii="Times New Roman" w:hAnsi="Times New Roman"/>
          <w:sz w:val="20"/>
        </w:rPr>
      </w:pPr>
      <w:r>
        <w:rPr>
          <w:rFonts w:ascii="Times New Roman" w:hAnsi="Times New Roman"/>
          <w:b w:val="false"/>
          <w:color w:val="000000"/>
          <w:sz w:val="16"/>
        </w:rPr>
        <w:t xml:space="preserve">Indicate by check mark whether the registrant is a shell company (as defined in Rule 12b-2 of the Exchange Act). </w:t>
      </w:r>
      <w:r>
        <w:rPr>
          <w:rFonts w:ascii="Times New Roman" w:hAnsi="Times New Roman"/>
          <w:b w:val="false"/>
          <w:caps/>
          <w:color w:val="000000"/>
          <w:sz w:val="16"/>
        </w:rPr>
        <w:t>Yes</w:t>
      </w:r>
      <w:r>
        <w:rPr>
          <w:rFonts w:ascii="Times New Roman" w:hAnsi="Times New Roman"/>
          <w:color w:val="000000"/>
          <w:sz w:val="20"/>
        </w:rPr>
        <w:t xml:space="preserve"> ☐ </w:t>
      </w:r>
      <w:r>
        <w:rPr>
          <w:rFonts w:ascii="Times New Roman" w:hAnsi="Times New Roman"/>
          <w:b w:val="false"/>
          <w:caps/>
          <w:color w:val="000000"/>
          <w:sz w:val="16"/>
        </w:rPr>
        <w:t>No</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Times New Roman" w:hAnsi="Times New Roman"/>
          <w:b w:val="false"/>
          <w:color w:val="000000"/>
          <w:sz w:val="16"/>
        </w:rPr>
        <w:t>As of November 6, 2023, the registrant had 49,818,812</w:t>
      </w:r>
      <w:r>
        <w:rPr>
          <w:rFonts w:ascii="Times New Roman" w:hAnsi="Times New Roman"/>
          <w:color w:val="000000"/>
          <w:sz w:val="20"/>
        </w:rPr>
        <w:t xml:space="preserve"> </w:t>
      </w:r>
      <w:r>
        <w:rPr>
          <w:rFonts w:ascii="Times New Roman" w:hAnsi="Times New Roman"/>
          <w:b w:val="false"/>
          <w:color w:val="000000"/>
          <w:sz w:val="16"/>
        </w:rPr>
        <w:t>shares of common stock outstanding, $0.001 par value per share.</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This Quarterly Report on Form 10-Q contains forward-looking statements. All statements other than statements of historical facts contained in this report, including statements regarding our future results of operations and financial position, business strategy, product candidates, planned preclinical studies and clinical trials, results of clinical trials, research and development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some cases, you can identify forward-looking statements by terms such as “may,” “will,” “should,” “would,” “expect,” “plan,” “anticipate,” “could,” “intend,” “target,” “project,” “believe,” “estimate,” “predict,” “potential,” or “continue” or the negative of these terms or other similar expressions. Forward-looking statements contained in this Quarterly Report include, but are not limited to, statements about:</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financial performance;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sufficiency of our existing cash to fund our future operating expenses and capital expenditure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accuracy of our estimates regarding expenses, future revenue, capital requirements, and needs for additional financing;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plans relating to commercializing our product candidates, if approved, including the geographic areas of focus and our ability to grow a sales team;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implementation of our strategic plans for our business and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ability to obtain and maintain regulatory approval of our product candidates and the timing or likelihood of regulatory filings and approvals, including our expectation to seek special designations, such as orphan drug designation, for our product candidates for various diseases;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reliance on third parties to conduct preclinical research activities, and for the manufacture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beneficial characteristics, mechanisms of action, safety profile, efficacy and therapeutic effects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progress and focus of our current and future clinical trials, and the reporting of data from those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ability to advance product candidates into and successfully complete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ability of our clinical trials, including collaborations and investigator sponsored trials, to demonstrate the safety and efficacy of our product candidates, and other positive results;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success of competing therapies that are or may become available;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developments relating to our competitors and our industry, including competing product candidates and therapies;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plans relating to the further development and manufacturing of our product candidates, including additional indications that we may pursue;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existing regulations and regulatory developments in the United States and other jurisdictions;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potential and ability to successfully manufacture and supply our product candidates for clinical trials and for commercial use, if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continued reliance on third parties to conduct clinical trials of our product candidates, and for the manufacture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plans and ability to obtain or protect intellectual property rights, including extensions of existing patent terms where available;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scope of protection we are able to establish and maintain for intellectual property rights, including our technology platform and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ability to retain the continued service of our key personnel, the impacts of any executive officer changes, and to identify, hire, and then retain additional qualified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impact of the COVID-19 pandemic, rising interest rates, bank failures or instability in the financial services sector, or geopolitical risks on our business;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plans for and prospects of our acquisitions and other business development activities, and our ability to successfully capitalize on these opportunities;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changes in our financial and internal controls;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anticipated use of our existing cash and cash equivalents, short-term and long-term investments, and the funds available from our term loan.</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Quarterly Report on Form 10-Q and are subject to a number of risks, uncertainties and assumptions described in the section titled “Risk Factors” and elsewhere in this Quarterly Report on Form 10-Q.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addition, statements that “we believe” and similar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toc_page"/>
      <w:bookmarkEnd w:id="2"/>
      <w:r>
        <w:rPr>
          <w:rFonts w:ascii="Times New Roman" w:hAnsi="Times New Roman"/>
          <w:b/>
          <w:color w:val="000000"/>
          <w:sz w:val="20"/>
        </w:rPr>
        <w:t>Table of Contents</w:t>
      </w:r>
    </w:p>
    <w:p>
      <w:pPr>
        <w:pStyle w:val="TextBody"/>
        <w:bidi w:val="0"/>
        <w:jc w:val="left"/>
        <w:rPr/>
      </w:pPr>
      <w:r>
        <w:rPr/>
        <w:t> </w:t>
      </w:r>
    </w:p>
    <w:tbl>
      <w:tblPr>
        <w:tblW w:w="8780" w:type="dxa"/>
        <w:jc w:val="left"/>
        <w:tblInd w:w="0" w:type="dxa"/>
        <w:tblLayout w:type="fixed"/>
        <w:tblCellMar>
          <w:top w:w="28" w:type="dxa"/>
          <w:left w:w="28" w:type="dxa"/>
          <w:bottom w:w="28" w:type="dxa"/>
          <w:right w:w="28" w:type="dxa"/>
        </w:tblCellMar>
      </w:tblPr>
      <w:tblGrid>
        <w:gridCol w:w="903"/>
        <w:gridCol w:w="7366"/>
        <w:gridCol w:w="511"/>
      </w:tblGrid>
      <w:tr>
        <w:trPr/>
        <w:tc>
          <w:tcPr>
            <w:tcW w:w="903"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center"/>
              <w:rPr/>
            </w:pPr>
            <w:hyperlink w:anchor="part1">
              <w:r>
                <w:rPr>
                  <w:rStyle w:val="InternetLink"/>
                  <w:rFonts w:ascii="Times New Roman" w:hAnsi="Times New Roman"/>
                  <w:b w:val="false"/>
                  <w:color w:val="0000FF"/>
                  <w:sz w:val="20"/>
                  <w:u w:val="single"/>
                </w:rPr>
                <w:t>FINANCIAL INFORMATION</w:t>
              </w:r>
            </w:hyperlink>
            <w:r>
              <w:rPr>
                <w:rFonts w:ascii="Times New Roman" w:hAnsi="Times New Roman"/>
                <w:color w:val="000000"/>
                <w:sz w:val="20"/>
              </w:rPr>
              <w:t xml:space="preserve">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b w:val="false"/>
                <w:color w:val="000000"/>
                <w:sz w:val="20"/>
              </w:rPr>
            </w:pPr>
            <w:r>
              <w:rPr>
                <w:rFonts w:ascii="Times New Roman" w:hAnsi="Times New Roman"/>
                <w:b w:val="false"/>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1_item1_fs">
              <w:r>
                <w:rPr>
                  <w:rStyle w:val="InternetLink"/>
                  <w:rFonts w:ascii="Times New Roman" w:hAnsi="Times New Roman"/>
                  <w:b w:val="false"/>
                  <w:color w:val="0000FF"/>
                  <w:sz w:val="20"/>
                  <w:u w:val="single"/>
                </w:rPr>
                <w:t>Financial Statements (Unaudited)</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w:t>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1_item1_bs">
              <w:r>
                <w:rPr>
                  <w:rStyle w:val="InternetLink"/>
                  <w:rFonts w:ascii="Times New Roman" w:hAnsi="Times New Roman"/>
                  <w:b w:val="false"/>
                  <w:color w:val="0000FF"/>
                  <w:sz w:val="20"/>
                  <w:u w:val="single"/>
                </w:rPr>
                <w:t>Condensed Consolidated Balance Sheets</w:t>
              </w:r>
            </w:hyperlink>
            <w:r>
              <w:rPr>
                <w:rFonts w:ascii="Times New Roman" w:hAnsi="Times New Roman"/>
                <w:color w:val="000000"/>
                <w:sz w:val="20"/>
              </w:rPr>
              <w:t xml:space="preserve">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w:t>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1_item1_is">
              <w:r>
                <w:rPr>
                  <w:rStyle w:val="InternetLink"/>
                  <w:rFonts w:ascii="Times New Roman" w:hAnsi="Times New Roman"/>
                  <w:b w:val="false"/>
                  <w:color w:val="0000FF"/>
                  <w:sz w:val="20"/>
                  <w:u w:val="single"/>
                </w:rPr>
                <w:t>Condensed Consolidated Statements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w:t>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1_item1_cl">
              <w:r>
                <w:rPr>
                  <w:rStyle w:val="InternetLink"/>
                  <w:rFonts w:ascii="Times New Roman" w:hAnsi="Times New Roman"/>
                  <w:b w:val="false"/>
                  <w:color w:val="0000FF"/>
                  <w:sz w:val="20"/>
                  <w:u w:val="single"/>
                </w:rPr>
                <w:t>Condensed Consolidated Statements of Comprehensive Loss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w:t>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1_item1_se">
              <w:r>
                <w:rPr>
                  <w:rStyle w:val="InternetLink"/>
                  <w:rFonts w:ascii="Times New Roman" w:hAnsi="Times New Roman"/>
                  <w:b w:val="false"/>
                  <w:color w:val="0000FF"/>
                  <w:sz w:val="20"/>
                  <w:u w:val="single"/>
                </w:rPr>
                <w:t>Condensed Consolidated Statements of Stockholders’ Equity</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w:t>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1_item1_cf">
              <w:r>
                <w:rPr>
                  <w:rStyle w:val="InternetLink"/>
                  <w:rFonts w:ascii="Times New Roman" w:hAnsi="Times New Roman"/>
                  <w:b w:val="false"/>
                  <w:color w:val="0000FF"/>
                  <w:sz w:val="20"/>
                  <w:u w:val="single"/>
                </w:rPr>
                <w:t>Condensed Consolidated Statements of Cash Flows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w:t>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1_item1_notes">
              <w:r>
                <w:rPr>
                  <w:rStyle w:val="InternetLink"/>
                  <w:rFonts w:ascii="Times New Roman" w:hAnsi="Times New Roman"/>
                  <w:b w:val="false"/>
                  <w:color w:val="0000FF"/>
                  <w:sz w:val="20"/>
                  <w:u w:val="single"/>
                </w:rPr>
                <w:t>Notes to Condensed Consolidated Financial Statements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b w:val="false"/>
                <w:color w:val="000000"/>
                <w:sz w:val="20"/>
              </w:rPr>
            </w:pPr>
            <w:r>
              <w:rPr>
                <w:rFonts w:ascii="Times New Roman" w:hAnsi="Times New Roman"/>
                <w:b w:val="false"/>
                <w:color w:val="000000"/>
                <w:sz w:val="20"/>
              </w:rPr>
              <w:t>10</w:t>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b w:val="false"/>
                <w:color w:val="000000"/>
                <w:sz w:val="20"/>
              </w:rPr>
            </w:pPr>
            <w:r>
              <w:rPr>
                <w:rFonts w:ascii="Times New Roman" w:hAnsi="Times New Roman"/>
                <w:b w:val="false"/>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1_item2_mda">
              <w:r>
                <w:rPr>
                  <w:rStyle w:val="InternetLink"/>
                  <w:rFonts w:ascii="Times New Roman" w:hAnsi="Times New Roman"/>
                  <w:b w:val="false"/>
                  <w:color w:val="0000FF"/>
                  <w:sz w:val="20"/>
                  <w:u w:val="single"/>
                </w:rPr>
                <w:t>Management’s Discussion and Analysis of Financial Condition and Results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b w:val="false"/>
                <w:color w:val="000000"/>
                <w:sz w:val="20"/>
              </w:rPr>
            </w:pPr>
            <w:r>
              <w:rPr>
                <w:rFonts w:ascii="Times New Roman" w:hAnsi="Times New Roman"/>
                <w:b w:val="false"/>
                <w:color w:val="000000"/>
                <w:sz w:val="20"/>
              </w:rPr>
              <w:t>19</w:t>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b w:val="false"/>
                <w:color w:val="000000"/>
                <w:sz w:val="20"/>
              </w:rPr>
            </w:pPr>
            <w:r>
              <w:rPr>
                <w:rFonts w:ascii="Times New Roman" w:hAnsi="Times New Roman"/>
                <w:b w:val="false"/>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1_item3_risk">
              <w:r>
                <w:rPr>
                  <w:rStyle w:val="InternetLink"/>
                  <w:rFonts w:ascii="Times New Roman" w:hAnsi="Times New Roman"/>
                  <w:b w:val="false"/>
                  <w:color w:val="0000FF"/>
                  <w:sz w:val="20"/>
                  <w:u w:val="single"/>
                </w:rPr>
                <w:t>Quantitative and Qualitative Disclosures about Market Risk</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b w:val="false"/>
                <w:color w:val="000000"/>
                <w:sz w:val="20"/>
              </w:rPr>
            </w:pPr>
            <w:r>
              <w:rPr>
                <w:rFonts w:ascii="Times New Roman" w:hAnsi="Times New Roman"/>
                <w:b w:val="false"/>
                <w:color w:val="000000"/>
                <w:sz w:val="20"/>
              </w:rPr>
              <w:t>30</w:t>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b w:val="false"/>
                <w:color w:val="000000"/>
                <w:sz w:val="20"/>
              </w:rPr>
            </w:pPr>
            <w:r>
              <w:rPr>
                <w:rFonts w:ascii="Times New Roman" w:hAnsi="Times New Roman"/>
                <w:b w:val="false"/>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1_item4_controls">
              <w:r>
                <w:rPr>
                  <w:rStyle w:val="InternetLink"/>
                  <w:rFonts w:ascii="Times New Roman" w:hAnsi="Times New Roman"/>
                  <w:b w:val="false"/>
                  <w:color w:val="0000FF"/>
                  <w:sz w:val="20"/>
                  <w:u w:val="single"/>
                </w:rPr>
                <w:t>Controls and Procedures</w:t>
              </w:r>
            </w:hyperlink>
            <w:hyperlink w:anchor="part1_item4_controls">
              <w:r>
                <w:rPr>
                  <w:rStyle w:val="InternetLink"/>
                  <w:rFonts w:ascii="Times New Roman" w:hAnsi="Times New Roman"/>
                  <w:color w:val="0000FF"/>
                  <w:sz w:val="20"/>
                </w:rPr>
                <w:t xml:space="preserve"> </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w:t>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center"/>
              <w:rPr/>
            </w:pPr>
            <w:hyperlink w:anchor="part2">
              <w:r>
                <w:rPr>
                  <w:rStyle w:val="InternetLink"/>
                  <w:rFonts w:ascii="Times New Roman" w:hAnsi="Times New Roman"/>
                  <w:b w:val="false"/>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b w:val="false"/>
                <w:color w:val="000000"/>
                <w:sz w:val="20"/>
              </w:rPr>
            </w:pPr>
            <w:r>
              <w:rPr>
                <w:rFonts w:ascii="Times New Roman" w:hAnsi="Times New Roman"/>
                <w:b w:val="false"/>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2_item1_legal">
              <w:r>
                <w:rPr>
                  <w:rStyle w:val="InternetLink"/>
                  <w:rFonts w:ascii="Times New Roman" w:hAnsi="Times New Roman"/>
                  <w:b w:val="false"/>
                  <w:color w:val="0000FF"/>
                  <w:sz w:val="20"/>
                  <w:u w:val="single"/>
                </w:rPr>
                <w:t>Legal Proceedings</w:t>
              </w:r>
            </w:hyperlink>
            <w:r>
              <w:rPr>
                <w:rFonts w:ascii="Times New Roman" w:hAnsi="Times New Roman"/>
                <w:color w:val="0000EE"/>
                <w:sz w:val="20"/>
              </w:rPr>
              <w:t xml:space="preserve">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b w:val="false"/>
                <w:color w:val="000000"/>
                <w:sz w:val="20"/>
              </w:rPr>
            </w:pPr>
            <w:r>
              <w:rPr>
                <w:rFonts w:ascii="Times New Roman" w:hAnsi="Times New Roman"/>
                <w:b w:val="false"/>
                <w:color w:val="000000"/>
                <w:sz w:val="20"/>
              </w:rPr>
              <w:t>32</w:t>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b w:val="false"/>
                <w:color w:val="000000"/>
                <w:sz w:val="20"/>
              </w:rPr>
            </w:pPr>
            <w:r>
              <w:rPr>
                <w:rFonts w:ascii="Times New Roman" w:hAnsi="Times New Roman"/>
                <w:b w:val="false"/>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2_item1a_rf">
              <w:r>
                <w:rPr>
                  <w:rStyle w:val="InternetLink"/>
                  <w:rFonts w:ascii="Times New Roman" w:hAnsi="Times New Roman"/>
                  <w:b w:val="false"/>
                  <w:color w:val="0000FF"/>
                  <w:sz w:val="20"/>
                  <w:u w:val="single"/>
                </w:rPr>
                <w:t>Risk Factors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b w:val="false"/>
                <w:color w:val="000000"/>
                <w:sz w:val="20"/>
              </w:rPr>
            </w:pPr>
            <w:r>
              <w:rPr>
                <w:rFonts w:ascii="Times New Roman" w:hAnsi="Times New Roman"/>
                <w:b w:val="false"/>
                <w:color w:val="000000"/>
                <w:sz w:val="20"/>
              </w:rPr>
              <w:t>32</w:t>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b w:val="false"/>
                <w:color w:val="000000"/>
                <w:sz w:val="20"/>
              </w:rPr>
            </w:pPr>
            <w:r>
              <w:rPr>
                <w:rFonts w:ascii="Times New Roman" w:hAnsi="Times New Roman"/>
                <w:b w:val="false"/>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2_item2_unreg">
              <w:r>
                <w:rPr>
                  <w:rStyle w:val="InternetLink"/>
                  <w:rFonts w:ascii="Times New Roman" w:hAnsi="Times New Roman"/>
                  <w:b w:val="false"/>
                  <w:color w:val="0000FF"/>
                  <w:sz w:val="20"/>
                  <w:u w:val="single"/>
                </w:rPr>
                <w:t>Unregistered Sales of Equity Securities and Use of Proceeds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b w:val="false"/>
                <w:color w:val="000000"/>
                <w:sz w:val="20"/>
              </w:rPr>
            </w:pPr>
            <w:r>
              <w:rPr>
                <w:rFonts w:ascii="Times New Roman" w:hAnsi="Times New Roman"/>
                <w:b w:val="false"/>
                <w:color w:val="000000"/>
                <w:sz w:val="20"/>
              </w:rPr>
              <w:t>80</w:t>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b w:val="false"/>
                <w:color w:val="000000"/>
                <w:sz w:val="20"/>
              </w:rPr>
            </w:pPr>
            <w:r>
              <w:rPr>
                <w:rFonts w:ascii="Times New Roman" w:hAnsi="Times New Roman"/>
                <w:b w:val="false"/>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2_item3_defaults">
              <w:r>
                <w:rPr>
                  <w:rStyle w:val="InternetLink"/>
                  <w:rFonts w:ascii="Times New Roman" w:hAnsi="Times New Roman"/>
                  <w:b w:val="false"/>
                  <w:color w:val="0000FF"/>
                  <w:sz w:val="20"/>
                  <w:u w:val="single"/>
                </w:rPr>
                <w:t>Defaults Upon Senior Securities</w:t>
              </w:r>
            </w:hyperlink>
            <w:hyperlink w:anchor="part2_item3_defaults">
              <w:r>
                <w:rPr>
                  <w:rStyle w:val="InternetLink"/>
                  <w:rFonts w:ascii="Times New Roman" w:hAnsi="Times New Roman"/>
                  <w:color w:val="0000FF"/>
                  <w:sz w:val="20"/>
                </w:rPr>
                <w:t xml:space="preserve"> </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b w:val="false"/>
                <w:color w:val="000000"/>
                <w:sz w:val="20"/>
              </w:rPr>
            </w:pPr>
            <w:r>
              <w:rPr>
                <w:rFonts w:ascii="Times New Roman" w:hAnsi="Times New Roman"/>
                <w:b w:val="false"/>
                <w:color w:val="000000"/>
                <w:sz w:val="20"/>
              </w:rPr>
              <w:t>80</w:t>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b w:val="false"/>
                <w:color w:val="000000"/>
                <w:sz w:val="20"/>
              </w:rPr>
            </w:pPr>
            <w:r>
              <w:rPr>
                <w:rFonts w:ascii="Times New Roman" w:hAnsi="Times New Roman"/>
                <w:b w:val="false"/>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2_item4_mine">
              <w:r>
                <w:rPr>
                  <w:rStyle w:val="InternetLink"/>
                  <w:rFonts w:ascii="Times New Roman" w:hAnsi="Times New Roman"/>
                  <w:b w:val="false"/>
                  <w:color w:val="0000FF"/>
                  <w:sz w:val="20"/>
                  <w:u w:val="single"/>
                </w:rPr>
                <w:t>Mine Safety Disclosures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b w:val="false"/>
                <w:color w:val="000000"/>
                <w:sz w:val="20"/>
              </w:rPr>
            </w:pPr>
            <w:r>
              <w:rPr>
                <w:rFonts w:ascii="Times New Roman" w:hAnsi="Times New Roman"/>
                <w:b w:val="false"/>
                <w:color w:val="000000"/>
                <w:sz w:val="20"/>
              </w:rPr>
              <w:t>80</w:t>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b w:val="false"/>
                <w:color w:val="000000"/>
                <w:sz w:val="20"/>
              </w:rPr>
            </w:pPr>
            <w:r>
              <w:rPr>
                <w:rFonts w:ascii="Times New Roman" w:hAnsi="Times New Roman"/>
                <w:b w:val="false"/>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2_item5_other">
              <w:r>
                <w:rPr>
                  <w:rStyle w:val="InternetLink"/>
                  <w:rFonts w:ascii="Times New Roman" w:hAnsi="Times New Roman"/>
                  <w:b w:val="false"/>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b w:val="false"/>
                <w:color w:val="000000"/>
                <w:sz w:val="20"/>
              </w:rPr>
            </w:pPr>
            <w:r>
              <w:rPr>
                <w:rFonts w:ascii="Times New Roman" w:hAnsi="Times New Roman"/>
                <w:b w:val="false"/>
                <w:color w:val="000000"/>
                <w:sz w:val="20"/>
              </w:rPr>
              <w:t>80</w:t>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b w:val="false"/>
                <w:color w:val="000000"/>
                <w:sz w:val="20"/>
              </w:rPr>
            </w:pPr>
            <w:r>
              <w:rPr>
                <w:rFonts w:ascii="Times New Roman" w:hAnsi="Times New Roman"/>
                <w:b w:val="false"/>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2_item6_exhibits">
              <w:r>
                <w:rPr>
                  <w:rStyle w:val="InternetLink"/>
                  <w:rFonts w:ascii="Times New Roman" w:hAnsi="Times New Roman"/>
                  <w:b w:val="false"/>
                  <w:color w:val="0000FF"/>
                  <w:sz w:val="20"/>
                  <w:u w:val="single"/>
                </w:rPr>
                <w:t>Exhibits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81</w:t>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b w:val="false"/>
                  <w:color w:val="0000FF"/>
                  <w:sz w:val="20"/>
                  <w:u w:val="single"/>
                </w:rPr>
                <w:t>SIGNATURES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83</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 w:name="part1"/>
      <w:bookmarkEnd w:id="3"/>
      <w:r>
        <w:rPr>
          <w:rFonts w:ascii="Times New Roman" w:hAnsi="Times New Roman"/>
          <w:b/>
          <w:color w:val="000000"/>
          <w:sz w:val="20"/>
        </w:rPr>
        <w:t>PART I — FINANCIAL INFORMATION</w:t>
      </w:r>
    </w:p>
    <w:p>
      <w:pPr>
        <w:pStyle w:val="TextBody"/>
        <w:bidi w:val="0"/>
        <w:jc w:val="left"/>
        <w:rPr>
          <w:rFonts w:ascii="Times New Roman" w:hAnsi="Times New Roman"/>
          <w:sz w:val="20"/>
        </w:rPr>
      </w:pPr>
      <w:bookmarkStart w:id="4" w:name="part1_item1_fs"/>
      <w:bookmarkEnd w:id="4"/>
      <w:r>
        <w:rPr>
          <w:rFonts w:ascii="Times New Roman" w:hAnsi="Times New Roman"/>
          <w:b/>
          <w:color w:val="000000"/>
          <w:sz w:val="20"/>
        </w:rPr>
        <w:t>Item 1. Financial Statements</w:t>
      </w:r>
      <w:r>
        <w:rPr>
          <w:rFonts w:ascii="Times New Roman" w:hAnsi="Times New Roman"/>
          <w:color w:val="000000"/>
          <w:sz w:val="20"/>
        </w:rPr>
        <w:t xml:space="preserve"> </w:t>
      </w: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ALX ONCOLOGY HOLDINGS INC.</w:t>
      </w:r>
    </w:p>
    <w:p>
      <w:pPr>
        <w:pStyle w:val="TextBody"/>
        <w:bidi w:val="0"/>
        <w:jc w:val="center"/>
        <w:rPr>
          <w:rFonts w:ascii="Times New Roman" w:hAnsi="Times New Roman"/>
          <w:b/>
          <w:color w:val="000000"/>
          <w:sz w:val="20"/>
        </w:rPr>
      </w:pPr>
      <w:bookmarkStart w:id="5" w:name="part1_item1_bs"/>
      <w:bookmarkEnd w:id="5"/>
      <w:r>
        <w:rPr>
          <w:rFonts w:ascii="Times New Roman" w:hAnsi="Times New Roman"/>
          <w:b/>
          <w:color w:val="000000"/>
          <w:sz w:val="20"/>
        </w:rPr>
        <w:t>Condensed Consolidated Balance Sheets</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(unaudited)</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(in thousands, except share and per share amounts)</w:t>
      </w:r>
    </w:p>
    <w:p>
      <w:pPr>
        <w:pStyle w:val="TextBody"/>
        <w:bidi w:val="0"/>
        <w:jc w:val="left"/>
        <w:rPr/>
      </w:pPr>
      <w:r>
        <w:rPr/>
        <w:t> </w:t>
      </w:r>
    </w:p>
    <w:tbl>
      <w:tblPr>
        <w:tblW w:w="9655" w:type="dxa"/>
        <w:jc w:val="left"/>
        <w:tblInd w:w="0" w:type="dxa"/>
        <w:tblLayout w:type="fixed"/>
        <w:tblCellMar>
          <w:top w:w="28" w:type="dxa"/>
          <w:left w:w="28" w:type="dxa"/>
          <w:bottom w:w="28" w:type="dxa"/>
          <w:right w:w="28" w:type="dxa"/>
        </w:tblCellMar>
      </w:tblPr>
      <w:tblGrid>
        <w:gridCol w:w="6021"/>
        <w:gridCol w:w="146"/>
        <w:gridCol w:w="261"/>
        <w:gridCol w:w="1044"/>
        <w:gridCol w:w="166"/>
        <w:gridCol w:w="146"/>
        <w:gridCol w:w="252"/>
        <w:gridCol w:w="1008"/>
        <w:gridCol w:w="611"/>
      </w:tblGrid>
      <w:tr>
        <w:trPr/>
        <w:tc>
          <w:tcPr>
            <w:tcW w:w="6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0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611" w:type="dxa"/>
            <w:tcBorders/>
            <w:shd w:fill="FFFFFF" w:val="clear"/>
            <w:vAlign w:val="center"/>
          </w:tcPr>
          <w:p>
            <w:pPr>
              <w:pStyle w:val="TableContents"/>
              <w:bidi w:val="0"/>
              <w:spacing w:before="0" w:after="283"/>
              <w:jc w:val="center"/>
              <w:rPr/>
            </w:pPr>
            <w:r>
              <w:rPr/>
              <w:t> </w:t>
            </w:r>
          </w:p>
        </w:tc>
      </w:tr>
      <w:tr>
        <w:trPr/>
        <w:tc>
          <w:tcPr>
            <w:tcW w:w="60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2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30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60"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jc w:val="right"/>
              <w:rPr/>
            </w:pPr>
            <w:r>
              <w:rPr/>
              <w:t> </w:t>
            </w:r>
          </w:p>
        </w:tc>
      </w:tr>
      <w:tr>
        <w:trPr/>
        <w:tc>
          <w:tcPr>
            <w:tcW w:w="60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602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4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19,584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0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48,822</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02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Short-term investments</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170,425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217,385</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02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Prepaid expenses and other current assets</w:t>
            </w:r>
          </w:p>
        </w:tc>
        <w:tc>
          <w:tcPr>
            <w:tcW w:w="146" w:type="dxa"/>
            <w:tcBorders/>
            <w:shd w:fill="CFF0FC" w:val="cle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9,062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4,762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021"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current assets</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199,071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270,969</w:t>
            </w:r>
          </w:p>
        </w:tc>
        <w:tc>
          <w:tcPr>
            <w:tcW w:w="611" w:type="dxa"/>
            <w:tcBorders/>
            <w:shd w:fill="FFFFFF" w:val="clear"/>
            <w:vAlign w:val="center"/>
          </w:tcPr>
          <w:p>
            <w:pPr>
              <w:pStyle w:val="TableContents"/>
              <w:bidi w:val="0"/>
              <w:spacing w:before="0" w:after="283"/>
              <w:jc w:val="left"/>
              <w:rPr/>
            </w:pPr>
            <w:r>
              <w:rPr/>
              <w:t> </w:t>
            </w:r>
          </w:p>
        </w:tc>
      </w:tr>
      <w:tr>
        <w:trPr/>
        <w:tc>
          <w:tcPr>
            <w:tcW w:w="60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Property and equipment, net</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104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3,617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100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3,889</w:t>
            </w:r>
          </w:p>
        </w:tc>
        <w:tc>
          <w:tcPr>
            <w:tcW w:w="611" w:type="dxa"/>
            <w:tcBorders/>
            <w:shd w:fill="CFF0FC" w:val="clear"/>
            <w:vAlign w:val="center"/>
          </w:tcPr>
          <w:p>
            <w:pPr>
              <w:pStyle w:val="TableContents"/>
              <w:bidi w:val="0"/>
              <w:spacing w:before="0" w:after="283"/>
              <w:jc w:val="left"/>
              <w:rPr/>
            </w:pPr>
            <w:r>
              <w:rPr/>
              <w:t> </w:t>
            </w:r>
          </w:p>
        </w:tc>
      </w:tr>
      <w:tr>
        <w:trPr/>
        <w:tc>
          <w:tcPr>
            <w:tcW w:w="60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Long-term investments</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6,435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16,699</w:t>
            </w:r>
          </w:p>
        </w:tc>
        <w:tc>
          <w:tcPr>
            <w:tcW w:w="611" w:type="dxa"/>
            <w:tcBorders/>
            <w:shd w:fill="FFFFFF" w:val="clear"/>
            <w:vAlign w:val="center"/>
          </w:tcPr>
          <w:p>
            <w:pPr>
              <w:pStyle w:val="TableContents"/>
              <w:bidi w:val="0"/>
              <w:spacing w:before="0" w:after="283"/>
              <w:jc w:val="left"/>
              <w:rPr/>
            </w:pPr>
            <w:r>
              <w:rPr/>
              <w:t> </w:t>
            </w:r>
          </w:p>
        </w:tc>
      </w:tr>
      <w:tr>
        <w:trPr/>
        <w:tc>
          <w:tcPr>
            <w:tcW w:w="60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assets</w:t>
            </w:r>
          </w:p>
        </w:tc>
        <w:tc>
          <w:tcPr>
            <w:tcW w:w="146" w:type="dxa"/>
            <w:tcBorders/>
            <w:shd w:fill="CFF0FC" w:val="cle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10,984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14,932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021"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assets</w:t>
            </w:r>
          </w:p>
        </w:tc>
        <w:tc>
          <w:tcPr>
            <w:tcW w:w="146" w:type="dxa"/>
            <w:tcBorders/>
            <w:shd w:fill="FFFFFF" w:val="cle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220,107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306,489</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21"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130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60"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jc w:val="right"/>
              <w:rPr/>
            </w:pPr>
            <w:r>
              <w:rPr/>
              <w:t> </w:t>
            </w:r>
          </w:p>
        </w:tc>
      </w:tr>
      <w:tr>
        <w:trPr/>
        <w:tc>
          <w:tcPr>
            <w:tcW w:w="602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jc w:val="right"/>
              <w:rPr/>
            </w:pPr>
            <w:r>
              <w:rPr/>
              <w:t> </w:t>
            </w:r>
          </w:p>
        </w:tc>
      </w:tr>
      <w:tr>
        <w:trPr/>
        <w:tc>
          <w:tcPr>
            <w:tcW w:w="60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Current liabilities:</w:t>
            </w:r>
          </w:p>
        </w:tc>
        <w:tc>
          <w:tcPr>
            <w:tcW w:w="146" w:type="dxa"/>
            <w:tcBorders/>
            <w:shd w:fill="CFF0FC" w:val="clear"/>
            <w:vAlign w:val="center"/>
          </w:tcPr>
          <w:p>
            <w:pPr>
              <w:pStyle w:val="TableContents"/>
              <w:bidi w:val="0"/>
              <w:spacing w:before="0" w:after="283"/>
              <w:jc w:val="left"/>
              <w:rPr/>
            </w:pPr>
            <w:r>
              <w:rPr/>
              <w:t> </w:t>
            </w:r>
          </w:p>
        </w:tc>
        <w:tc>
          <w:tcPr>
            <w:tcW w:w="130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60"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602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Accounts payable</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4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13,001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0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8,073</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02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Payable and accrued liabilities due to related party</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104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100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1,650</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02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Accrued expenses and other current liabilities</w:t>
            </w:r>
          </w:p>
        </w:tc>
        <w:tc>
          <w:tcPr>
            <w:tcW w:w="146" w:type="dxa"/>
            <w:tcBorders/>
            <w:shd w:fill="FFFFFF" w:val="cle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21,876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18,602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021"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current liabilities</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104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35,142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100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28,325</w:t>
            </w:r>
          </w:p>
        </w:tc>
        <w:tc>
          <w:tcPr>
            <w:tcW w:w="611" w:type="dxa"/>
            <w:tcBorders/>
            <w:shd w:fill="CFF0FC" w:val="clear"/>
            <w:vAlign w:val="center"/>
          </w:tcPr>
          <w:p>
            <w:pPr>
              <w:pStyle w:val="TableContents"/>
              <w:bidi w:val="0"/>
              <w:spacing w:before="0" w:after="283"/>
              <w:jc w:val="left"/>
              <w:rPr/>
            </w:pPr>
            <w:r>
              <w:rPr/>
              <w:t> </w:t>
            </w:r>
          </w:p>
        </w:tc>
      </w:tr>
      <w:tr>
        <w:trPr/>
        <w:tc>
          <w:tcPr>
            <w:tcW w:w="60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Term loan, non-current</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9,575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9,389</w:t>
            </w:r>
          </w:p>
        </w:tc>
        <w:tc>
          <w:tcPr>
            <w:tcW w:w="611" w:type="dxa"/>
            <w:tcBorders/>
            <w:shd w:fill="FFFFFF" w:val="clear"/>
            <w:vAlign w:val="center"/>
          </w:tcPr>
          <w:p>
            <w:pPr>
              <w:pStyle w:val="TableContents"/>
              <w:bidi w:val="0"/>
              <w:spacing w:before="0" w:after="283"/>
              <w:jc w:val="left"/>
              <w:rPr/>
            </w:pPr>
            <w:r>
              <w:rPr/>
              <w:t> </w:t>
            </w:r>
          </w:p>
        </w:tc>
      </w:tr>
      <w:tr>
        <w:trPr/>
        <w:tc>
          <w:tcPr>
            <w:tcW w:w="60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non-current liabilities</w:t>
            </w:r>
          </w:p>
        </w:tc>
        <w:tc>
          <w:tcPr>
            <w:tcW w:w="146" w:type="dxa"/>
            <w:tcBorders/>
            <w:shd w:fill="CFF0FC" w:val="cle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5,311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021"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liabilities</w:t>
            </w:r>
          </w:p>
        </w:tc>
        <w:tc>
          <w:tcPr>
            <w:tcW w:w="146" w:type="dxa"/>
            <w:tcBorders/>
            <w:shd w:fill="FFFFFF" w:val="cle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51,355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Commitments and contingencies (Note 11)</w:t>
            </w:r>
          </w:p>
        </w:tc>
        <w:tc>
          <w:tcPr>
            <w:tcW w:w="146" w:type="dxa"/>
            <w:tcBorders/>
            <w:shd w:fill="CFF0FC" w:val="clear"/>
            <w:vAlign w:val="center"/>
          </w:tcPr>
          <w:p>
            <w:pPr>
              <w:pStyle w:val="TableContents"/>
              <w:bidi w:val="0"/>
              <w:spacing w:before="0" w:after="283"/>
              <w:jc w:val="left"/>
              <w:rPr/>
            </w:pPr>
            <w:r>
              <w:rPr/>
              <w:t> </w:t>
            </w:r>
          </w:p>
        </w:tc>
        <w:tc>
          <w:tcPr>
            <w:tcW w:w="130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60"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jc w:val="right"/>
              <w:rPr/>
            </w:pPr>
            <w:r>
              <w:rPr/>
              <w:t> </w:t>
            </w:r>
          </w:p>
        </w:tc>
      </w:tr>
      <w:tr>
        <w:trPr/>
        <w:tc>
          <w:tcPr>
            <w:tcW w:w="60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Stockholders’ equity</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6021"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b w:val="false"/>
                <w:color w:val="000000"/>
                <w:sz w:val="20"/>
              </w:rPr>
              <w:t>Common stock, $0.001</w:t>
            </w:r>
            <w:r>
              <w:rPr>
                <w:rFonts w:ascii="Times New Roman" w:hAnsi="Times New Roman"/>
                <w:color w:val="000000"/>
                <w:sz w:val="20"/>
              </w:rPr>
              <w:t> </w:t>
            </w:r>
            <w:r>
              <w:rPr>
                <w:rFonts w:ascii="Times New Roman" w:hAnsi="Times New Roman"/>
                <w:b w:val="false"/>
                <w:color w:val="000000"/>
                <w:sz w:val="20"/>
              </w:rPr>
              <w:t>par value; 1,000,000,000</w:t>
            </w:r>
            <w:r>
              <w:rPr>
                <w:rFonts w:ascii="Times New Roman" w:hAnsi="Times New Roman"/>
                <w:color w:val="000000"/>
                <w:sz w:val="20"/>
              </w:rPr>
              <w:t> </w:t>
            </w:r>
            <w:r>
              <w:rPr>
                <w:rFonts w:ascii="Times New Roman" w:hAnsi="Times New Roman"/>
                <w:b w:val="false"/>
                <w:color w:val="000000"/>
                <w:sz w:val="20"/>
              </w:rPr>
              <w:t xml:space="preserve">shares authorized </w:t>
              <w:br/>
              <w:t>     as of September 30, 2023 and December 31, 2022; 41,151,819</w:t>
            </w:r>
            <w:r>
              <w:rPr>
                <w:rFonts w:ascii="Times New Roman" w:hAnsi="Times New Roman"/>
                <w:color w:val="000000"/>
                <w:sz w:val="20"/>
              </w:rPr>
              <w:t> </w:t>
            </w:r>
            <w:r>
              <w:rPr>
                <w:rFonts w:ascii="Times New Roman" w:hAnsi="Times New Roman"/>
                <w:b w:val="false"/>
                <w:color w:val="000000"/>
                <w:sz w:val="20"/>
              </w:rPr>
              <w:t xml:space="preserve">and </w:t>
              <w:br/>
              <w:t>     40,861,386</w:t>
            </w:r>
            <w:r>
              <w:rPr>
                <w:rFonts w:ascii="Times New Roman" w:hAnsi="Times New Roman"/>
                <w:color w:val="000000"/>
                <w:sz w:val="20"/>
              </w:rPr>
              <w:t> </w:t>
            </w:r>
            <w:r>
              <w:rPr>
                <w:rFonts w:ascii="Times New Roman" w:hAnsi="Times New Roman"/>
                <w:b w:val="false"/>
                <w:color w:val="000000"/>
                <w:sz w:val="20"/>
              </w:rPr>
              <w:t>shares issued and outstanding as of September 30, 2023</w:t>
              <w:br/>
              <w:t>     and December 31, 2022, respectively</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104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100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02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Additional paid-in capital</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609,737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589,735</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02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Accumulated other comprehensive loss</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104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(226</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100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(845</w:t>
            </w:r>
          </w:p>
        </w:tc>
        <w:tc>
          <w:tcPr>
            <w:tcW w:w="61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602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Accumulated deficit</w:t>
            </w:r>
          </w:p>
        </w:tc>
        <w:tc>
          <w:tcPr>
            <w:tcW w:w="146" w:type="dxa"/>
            <w:tcBorders/>
            <w:shd w:fill="FFFFFF" w:val="cle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(440,800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(325,467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6021"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stockholders’ equity</w:t>
            </w:r>
          </w:p>
        </w:tc>
        <w:tc>
          <w:tcPr>
            <w:tcW w:w="146" w:type="dxa"/>
            <w:tcBorders/>
            <w:shd w:fill="CFF0FC" w:val="cle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168,752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263,464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021"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liabilities and stockholders’ equity</w:t>
            </w:r>
          </w:p>
        </w:tc>
        <w:tc>
          <w:tcPr>
            <w:tcW w:w="146" w:type="dxa"/>
            <w:tcBorders/>
            <w:shd w:fill="FFFFFF" w:val="cle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220,107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306,489</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See accompanying notes to these condensed consolidated financial statements (unaudited).</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ALX ONCOLOGY HOLDINGS INC.</w:t>
      </w:r>
    </w:p>
    <w:p>
      <w:pPr>
        <w:pStyle w:val="TextBody"/>
        <w:bidi w:val="0"/>
        <w:jc w:val="center"/>
        <w:rPr>
          <w:rFonts w:ascii="Times New Roman" w:hAnsi="Times New Roman"/>
          <w:b/>
          <w:color w:val="000000"/>
          <w:sz w:val="20"/>
        </w:rPr>
      </w:pPr>
      <w:bookmarkStart w:id="6" w:name="part1_item1_is"/>
      <w:bookmarkEnd w:id="6"/>
      <w:r>
        <w:rPr>
          <w:rFonts w:ascii="Times New Roman" w:hAnsi="Times New Roman"/>
          <w:b/>
          <w:color w:val="000000"/>
          <w:sz w:val="20"/>
        </w:rPr>
        <w:t>Condensed Consolidated Statements of Operations</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(unaudited)</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(in thousands, except share and per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44"/>
        <w:gridCol w:w="146"/>
        <w:gridCol w:w="211"/>
        <w:gridCol w:w="1036"/>
        <w:gridCol w:w="166"/>
        <w:gridCol w:w="146"/>
        <w:gridCol w:w="211"/>
        <w:gridCol w:w="1036"/>
        <w:gridCol w:w="166"/>
        <w:gridCol w:w="146"/>
        <w:gridCol w:w="211"/>
        <w:gridCol w:w="1036"/>
        <w:gridCol w:w="166"/>
        <w:gridCol w:w="146"/>
        <w:gridCol w:w="211"/>
        <w:gridCol w:w="1036"/>
        <w:gridCol w:w="591"/>
      </w:tblGrid>
      <w:tr>
        <w:trPr/>
        <w:tc>
          <w:tcPr>
            <w:tcW w:w="35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54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06"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06"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w:t>
            </w:r>
          </w:p>
        </w:tc>
        <w:tc>
          <w:tcPr>
            <w:tcW w:w="591" w:type="dxa"/>
            <w:tcBorders/>
            <w:shd w:fill="FFFFFF" w:val="clear"/>
            <w:vAlign w:val="center"/>
          </w:tcPr>
          <w:p>
            <w:pPr>
              <w:pStyle w:val="TableContents"/>
              <w:bidi w:val="0"/>
              <w:spacing w:before="0" w:after="283"/>
              <w:jc w:val="center"/>
              <w:rPr/>
            </w:pPr>
            <w:r>
              <w:rPr/>
              <w:t> </w:t>
            </w:r>
          </w:p>
        </w:tc>
      </w:tr>
      <w:tr>
        <w:trPr/>
        <w:tc>
          <w:tcPr>
            <w:tcW w:w="354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354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45,766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29,382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100,011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73,203</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3544"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22,244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22,014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44"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53,275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36,681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122,255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95,217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4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(53,275</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(36,681</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(122,255</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(95,217</w:t>
            </w:r>
          </w:p>
        </w:tc>
        <w:tc>
          <w:tcPr>
            <w:tcW w:w="59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354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Interest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2,677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1,370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7,654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2,471</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3544"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Interest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(391</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(1,150</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w:t>
            </w:r>
          </w:p>
        </w:tc>
        <w:tc>
          <w:tcPr>
            <w:tcW w:w="59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354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Other income (expense),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w:t>
            </w:r>
          </w:p>
        </w:tc>
        <w:tc>
          <w:tcPr>
            <w:tcW w:w="59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54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(50,990</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(35,320</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(115,333</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(92,773</w:t>
            </w:r>
          </w:p>
        </w:tc>
        <w:tc>
          <w:tcPr>
            <w:tcW w:w="591"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54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 per share, basic and 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(2.28</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54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 xml:space="preserve">Weighted-average shares of common stock used to </w:t>
              <w:br/>
              <w:t>    compute net loss per share, basic and 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41,147,938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40,747,026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40,963,015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40,684,172</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See accompanying notes to these condensed consolidated financial statements (unaudited).</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ALX ONCOLOGY HOLDINGS INC.</w:t>
      </w:r>
    </w:p>
    <w:p>
      <w:pPr>
        <w:pStyle w:val="TextBody"/>
        <w:bidi w:val="0"/>
        <w:jc w:val="center"/>
        <w:rPr>
          <w:rFonts w:ascii="Times New Roman" w:hAnsi="Times New Roman"/>
          <w:b/>
          <w:color w:val="000000"/>
          <w:sz w:val="20"/>
        </w:rPr>
      </w:pPr>
      <w:bookmarkStart w:id="7" w:name="part1_item1_cl"/>
      <w:bookmarkEnd w:id="7"/>
      <w:r>
        <w:rPr>
          <w:rFonts w:ascii="Times New Roman" w:hAnsi="Times New Roman"/>
          <w:b/>
          <w:color w:val="000000"/>
          <w:sz w:val="20"/>
        </w:rPr>
        <w:t>Condensed Consolidated Statements of Comprehensive Loss</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(unaudited)</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(in thousands)</w:t>
      </w:r>
    </w:p>
    <w:p>
      <w:pPr>
        <w:pStyle w:val="TextBody"/>
        <w:bidi w:val="0"/>
        <w:jc w:val="center"/>
        <w:rPr/>
      </w:pPr>
      <w:r>
        <w:rPr/>
        <w:t> </w:t>
      </w:r>
    </w:p>
    <w:tbl>
      <w:tblPr>
        <w:tblW w:w="10187" w:type="dxa"/>
        <w:jc w:val="left"/>
        <w:tblInd w:w="0" w:type="dxa"/>
        <w:tblLayout w:type="fixed"/>
        <w:tblCellMar>
          <w:top w:w="28" w:type="dxa"/>
          <w:left w:w="28" w:type="dxa"/>
          <w:bottom w:w="28" w:type="dxa"/>
          <w:right w:w="28" w:type="dxa"/>
        </w:tblCellMar>
      </w:tblPr>
      <w:tblGrid>
        <w:gridCol w:w="4821"/>
        <w:gridCol w:w="146"/>
        <w:gridCol w:w="211"/>
        <w:gridCol w:w="736"/>
        <w:gridCol w:w="166"/>
        <w:gridCol w:w="146"/>
        <w:gridCol w:w="211"/>
        <w:gridCol w:w="736"/>
        <w:gridCol w:w="166"/>
        <w:gridCol w:w="146"/>
        <w:gridCol w:w="211"/>
        <w:gridCol w:w="841"/>
        <w:gridCol w:w="166"/>
        <w:gridCol w:w="146"/>
        <w:gridCol w:w="211"/>
        <w:gridCol w:w="736"/>
        <w:gridCol w:w="391"/>
      </w:tblGrid>
      <w:tr>
        <w:trPr/>
        <w:tc>
          <w:tcPr>
            <w:tcW w:w="4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8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11"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w:t>
            </w:r>
          </w:p>
        </w:tc>
        <w:tc>
          <w:tcPr>
            <w:tcW w:w="391" w:type="dxa"/>
            <w:tcBorders/>
            <w:shd w:fill="FFFFFF" w:val="clear"/>
            <w:vAlign w:val="center"/>
          </w:tcPr>
          <w:p>
            <w:pPr>
              <w:pStyle w:val="TableContents"/>
              <w:bidi w:val="0"/>
              <w:spacing w:before="0" w:after="283"/>
              <w:jc w:val="center"/>
              <w:rPr/>
            </w:pPr>
            <w:r>
              <w:rPr/>
              <w:t> </w:t>
            </w:r>
          </w:p>
        </w:tc>
      </w:tr>
      <w:tr>
        <w:trPr/>
        <w:tc>
          <w:tcPr>
            <w:tcW w:w="48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(50,990</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(35,320</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(115,333</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(92,773</w:t>
            </w:r>
          </w:p>
        </w:tc>
        <w:tc>
          <w:tcPr>
            <w:tcW w:w="3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8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comprehensive gain (loss), net of tax:</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482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Unrealized gain (loss) on available-for-sale investments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(1,504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8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comprehensive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(50,904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(35,568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(114,714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(94,277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See accompanying notes to these condensed consolidated financial statements (unaudited).</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ALX ONCOLOGY HOLDINGS INC.</w:t>
      </w:r>
    </w:p>
    <w:p>
      <w:pPr>
        <w:pStyle w:val="TextBody"/>
        <w:bidi w:val="0"/>
        <w:jc w:val="center"/>
        <w:rPr>
          <w:rFonts w:ascii="Times New Roman" w:hAnsi="Times New Roman"/>
          <w:sz w:val="20"/>
        </w:rPr>
      </w:pPr>
      <w:bookmarkStart w:id="8" w:name="part1_item1_se"/>
      <w:bookmarkEnd w:id="8"/>
      <w:r>
        <w:rPr>
          <w:rFonts w:ascii="Times New Roman" w:hAnsi="Times New Roman"/>
          <w:b/>
          <w:color w:val="000000"/>
          <w:sz w:val="20"/>
        </w:rPr>
        <w:t>Condensed Consolidated Statements of Stockholders’ Equity</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(unaudited)</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(in thousands, except share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363"/>
        <w:gridCol w:w="146"/>
        <w:gridCol w:w="146"/>
        <w:gridCol w:w="916"/>
        <w:gridCol w:w="146"/>
        <w:gridCol w:w="146"/>
        <w:gridCol w:w="249"/>
        <w:gridCol w:w="442"/>
        <w:gridCol w:w="146"/>
        <w:gridCol w:w="146"/>
        <w:gridCol w:w="196"/>
        <w:gridCol w:w="691"/>
        <w:gridCol w:w="146"/>
        <w:gridCol w:w="146"/>
        <w:gridCol w:w="316"/>
        <w:gridCol w:w="705"/>
        <w:gridCol w:w="166"/>
        <w:gridCol w:w="146"/>
        <w:gridCol w:w="217"/>
        <w:gridCol w:w="834"/>
        <w:gridCol w:w="166"/>
        <w:gridCol w:w="146"/>
        <w:gridCol w:w="236"/>
        <w:gridCol w:w="836"/>
        <w:gridCol w:w="412"/>
      </w:tblGrid>
      <w:tr>
        <w:trPr/>
        <w:tc>
          <w:tcPr>
            <w:tcW w:w="23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236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1"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Other</w:t>
              <w:br/>
              <w:t>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7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412" w:type="dxa"/>
            <w:tcBorders/>
            <w:shd w:fill="FFFFFF" w:val="clear"/>
            <w:vAlign w:val="center"/>
          </w:tcPr>
          <w:p>
            <w:pPr>
              <w:pStyle w:val="TableContents"/>
              <w:bidi w:val="0"/>
              <w:spacing w:before="0" w:after="283"/>
              <w:jc w:val="center"/>
              <w:rPr/>
            </w:pPr>
            <w:r>
              <w:rPr/>
              <w:t> </w:t>
            </w:r>
          </w:p>
        </w:tc>
      </w:tr>
      <w:tr>
        <w:trPr/>
        <w:tc>
          <w:tcPr>
            <w:tcW w:w="236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63"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40,861,386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44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589,735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0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(845</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3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(325,467</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3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263,464</w:t>
            </w:r>
          </w:p>
        </w:tc>
        <w:tc>
          <w:tcPr>
            <w:tcW w:w="412" w:type="dxa"/>
            <w:tcBorders/>
            <w:shd w:fill="CFF0FC" w:val="clear"/>
            <w:vAlign w:val="center"/>
          </w:tcPr>
          <w:p>
            <w:pPr>
              <w:pStyle w:val="TableContents"/>
              <w:bidi w:val="0"/>
              <w:spacing w:before="0" w:after="283"/>
              <w:ind w:left="0" w:right="0" w:firstLine="200"/>
              <w:jc w:val="left"/>
              <w:rPr/>
            </w:pPr>
            <w:r>
              <w:rPr/>
              <w:t> </w:t>
            </w:r>
          </w:p>
        </w:tc>
      </w:tr>
      <w:tr>
        <w:trPr/>
        <w:tc>
          <w:tcPr>
            <w:tcW w:w="2363"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Issuance of common stock under</w:t>
              <w:br/>
              <w:t>   equity incentive plans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836" w:type="dxa"/>
            <w:tcBorders/>
            <w:shd w:fill="FFFFFF" w:val="clear"/>
            <w:vAlign w:val="center"/>
          </w:tcPr>
          <w:p>
            <w:pPr>
              <w:pStyle w:val="TableContents"/>
              <w:bidi w:val="0"/>
              <w:spacing w:before="0" w:after="283"/>
              <w:jc w:val="right"/>
              <w:rPr>
                <w:color w:val="000000"/>
              </w:rPr>
            </w:pPr>
            <w:r>
              <w:rPr>
                <w:color w:val="000000"/>
              </w:rPr>
              <w:t>—</w:t>
            </w:r>
          </w:p>
        </w:tc>
        <w:tc>
          <w:tcPr>
            <w:tcW w:w="412" w:type="dxa"/>
            <w:tcBorders/>
            <w:shd w:fill="FFFFFF" w:val="clear"/>
            <w:vAlign w:val="center"/>
          </w:tcPr>
          <w:p>
            <w:pPr>
              <w:pStyle w:val="TableContents"/>
              <w:bidi w:val="0"/>
              <w:spacing w:before="0" w:after="283"/>
              <w:ind w:left="0" w:right="0" w:firstLine="200"/>
              <w:jc w:val="left"/>
              <w:rPr/>
            </w:pPr>
            <w:r>
              <w:rPr/>
              <w:t> </w:t>
            </w:r>
          </w:p>
        </w:tc>
      </w:tr>
      <w:tr>
        <w:trPr/>
        <w:tc>
          <w:tcPr>
            <w:tcW w:w="2363"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Stock-based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6,351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left"/>
              <w:rPr/>
            </w:pPr>
            <w:r>
              <w:rPr/>
              <w:t> </w:t>
            </w:r>
          </w:p>
        </w:tc>
        <w:tc>
          <w:tcPr>
            <w:tcW w:w="70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83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6,351</w:t>
            </w:r>
          </w:p>
        </w:tc>
        <w:tc>
          <w:tcPr>
            <w:tcW w:w="412" w:type="dxa"/>
            <w:tcBorders/>
            <w:shd w:fill="CFF0FC" w:val="clear"/>
            <w:vAlign w:val="center"/>
          </w:tcPr>
          <w:p>
            <w:pPr>
              <w:pStyle w:val="TableContents"/>
              <w:bidi w:val="0"/>
              <w:spacing w:before="0" w:after="283"/>
              <w:ind w:left="0" w:right="0" w:firstLine="200"/>
              <w:jc w:val="left"/>
              <w:rPr/>
            </w:pPr>
            <w:r>
              <w:rPr/>
              <w:t> </w:t>
            </w:r>
          </w:p>
        </w:tc>
      </w:tr>
      <w:tr>
        <w:trPr/>
        <w:tc>
          <w:tcPr>
            <w:tcW w:w="2363"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Unrealized gain on available-for-sale</w:t>
              <w:br/>
              <w:t>   investments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757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83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757</w:t>
            </w:r>
          </w:p>
        </w:tc>
        <w:tc>
          <w:tcPr>
            <w:tcW w:w="412" w:type="dxa"/>
            <w:tcBorders/>
            <w:shd w:fill="FFFFFF" w:val="clear"/>
            <w:vAlign w:val="center"/>
          </w:tcPr>
          <w:p>
            <w:pPr>
              <w:pStyle w:val="TableContents"/>
              <w:bidi w:val="0"/>
              <w:spacing w:before="0" w:after="283"/>
              <w:ind w:left="0" w:right="0" w:firstLine="200"/>
              <w:jc w:val="left"/>
              <w:rPr/>
            </w:pPr>
            <w:r>
              <w:rPr/>
              <w:t> </w:t>
            </w:r>
          </w:p>
        </w:tc>
      </w:tr>
      <w:tr>
        <w:trPr/>
        <w:tc>
          <w:tcPr>
            <w:tcW w:w="2363"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(30,184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(30,184</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2363"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March 31,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40,863,049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596,086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(355,651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240,388</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63"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Issuance of common stock under</w:t>
              <w:br/>
              <w:t>   equity incentive plans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76,210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left"/>
              <w:rPr/>
            </w:pPr>
            <w:r>
              <w:rPr/>
              <w:t> </w:t>
            </w:r>
          </w:p>
        </w:tc>
        <w:tc>
          <w:tcPr>
            <w:tcW w:w="70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83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112</w:t>
            </w:r>
          </w:p>
        </w:tc>
        <w:tc>
          <w:tcPr>
            <w:tcW w:w="412" w:type="dxa"/>
            <w:tcBorders/>
            <w:shd w:fill="CFF0FC" w:val="clear"/>
            <w:vAlign w:val="center"/>
          </w:tcPr>
          <w:p>
            <w:pPr>
              <w:pStyle w:val="TableContents"/>
              <w:bidi w:val="0"/>
              <w:spacing w:before="0" w:after="283"/>
              <w:ind w:left="0" w:right="0" w:firstLine="200"/>
              <w:jc w:val="left"/>
              <w:rPr/>
            </w:pPr>
            <w:r>
              <w:rPr/>
              <w:t> </w:t>
            </w:r>
          </w:p>
        </w:tc>
      </w:tr>
      <w:tr>
        <w:trPr/>
        <w:tc>
          <w:tcPr>
            <w:tcW w:w="2363"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Issuance of common stock under</w:t>
              <w:br/>
              <w:t>   employee stock purchase plan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52,920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83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338</w:t>
            </w:r>
          </w:p>
        </w:tc>
        <w:tc>
          <w:tcPr>
            <w:tcW w:w="412" w:type="dxa"/>
            <w:tcBorders/>
            <w:shd w:fill="FFFFFF" w:val="clear"/>
            <w:vAlign w:val="center"/>
          </w:tcPr>
          <w:p>
            <w:pPr>
              <w:pStyle w:val="TableContents"/>
              <w:bidi w:val="0"/>
              <w:spacing w:before="0" w:after="283"/>
              <w:ind w:left="0" w:right="0" w:firstLine="200"/>
              <w:jc w:val="left"/>
              <w:rPr/>
            </w:pPr>
            <w:r>
              <w:rPr/>
              <w:t> </w:t>
            </w:r>
          </w:p>
        </w:tc>
      </w:tr>
      <w:tr>
        <w:trPr/>
        <w:tc>
          <w:tcPr>
            <w:tcW w:w="2363"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Stock-based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6,237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left"/>
              <w:rPr/>
            </w:pPr>
            <w:r>
              <w:rPr/>
              <w:t> </w:t>
            </w:r>
          </w:p>
        </w:tc>
        <w:tc>
          <w:tcPr>
            <w:tcW w:w="70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83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6,237</w:t>
            </w:r>
          </w:p>
        </w:tc>
        <w:tc>
          <w:tcPr>
            <w:tcW w:w="412" w:type="dxa"/>
            <w:tcBorders/>
            <w:shd w:fill="CFF0FC" w:val="clear"/>
            <w:vAlign w:val="center"/>
          </w:tcPr>
          <w:p>
            <w:pPr>
              <w:pStyle w:val="TableContents"/>
              <w:bidi w:val="0"/>
              <w:spacing w:before="0" w:after="283"/>
              <w:ind w:left="0" w:right="0" w:firstLine="200"/>
              <w:jc w:val="left"/>
              <w:rPr/>
            </w:pPr>
            <w:r>
              <w:rPr/>
              <w:t> </w:t>
            </w:r>
          </w:p>
        </w:tc>
      </w:tr>
      <w:tr>
        <w:trPr/>
        <w:tc>
          <w:tcPr>
            <w:tcW w:w="2363"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Unrealized loss on available-for-sale</w:t>
              <w:br/>
              <w:t>   investments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(224</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83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(224</w:t>
            </w:r>
          </w:p>
        </w:tc>
        <w:tc>
          <w:tcPr>
            <w:tcW w:w="412"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16"/>
              </w:rPr>
            </w:pPr>
            <w:r>
              <w:rPr>
                <w:rFonts w:ascii="Times New Roman" w:hAnsi="Times New Roman"/>
                <w:b w:val="false"/>
                <w:color w:val="000000"/>
                <w:sz w:val="16"/>
              </w:rPr>
              <w:t>)</w:t>
            </w:r>
          </w:p>
        </w:tc>
      </w:tr>
      <w:tr>
        <w:trPr/>
        <w:tc>
          <w:tcPr>
            <w:tcW w:w="2363"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(34,159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(34,159</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2363"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June 30,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40,992,179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602,773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(389,810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212,692</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63"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Issuance of common stock under</w:t>
              <w:br/>
              <w:t>   equity incentive plans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159,640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left"/>
              <w:rPr/>
            </w:pPr>
            <w:r>
              <w:rPr/>
              <w:t> </w:t>
            </w:r>
          </w:p>
        </w:tc>
        <w:tc>
          <w:tcPr>
            <w:tcW w:w="70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836" w:type="dxa"/>
            <w:tcBorders/>
            <w:shd w:fill="CFF0FC" w:val="clear"/>
            <w:vAlign w:val="center"/>
          </w:tcPr>
          <w:p>
            <w:pPr>
              <w:pStyle w:val="TableContents"/>
              <w:bidi w:val="0"/>
              <w:spacing w:before="0" w:after="283"/>
              <w:jc w:val="right"/>
              <w:rPr>
                <w:color w:val="000000"/>
              </w:rPr>
            </w:pPr>
            <w:r>
              <w:rPr>
                <w:color w:val="000000"/>
              </w:rPr>
              <w:t>—</w:t>
            </w:r>
          </w:p>
        </w:tc>
        <w:tc>
          <w:tcPr>
            <w:tcW w:w="412" w:type="dxa"/>
            <w:tcBorders/>
            <w:shd w:fill="CFF0FC" w:val="clear"/>
            <w:vAlign w:val="center"/>
          </w:tcPr>
          <w:p>
            <w:pPr>
              <w:pStyle w:val="TableContents"/>
              <w:bidi w:val="0"/>
              <w:spacing w:before="0" w:after="283"/>
              <w:ind w:left="0" w:right="0" w:firstLine="200"/>
              <w:jc w:val="left"/>
              <w:rPr/>
            </w:pPr>
            <w:r>
              <w:rPr/>
              <w:t> </w:t>
            </w:r>
          </w:p>
        </w:tc>
      </w:tr>
      <w:tr>
        <w:trPr/>
        <w:tc>
          <w:tcPr>
            <w:tcW w:w="2363"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6,964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83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6,964</w:t>
            </w:r>
          </w:p>
        </w:tc>
        <w:tc>
          <w:tcPr>
            <w:tcW w:w="412" w:type="dxa"/>
            <w:tcBorders/>
            <w:shd w:fill="FFFFFF" w:val="clear"/>
            <w:vAlign w:val="center"/>
          </w:tcPr>
          <w:p>
            <w:pPr>
              <w:pStyle w:val="TableContents"/>
              <w:bidi w:val="0"/>
              <w:spacing w:before="0" w:after="283"/>
              <w:ind w:left="0" w:right="0" w:firstLine="200"/>
              <w:jc w:val="left"/>
              <w:rPr/>
            </w:pPr>
            <w:r>
              <w:rPr/>
              <w:t> </w:t>
            </w:r>
          </w:p>
        </w:tc>
      </w:tr>
      <w:tr>
        <w:trPr/>
        <w:tc>
          <w:tcPr>
            <w:tcW w:w="2363"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Unrealized loss on available-for-sale</w:t>
              <w:br/>
              <w:t>   investments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left"/>
              <w:rPr/>
            </w:pPr>
            <w:r>
              <w:rPr/>
              <w:t> </w:t>
            </w:r>
          </w:p>
        </w:tc>
        <w:tc>
          <w:tcPr>
            <w:tcW w:w="70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83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86</w:t>
            </w:r>
          </w:p>
        </w:tc>
        <w:tc>
          <w:tcPr>
            <w:tcW w:w="412" w:type="dxa"/>
            <w:tcBorders/>
            <w:shd w:fill="CFF0FC" w:val="clear"/>
            <w:vAlign w:val="center"/>
          </w:tcPr>
          <w:p>
            <w:pPr>
              <w:pStyle w:val="TableContents"/>
              <w:bidi w:val="0"/>
              <w:spacing w:before="0" w:after="283"/>
              <w:ind w:left="0" w:right="0" w:firstLine="200"/>
              <w:jc w:val="left"/>
              <w:rPr/>
            </w:pPr>
            <w:r>
              <w:rPr/>
              <w:t> </w:t>
            </w:r>
          </w:p>
        </w:tc>
      </w:tr>
      <w:tr>
        <w:trPr/>
        <w:tc>
          <w:tcPr>
            <w:tcW w:w="2363"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(50,990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(50,990</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2363"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September 30,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41,151,819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609,737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(440,800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168,752</w:t>
            </w:r>
          </w:p>
        </w:tc>
        <w:tc>
          <w:tcPr>
            <w:tcW w:w="4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362"/>
        <w:gridCol w:w="146"/>
        <w:gridCol w:w="146"/>
        <w:gridCol w:w="916"/>
        <w:gridCol w:w="146"/>
        <w:gridCol w:w="146"/>
        <w:gridCol w:w="249"/>
        <w:gridCol w:w="442"/>
        <w:gridCol w:w="146"/>
        <w:gridCol w:w="146"/>
        <w:gridCol w:w="196"/>
        <w:gridCol w:w="691"/>
        <w:gridCol w:w="146"/>
        <w:gridCol w:w="146"/>
        <w:gridCol w:w="260"/>
        <w:gridCol w:w="761"/>
        <w:gridCol w:w="166"/>
        <w:gridCol w:w="146"/>
        <w:gridCol w:w="217"/>
        <w:gridCol w:w="834"/>
        <w:gridCol w:w="166"/>
        <w:gridCol w:w="146"/>
        <w:gridCol w:w="236"/>
        <w:gridCol w:w="837"/>
        <w:gridCol w:w="412"/>
      </w:tblGrid>
      <w:tr>
        <w:trPr/>
        <w:tc>
          <w:tcPr>
            <w:tcW w:w="23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23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1"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Other</w:t>
              <w:br/>
              <w:t>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73"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412" w:type="dxa"/>
            <w:tcBorders/>
            <w:shd w:fill="FFFFFF" w:val="clear"/>
            <w:vAlign w:val="center"/>
          </w:tcPr>
          <w:p>
            <w:pPr>
              <w:pStyle w:val="TableContents"/>
              <w:bidi w:val="0"/>
              <w:spacing w:before="0" w:after="283"/>
              <w:jc w:val="center"/>
              <w:rPr/>
            </w:pPr>
            <w:r>
              <w:rPr/>
              <w:t> </w:t>
            </w:r>
          </w:p>
        </w:tc>
      </w:tr>
      <w:tr>
        <w:trPr/>
        <w:tc>
          <w:tcPr>
            <w:tcW w:w="23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62"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December 31, 2021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40,587,067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44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564,993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6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3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(201,985</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37"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363,049</w:t>
            </w:r>
          </w:p>
        </w:tc>
        <w:tc>
          <w:tcPr>
            <w:tcW w:w="412" w:type="dxa"/>
            <w:tcBorders/>
            <w:shd w:fill="CFF0FC" w:val="clear"/>
            <w:vAlign w:val="center"/>
          </w:tcPr>
          <w:p>
            <w:pPr>
              <w:pStyle w:val="TableContents"/>
              <w:bidi w:val="0"/>
              <w:spacing w:before="0" w:after="283"/>
              <w:ind w:left="0" w:right="0" w:firstLine="200"/>
              <w:jc w:val="left"/>
              <w:rPr/>
            </w:pPr>
            <w:r>
              <w:rPr/>
              <w:t> </w:t>
            </w:r>
          </w:p>
        </w:tc>
      </w:tr>
      <w:tr>
        <w:trPr/>
        <w:tc>
          <w:tcPr>
            <w:tcW w:w="2362"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Issuance of common stock under</w:t>
              <w:br/>
              <w:t>   equity incentive plans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69,565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185</w:t>
            </w:r>
          </w:p>
        </w:tc>
        <w:tc>
          <w:tcPr>
            <w:tcW w:w="412" w:type="dxa"/>
            <w:tcBorders/>
            <w:shd w:fill="FFFFFF" w:val="clear"/>
            <w:vAlign w:val="center"/>
          </w:tcPr>
          <w:p>
            <w:pPr>
              <w:pStyle w:val="TableContents"/>
              <w:bidi w:val="0"/>
              <w:spacing w:before="0" w:after="283"/>
              <w:ind w:left="0" w:right="0" w:firstLine="200"/>
              <w:jc w:val="left"/>
              <w:rPr/>
            </w:pPr>
            <w:r>
              <w:rPr/>
              <w:t> </w:t>
            </w:r>
          </w:p>
        </w:tc>
      </w:tr>
      <w:tr>
        <w:trPr/>
        <w:tc>
          <w:tcPr>
            <w:tcW w:w="2362"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Stock-based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5,501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0" w:type="dxa"/>
            <w:tcBorders/>
            <w:shd w:fill="CFF0FC" w:val="clear"/>
            <w:vAlign w:val="center"/>
          </w:tcPr>
          <w:p>
            <w:pPr>
              <w:pStyle w:val="TableContents"/>
              <w:bidi w:val="0"/>
              <w:spacing w:before="0" w:after="283"/>
              <w:jc w:val="left"/>
              <w:rPr/>
            </w:pPr>
            <w:r>
              <w:rPr/>
              <w:t> </w:t>
            </w:r>
          </w:p>
        </w:tc>
        <w:tc>
          <w:tcPr>
            <w:tcW w:w="76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837"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5,501</w:t>
            </w:r>
          </w:p>
        </w:tc>
        <w:tc>
          <w:tcPr>
            <w:tcW w:w="412" w:type="dxa"/>
            <w:tcBorders/>
            <w:shd w:fill="CFF0FC" w:val="clear"/>
            <w:vAlign w:val="center"/>
          </w:tcPr>
          <w:p>
            <w:pPr>
              <w:pStyle w:val="TableContents"/>
              <w:bidi w:val="0"/>
              <w:spacing w:before="0" w:after="283"/>
              <w:ind w:left="0" w:right="0" w:firstLine="200"/>
              <w:jc w:val="left"/>
              <w:rPr/>
            </w:pPr>
            <w:r>
              <w:rPr/>
              <w:t> </w:t>
            </w:r>
          </w:p>
        </w:tc>
      </w:tr>
      <w:tr>
        <w:trPr/>
        <w:tc>
          <w:tcPr>
            <w:tcW w:w="2362"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Unrealized loss on available-for-sale</w:t>
              <w:br/>
              <w:t>   investments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(606</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(606</w:t>
            </w:r>
          </w:p>
        </w:tc>
        <w:tc>
          <w:tcPr>
            <w:tcW w:w="412"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16"/>
              </w:rPr>
            </w:pPr>
            <w:r>
              <w:rPr>
                <w:rFonts w:ascii="Times New Roman" w:hAnsi="Times New Roman"/>
                <w:b w:val="false"/>
                <w:color w:val="000000"/>
                <w:sz w:val="16"/>
              </w:rPr>
              <w:t>)</w:t>
            </w:r>
          </w:p>
        </w:tc>
      </w:tr>
      <w:tr>
        <w:trPr/>
        <w:tc>
          <w:tcPr>
            <w:tcW w:w="2362"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(24,533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(24,533</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2362"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March 31, 2022</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40,656,632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570,679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(226,518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343,596</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62"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Issuance of common stock under</w:t>
              <w:br/>
              <w:t>   equity incentive plans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44,618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0" w:type="dxa"/>
            <w:tcBorders/>
            <w:shd w:fill="CFF0FC" w:val="clear"/>
            <w:vAlign w:val="center"/>
          </w:tcPr>
          <w:p>
            <w:pPr>
              <w:pStyle w:val="TableContents"/>
              <w:bidi w:val="0"/>
              <w:spacing w:before="0" w:after="283"/>
              <w:jc w:val="left"/>
              <w:rPr/>
            </w:pPr>
            <w:r>
              <w:rPr/>
              <w:t> </w:t>
            </w:r>
          </w:p>
        </w:tc>
        <w:tc>
          <w:tcPr>
            <w:tcW w:w="76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837"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155</w:t>
            </w:r>
          </w:p>
        </w:tc>
        <w:tc>
          <w:tcPr>
            <w:tcW w:w="412" w:type="dxa"/>
            <w:tcBorders/>
            <w:shd w:fill="CFF0FC" w:val="clear"/>
            <w:vAlign w:val="center"/>
          </w:tcPr>
          <w:p>
            <w:pPr>
              <w:pStyle w:val="TableContents"/>
              <w:bidi w:val="0"/>
              <w:spacing w:before="0" w:after="283"/>
              <w:ind w:left="0" w:right="0" w:firstLine="200"/>
              <w:jc w:val="left"/>
              <w:rPr/>
            </w:pPr>
            <w:r>
              <w:rPr/>
              <w:t> </w:t>
            </w:r>
          </w:p>
        </w:tc>
      </w:tr>
      <w:tr>
        <w:trPr/>
        <w:tc>
          <w:tcPr>
            <w:tcW w:w="2362"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Issuance of common stock under</w:t>
              <w:br/>
              <w:t>   employee stock purchase plan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44,002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302</w:t>
            </w:r>
          </w:p>
        </w:tc>
        <w:tc>
          <w:tcPr>
            <w:tcW w:w="412" w:type="dxa"/>
            <w:tcBorders/>
            <w:shd w:fill="FFFFFF" w:val="clear"/>
            <w:vAlign w:val="center"/>
          </w:tcPr>
          <w:p>
            <w:pPr>
              <w:pStyle w:val="TableContents"/>
              <w:bidi w:val="0"/>
              <w:spacing w:before="0" w:after="283"/>
              <w:ind w:left="0" w:right="0" w:firstLine="200"/>
              <w:jc w:val="left"/>
              <w:rPr/>
            </w:pPr>
            <w:r>
              <w:rPr/>
              <w:t> </w:t>
            </w:r>
          </w:p>
        </w:tc>
      </w:tr>
      <w:tr>
        <w:trPr/>
        <w:tc>
          <w:tcPr>
            <w:tcW w:w="2362"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Stock-based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5,836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0" w:type="dxa"/>
            <w:tcBorders/>
            <w:shd w:fill="CFF0FC" w:val="clear"/>
            <w:vAlign w:val="center"/>
          </w:tcPr>
          <w:p>
            <w:pPr>
              <w:pStyle w:val="TableContents"/>
              <w:bidi w:val="0"/>
              <w:spacing w:before="0" w:after="283"/>
              <w:jc w:val="left"/>
              <w:rPr/>
            </w:pPr>
            <w:r>
              <w:rPr/>
              <w:t> </w:t>
            </w:r>
          </w:p>
        </w:tc>
        <w:tc>
          <w:tcPr>
            <w:tcW w:w="76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837"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5,836</w:t>
            </w:r>
          </w:p>
        </w:tc>
        <w:tc>
          <w:tcPr>
            <w:tcW w:w="412" w:type="dxa"/>
            <w:tcBorders/>
            <w:shd w:fill="CFF0FC" w:val="clear"/>
            <w:vAlign w:val="center"/>
          </w:tcPr>
          <w:p>
            <w:pPr>
              <w:pStyle w:val="TableContents"/>
              <w:bidi w:val="0"/>
              <w:spacing w:before="0" w:after="283"/>
              <w:ind w:left="0" w:right="0" w:firstLine="200"/>
              <w:jc w:val="left"/>
              <w:rPr/>
            </w:pPr>
            <w:r>
              <w:rPr/>
              <w:t> </w:t>
            </w:r>
          </w:p>
        </w:tc>
      </w:tr>
      <w:tr>
        <w:trPr/>
        <w:tc>
          <w:tcPr>
            <w:tcW w:w="2362"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Unrealized loss on available-for-sale</w:t>
              <w:br/>
              <w:t>   investments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(650</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(650</w:t>
            </w:r>
          </w:p>
        </w:tc>
        <w:tc>
          <w:tcPr>
            <w:tcW w:w="412"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16"/>
              </w:rPr>
            </w:pPr>
            <w:r>
              <w:rPr>
                <w:rFonts w:ascii="Times New Roman" w:hAnsi="Times New Roman"/>
                <w:b w:val="false"/>
                <w:color w:val="000000"/>
                <w:sz w:val="16"/>
              </w:rPr>
              <w:t>)</w:t>
            </w:r>
          </w:p>
        </w:tc>
      </w:tr>
      <w:tr>
        <w:trPr/>
        <w:tc>
          <w:tcPr>
            <w:tcW w:w="2362"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(32,920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(32,920</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2362"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June 30, 2022</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40,745,252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576,972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(259,438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316,319</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62"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Issuance of common stock under</w:t>
              <w:br/>
              <w:t>   equity incentive plans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3,038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0" w:type="dxa"/>
            <w:tcBorders/>
            <w:shd w:fill="CFF0FC" w:val="clear"/>
            <w:vAlign w:val="center"/>
          </w:tcPr>
          <w:p>
            <w:pPr>
              <w:pStyle w:val="TableContents"/>
              <w:bidi w:val="0"/>
              <w:spacing w:before="0" w:after="283"/>
              <w:jc w:val="left"/>
              <w:rPr/>
            </w:pPr>
            <w:r>
              <w:rPr/>
              <w:t> </w:t>
            </w:r>
          </w:p>
        </w:tc>
        <w:tc>
          <w:tcPr>
            <w:tcW w:w="76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837"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w:t>
            </w:r>
          </w:p>
        </w:tc>
        <w:tc>
          <w:tcPr>
            <w:tcW w:w="412" w:type="dxa"/>
            <w:tcBorders/>
            <w:shd w:fill="CFF0FC" w:val="clear"/>
            <w:vAlign w:val="center"/>
          </w:tcPr>
          <w:p>
            <w:pPr>
              <w:pStyle w:val="TableContents"/>
              <w:bidi w:val="0"/>
              <w:spacing w:before="0" w:after="283"/>
              <w:ind w:left="0" w:right="0" w:firstLine="200"/>
              <w:jc w:val="left"/>
              <w:rPr/>
            </w:pPr>
            <w:r>
              <w:rPr/>
              <w:t> </w:t>
            </w:r>
          </w:p>
        </w:tc>
      </w:tr>
      <w:tr>
        <w:trPr/>
        <w:tc>
          <w:tcPr>
            <w:tcW w:w="2362"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6,207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6,207</w:t>
            </w:r>
          </w:p>
        </w:tc>
        <w:tc>
          <w:tcPr>
            <w:tcW w:w="412" w:type="dxa"/>
            <w:tcBorders/>
            <w:shd w:fill="FFFFFF" w:val="clear"/>
            <w:vAlign w:val="center"/>
          </w:tcPr>
          <w:p>
            <w:pPr>
              <w:pStyle w:val="TableContents"/>
              <w:bidi w:val="0"/>
              <w:spacing w:before="0" w:after="283"/>
              <w:ind w:left="0" w:right="0" w:firstLine="200"/>
              <w:jc w:val="left"/>
              <w:rPr/>
            </w:pPr>
            <w:r>
              <w:rPr/>
              <w:t> </w:t>
            </w:r>
          </w:p>
        </w:tc>
      </w:tr>
      <w:tr>
        <w:trPr/>
        <w:tc>
          <w:tcPr>
            <w:tcW w:w="2362"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Unrealized loss on available-for-sale</w:t>
              <w:br/>
              <w:t>   investments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0" w:type="dxa"/>
            <w:tcBorders/>
            <w:shd w:fill="CFF0FC" w:val="clear"/>
            <w:vAlign w:val="center"/>
          </w:tcPr>
          <w:p>
            <w:pPr>
              <w:pStyle w:val="TableContents"/>
              <w:bidi w:val="0"/>
              <w:spacing w:before="0" w:after="283"/>
              <w:jc w:val="left"/>
              <w:rPr/>
            </w:pPr>
            <w:r>
              <w:rPr/>
              <w:t> </w:t>
            </w:r>
          </w:p>
        </w:tc>
        <w:tc>
          <w:tcPr>
            <w:tcW w:w="76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(248</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837"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(248</w:t>
            </w:r>
          </w:p>
        </w:tc>
        <w:tc>
          <w:tcPr>
            <w:tcW w:w="412"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16"/>
              </w:rPr>
            </w:pPr>
            <w:r>
              <w:rPr>
                <w:rFonts w:ascii="Times New Roman" w:hAnsi="Times New Roman"/>
                <w:b w:val="false"/>
                <w:color w:val="000000"/>
                <w:sz w:val="16"/>
              </w:rPr>
              <w:t>)</w:t>
            </w:r>
          </w:p>
        </w:tc>
      </w:tr>
      <w:tr>
        <w:trPr/>
        <w:tc>
          <w:tcPr>
            <w:tcW w:w="2362"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(35,320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(35,320</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2362"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September 30, 2022</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40,748,290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583,184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(294,758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286,963</w:t>
            </w:r>
          </w:p>
        </w:tc>
        <w:tc>
          <w:tcPr>
            <w:tcW w:w="4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See accompanying notes to these condensed consolidated financial statements (unaudited).</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ALX ONCOLOGY HOLDINGS INC.</w:t>
      </w:r>
    </w:p>
    <w:p>
      <w:pPr>
        <w:pStyle w:val="TextBody"/>
        <w:bidi w:val="0"/>
        <w:jc w:val="center"/>
        <w:rPr>
          <w:rFonts w:ascii="Times New Roman" w:hAnsi="Times New Roman"/>
          <w:b/>
          <w:color w:val="000000"/>
          <w:sz w:val="20"/>
        </w:rPr>
      </w:pPr>
      <w:bookmarkStart w:id="9" w:name="part1_item1_cf"/>
      <w:bookmarkEnd w:id="9"/>
      <w:r>
        <w:rPr>
          <w:rFonts w:ascii="Times New Roman" w:hAnsi="Times New Roman"/>
          <w:b/>
          <w:color w:val="000000"/>
          <w:sz w:val="20"/>
        </w:rPr>
        <w:t>Condensed Consolidated Statements of Cash Flows</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(unaudited)</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(in thousands)</w:t>
      </w:r>
    </w:p>
    <w:p>
      <w:pPr>
        <w:pStyle w:val="TextBody"/>
        <w:bidi w:val="0"/>
        <w:jc w:val="left"/>
        <w:rPr/>
      </w:pPr>
      <w:r>
        <w:rPr/>
        <w:t> </w:t>
      </w:r>
    </w:p>
    <w:tbl>
      <w:tblPr>
        <w:tblW w:w="8974" w:type="dxa"/>
        <w:jc w:val="left"/>
        <w:tblInd w:w="0" w:type="dxa"/>
        <w:tblLayout w:type="fixed"/>
        <w:tblCellMar>
          <w:top w:w="28" w:type="dxa"/>
          <w:left w:w="28" w:type="dxa"/>
          <w:bottom w:w="28" w:type="dxa"/>
          <w:right w:w="28" w:type="dxa"/>
        </w:tblCellMar>
      </w:tblPr>
      <w:tblGrid>
        <w:gridCol w:w="5811"/>
        <w:gridCol w:w="146"/>
        <w:gridCol w:w="196"/>
        <w:gridCol w:w="751"/>
        <w:gridCol w:w="166"/>
        <w:gridCol w:w="146"/>
        <w:gridCol w:w="196"/>
        <w:gridCol w:w="751"/>
        <w:gridCol w:w="811"/>
      </w:tblGrid>
      <w:tr>
        <w:trPr/>
        <w:tc>
          <w:tcPr>
            <w:tcW w:w="5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58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811" w:type="dxa"/>
            <w:tcBorders/>
            <w:shd w:fill="FFFFFF" w:val="clear"/>
            <w:vAlign w:val="center"/>
          </w:tcPr>
          <w:p>
            <w:pPr>
              <w:pStyle w:val="TableContents"/>
              <w:bidi w:val="0"/>
              <w:spacing w:before="0" w:after="283"/>
              <w:jc w:val="center"/>
              <w:rPr/>
            </w:pPr>
            <w:r>
              <w:rPr/>
              <w:t> </w:t>
            </w:r>
          </w:p>
        </w:tc>
      </w:tr>
      <w:tr>
        <w:trPr/>
        <w:tc>
          <w:tcPr>
            <w:tcW w:w="58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11"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Operating activities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jc w:val="right"/>
              <w:rPr/>
            </w:pPr>
            <w:r>
              <w:rPr/>
              <w:t> </w:t>
            </w:r>
          </w:p>
        </w:tc>
      </w:tr>
      <w:tr>
        <w:trPr/>
        <w:tc>
          <w:tcPr>
            <w:tcW w:w="581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Net loss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(115,333</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(92,773</w:t>
            </w:r>
          </w:p>
        </w:tc>
        <w:tc>
          <w:tcPr>
            <w:tcW w:w="81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581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Adjustments to reconcile net loss to 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ind w:left="0" w:right="0" w:firstLine="200"/>
              <w:jc w:val="right"/>
              <w:rPr/>
            </w:pPr>
            <w:r>
              <w:rPr/>
              <w:t> </w:t>
            </w:r>
          </w:p>
        </w:tc>
      </w:tr>
      <w:tr>
        <w:trPr/>
        <w:tc>
          <w:tcPr>
            <w:tcW w:w="581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629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237</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581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Non-cash lease costs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920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816</w:t>
            </w:r>
          </w:p>
        </w:tc>
        <w:tc>
          <w:tcPr>
            <w:tcW w:w="811" w:type="dxa"/>
            <w:tcBorders/>
            <w:shd w:fill="CFF0FC" w:val="clear"/>
            <w:vAlign w:val="center"/>
          </w:tcPr>
          <w:p>
            <w:pPr>
              <w:pStyle w:val="TableContents"/>
              <w:bidi w:val="0"/>
              <w:spacing w:before="0" w:after="283"/>
              <w:ind w:left="0" w:right="0" w:firstLine="200"/>
              <w:jc w:val="left"/>
              <w:rPr/>
            </w:pPr>
            <w:r>
              <w:rPr/>
              <w:t> </w:t>
            </w:r>
          </w:p>
        </w:tc>
      </w:tr>
      <w:tr>
        <w:trPr/>
        <w:tc>
          <w:tcPr>
            <w:tcW w:w="581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Stock-based compensation</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19,552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17,544</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581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Net amortization of premiums and accretion of discounts on investments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(4,606</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(256</w:t>
            </w:r>
          </w:p>
        </w:tc>
        <w:tc>
          <w:tcPr>
            <w:tcW w:w="81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16"/>
              </w:rPr>
            </w:pPr>
            <w:r>
              <w:rPr>
                <w:rFonts w:ascii="Times New Roman" w:hAnsi="Times New Roman"/>
                <w:b w:val="false"/>
                <w:color w:val="000000"/>
                <w:sz w:val="16"/>
              </w:rPr>
              <w:t>)</w:t>
            </w:r>
          </w:p>
        </w:tc>
      </w:tr>
      <w:tr>
        <w:trPr/>
        <w:tc>
          <w:tcPr>
            <w:tcW w:w="581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Accretion of term loan discount and issuance costs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581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Changes in operating assets and liabilities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ind w:left="0" w:right="0" w:firstLine="400"/>
              <w:jc w:val="right"/>
              <w:rPr/>
            </w:pPr>
            <w:r>
              <w:rPr/>
              <w:t> </w:t>
            </w:r>
          </w:p>
        </w:tc>
      </w:tr>
      <w:tr>
        <w:trPr/>
        <w:tc>
          <w:tcPr>
            <w:tcW w:w="5811"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16"/>
              </w:rPr>
            </w:pPr>
            <w:r>
              <w:rPr>
                <w:rFonts w:ascii="Times New Roman" w:hAnsi="Times New Roman"/>
                <w:b w:val="false"/>
                <w:color w:val="000000"/>
                <w:sz w:val="16"/>
              </w:rPr>
              <w:t>Prepaid expenses and other current assets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(4,310</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(2,613</w:t>
            </w:r>
          </w:p>
        </w:tc>
        <w:tc>
          <w:tcPr>
            <w:tcW w:w="811" w:type="dxa"/>
            <w:tcBorders/>
            <w:shd w:fill="FFFFFF" w:val="clear"/>
            <w:vAlign w:val="center"/>
          </w:tcPr>
          <w:p>
            <w:pPr>
              <w:pStyle w:val="TableContents"/>
              <w:bidi w:val="0"/>
              <w:spacing w:before="0" w:after="283"/>
              <w:ind w:left="0" w:right="0" w:firstLine="400"/>
              <w:jc w:val="left"/>
              <w:rPr>
                <w:rFonts w:ascii="Times New Roman" w:hAnsi="Times New Roman"/>
                <w:b w:val="false"/>
                <w:color w:val="000000"/>
                <w:sz w:val="16"/>
              </w:rPr>
            </w:pPr>
            <w:r>
              <w:rPr>
                <w:rFonts w:ascii="Times New Roman" w:hAnsi="Times New Roman"/>
                <w:b w:val="false"/>
                <w:color w:val="000000"/>
                <w:sz w:val="16"/>
              </w:rPr>
              <w:t>)</w:t>
            </w:r>
          </w:p>
        </w:tc>
      </w:tr>
      <w:tr>
        <w:trPr/>
        <w:tc>
          <w:tcPr>
            <w:tcW w:w="5811"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16"/>
              </w:rPr>
            </w:pPr>
            <w:r>
              <w:rPr>
                <w:rFonts w:ascii="Times New Roman" w:hAnsi="Times New Roman"/>
                <w:b w:val="false"/>
                <w:color w:val="000000"/>
                <w:sz w:val="16"/>
              </w:rPr>
              <w:t>Other assets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4,215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(267</w:t>
            </w:r>
          </w:p>
        </w:tc>
        <w:tc>
          <w:tcPr>
            <w:tcW w:w="811" w:type="dxa"/>
            <w:tcBorders/>
            <w:shd w:fill="CFF0FC" w:val="clear"/>
            <w:vAlign w:val="center"/>
          </w:tcPr>
          <w:p>
            <w:pPr>
              <w:pStyle w:val="TableContents"/>
              <w:bidi w:val="0"/>
              <w:spacing w:before="0" w:after="283"/>
              <w:ind w:left="0" w:right="0" w:firstLine="400"/>
              <w:jc w:val="left"/>
              <w:rPr>
                <w:rFonts w:ascii="Times New Roman" w:hAnsi="Times New Roman"/>
                <w:b w:val="false"/>
                <w:color w:val="000000"/>
                <w:sz w:val="16"/>
              </w:rPr>
            </w:pPr>
            <w:r>
              <w:rPr>
                <w:rFonts w:ascii="Times New Roman" w:hAnsi="Times New Roman"/>
                <w:b w:val="false"/>
                <w:color w:val="000000"/>
                <w:sz w:val="16"/>
              </w:rPr>
              <w:t>)</w:t>
            </w:r>
          </w:p>
        </w:tc>
      </w:tr>
      <w:tr>
        <w:trPr/>
        <w:tc>
          <w:tcPr>
            <w:tcW w:w="5811"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16"/>
              </w:rPr>
            </w:pPr>
            <w:r>
              <w:rPr>
                <w:rFonts w:ascii="Times New Roman" w:hAnsi="Times New Roman"/>
                <w:b w:val="false"/>
                <w:color w:val="000000"/>
                <w:sz w:val="16"/>
              </w:rPr>
              <w:t>Accounts payable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4,942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2,052</w:t>
            </w:r>
          </w:p>
        </w:tc>
        <w:tc>
          <w:tcPr>
            <w:tcW w:w="811" w:type="dxa"/>
            <w:tcBorders/>
            <w:shd w:fill="FFFFFF" w:val="clear"/>
            <w:vAlign w:val="center"/>
          </w:tcPr>
          <w:p>
            <w:pPr>
              <w:pStyle w:val="TableContents"/>
              <w:bidi w:val="0"/>
              <w:spacing w:before="0" w:after="283"/>
              <w:ind w:left="0" w:right="0" w:firstLine="400"/>
              <w:jc w:val="left"/>
              <w:rPr/>
            </w:pPr>
            <w:r>
              <w:rPr/>
              <w:t> </w:t>
            </w:r>
          </w:p>
        </w:tc>
      </w:tr>
      <w:tr>
        <w:trPr/>
        <w:tc>
          <w:tcPr>
            <w:tcW w:w="5811"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16"/>
              </w:rPr>
            </w:pPr>
            <w:r>
              <w:rPr>
                <w:rFonts w:ascii="Times New Roman" w:hAnsi="Times New Roman"/>
                <w:b w:val="false"/>
                <w:color w:val="000000"/>
                <w:sz w:val="16"/>
              </w:rPr>
              <w:t>Payable and accrued liabilities due to related party</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(1,385</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1,129</w:t>
            </w:r>
          </w:p>
        </w:tc>
        <w:tc>
          <w:tcPr>
            <w:tcW w:w="811" w:type="dxa"/>
            <w:tcBorders/>
            <w:shd w:fill="CFF0FC" w:val="clear"/>
            <w:vAlign w:val="center"/>
          </w:tcPr>
          <w:p>
            <w:pPr>
              <w:pStyle w:val="TableContents"/>
              <w:bidi w:val="0"/>
              <w:spacing w:before="0" w:after="283"/>
              <w:ind w:left="0" w:right="0" w:firstLine="400"/>
              <w:jc w:val="left"/>
              <w:rPr/>
            </w:pPr>
            <w:r>
              <w:rPr/>
              <w:t> </w:t>
            </w:r>
          </w:p>
        </w:tc>
      </w:tr>
      <w:tr>
        <w:trPr/>
        <w:tc>
          <w:tcPr>
            <w:tcW w:w="5811"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16"/>
              </w:rPr>
            </w:pPr>
            <w:r>
              <w:rPr>
                <w:rFonts w:ascii="Times New Roman" w:hAnsi="Times New Roman"/>
                <w:b w:val="false"/>
                <w:color w:val="000000"/>
                <w:sz w:val="16"/>
              </w:rPr>
              <w:t>Accrued expenses and other current liabilities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6,491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6,412</w:t>
            </w:r>
          </w:p>
        </w:tc>
        <w:tc>
          <w:tcPr>
            <w:tcW w:w="811" w:type="dxa"/>
            <w:tcBorders/>
            <w:shd w:fill="FFFFFF" w:val="clear"/>
            <w:vAlign w:val="center"/>
          </w:tcPr>
          <w:p>
            <w:pPr>
              <w:pStyle w:val="TableContents"/>
              <w:bidi w:val="0"/>
              <w:spacing w:before="0" w:after="283"/>
              <w:ind w:left="0" w:right="0" w:firstLine="400"/>
              <w:jc w:val="left"/>
              <w:rPr/>
            </w:pPr>
            <w:r>
              <w:rPr/>
              <w:t> </w:t>
            </w:r>
          </w:p>
        </w:tc>
      </w:tr>
      <w:tr>
        <w:trPr/>
        <w:tc>
          <w:tcPr>
            <w:tcW w:w="5811"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16"/>
              </w:rPr>
            </w:pPr>
            <w:r>
              <w:rPr>
                <w:rFonts w:ascii="Times New Roman" w:hAnsi="Times New Roman"/>
                <w:b w:val="false"/>
                <w:color w:val="000000"/>
                <w:sz w:val="16"/>
              </w:rPr>
              <w:t>Other non-current liabilities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(836</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b w:val="false"/>
                <w:color w:val="000000"/>
                <w:sz w:val="16"/>
              </w:rPr>
            </w:pPr>
            <w:r>
              <w:rPr>
                <w:rFonts w:ascii="Times New Roman" w:hAnsi="Times New Roman"/>
                <w:b w:val="false"/>
                <w:color w:val="000000"/>
                <w:sz w:val="16"/>
              </w:rPr>
              <w:t>)</w:t>
            </w:r>
          </w:p>
        </w:tc>
      </w:tr>
      <w:tr>
        <w:trPr/>
        <w:tc>
          <w:tcPr>
            <w:tcW w:w="5811" w:type="dxa"/>
            <w:tcBorders/>
            <w:shd w:fill="FFFFFF" w:val="clear"/>
            <w:vAlign w:val="center"/>
          </w:tcPr>
          <w:p>
            <w:pPr>
              <w:pStyle w:val="TableContents"/>
              <w:bidi w:val="0"/>
              <w:spacing w:before="0" w:after="283"/>
              <w:ind w:left="600" w:right="0" w:firstLine="600"/>
              <w:jc w:val="left"/>
              <w:rPr>
                <w:rFonts w:ascii="Times New Roman" w:hAnsi="Times New Roman"/>
                <w:b w:val="false"/>
                <w:color w:val="000000"/>
                <w:sz w:val="16"/>
              </w:rPr>
            </w:pPr>
            <w:r>
              <w:rPr>
                <w:rFonts w:ascii="Times New Roman" w:hAnsi="Times New Roman"/>
                <w:b w:val="false"/>
                <w:color w:val="000000"/>
                <w:sz w:val="16"/>
              </w:rPr>
              <w:t>Net cash used in operating activities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(90,686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(68,555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5811"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Investing activities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ind w:left="0" w:right="0" w:firstLine="200"/>
              <w:jc w:val="right"/>
              <w:rPr/>
            </w:pPr>
            <w:r>
              <w:rPr/>
              <w:t> </w:t>
            </w:r>
          </w:p>
        </w:tc>
      </w:tr>
      <w:tr>
        <w:trPr/>
        <w:tc>
          <w:tcPr>
            <w:tcW w:w="581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Purchase of investments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(171,619</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(315,820</w:t>
            </w:r>
          </w:p>
        </w:tc>
        <w:tc>
          <w:tcPr>
            <w:tcW w:w="81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16"/>
              </w:rPr>
            </w:pPr>
            <w:r>
              <w:rPr>
                <w:rFonts w:ascii="Times New Roman" w:hAnsi="Times New Roman"/>
                <w:b w:val="false"/>
                <w:color w:val="000000"/>
                <w:sz w:val="16"/>
              </w:rPr>
              <w:t>)</w:t>
            </w:r>
          </w:p>
        </w:tc>
      </w:tr>
      <w:tr>
        <w:trPr/>
        <w:tc>
          <w:tcPr>
            <w:tcW w:w="581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Maturities of investments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234,068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70,500</w:t>
            </w:r>
          </w:p>
        </w:tc>
        <w:tc>
          <w:tcPr>
            <w:tcW w:w="811" w:type="dxa"/>
            <w:tcBorders/>
            <w:shd w:fill="CFF0FC" w:val="clear"/>
            <w:vAlign w:val="center"/>
          </w:tcPr>
          <w:p>
            <w:pPr>
              <w:pStyle w:val="TableContents"/>
              <w:bidi w:val="0"/>
              <w:spacing w:before="0" w:after="283"/>
              <w:ind w:left="0" w:right="0" w:firstLine="200"/>
              <w:jc w:val="left"/>
              <w:rPr/>
            </w:pPr>
            <w:r>
              <w:rPr/>
              <w:t> </w:t>
            </w:r>
          </w:p>
        </w:tc>
      </w:tr>
      <w:tr>
        <w:trPr/>
        <w:tc>
          <w:tcPr>
            <w:tcW w:w="581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Purchase of property and equipment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(1,126</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(1,038</w:t>
            </w:r>
          </w:p>
        </w:tc>
        <w:tc>
          <w:tcPr>
            <w:tcW w:w="81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581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Net cash provided by (used in) investing activities</w:t>
            </w:r>
          </w:p>
        </w:tc>
        <w:tc>
          <w:tcPr>
            <w:tcW w:w="146" w:type="dxa"/>
            <w:tcBorders/>
            <w:shd w:fill="CFF0FC" w:val="cle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61,323</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(246,358</w:t>
            </w:r>
          </w:p>
        </w:tc>
        <w:tc>
          <w:tcPr>
            <w:tcW w:w="811"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581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Financing activities</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811" w:type="dxa"/>
            <w:tcBorders/>
            <w:shd w:fill="FFFFFF" w:val="clear"/>
            <w:vAlign w:val="center"/>
          </w:tcPr>
          <w:p>
            <w:pPr>
              <w:pStyle w:val="TableContents"/>
              <w:bidi w:val="0"/>
              <w:spacing w:before="0" w:after="283"/>
              <w:ind w:left="0" w:right="0" w:firstLine="200"/>
              <w:jc w:val="right"/>
              <w:rPr/>
            </w:pPr>
            <w:r>
              <w:rPr/>
              <w:t> </w:t>
            </w:r>
          </w:p>
        </w:tc>
      </w:tr>
      <w:tr>
        <w:trPr/>
        <w:tc>
          <w:tcPr>
            <w:tcW w:w="581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Proceeds from exercise of stock options under equity incentive plan</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345</w:t>
            </w:r>
          </w:p>
        </w:tc>
        <w:tc>
          <w:tcPr>
            <w:tcW w:w="811" w:type="dxa"/>
            <w:tcBorders/>
            <w:shd w:fill="CFF0FC" w:val="clear"/>
            <w:vAlign w:val="center"/>
          </w:tcPr>
          <w:p>
            <w:pPr>
              <w:pStyle w:val="TableContents"/>
              <w:bidi w:val="0"/>
              <w:spacing w:before="0" w:after="283"/>
              <w:ind w:left="0" w:right="0" w:firstLine="200"/>
              <w:jc w:val="left"/>
              <w:rPr/>
            </w:pPr>
            <w:r>
              <w:rPr/>
              <w:t> </w:t>
            </w:r>
          </w:p>
        </w:tc>
      </w:tr>
      <w:tr>
        <w:trPr/>
        <w:tc>
          <w:tcPr>
            <w:tcW w:w="581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Proceeds from issuance of common stock under employee stock purchase plan</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338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302</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581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Principal payments on finance leases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(325</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(281</w:t>
            </w:r>
          </w:p>
        </w:tc>
        <w:tc>
          <w:tcPr>
            <w:tcW w:w="81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581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Net cash provided by financing activities</w:t>
            </w:r>
          </w:p>
        </w:tc>
        <w:tc>
          <w:tcPr>
            <w:tcW w:w="146" w:type="dxa"/>
            <w:tcBorders/>
            <w:shd w:fill="FFFFFF" w:val="cle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125</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366</w:t>
            </w:r>
          </w:p>
        </w:tc>
        <w:tc>
          <w:tcPr>
            <w:tcW w:w="81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581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Net increase (decrease) in cash, cash equivalents and restricted cash</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(29,238</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(314,547</w:t>
            </w:r>
          </w:p>
        </w:tc>
        <w:tc>
          <w:tcPr>
            <w:tcW w:w="81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581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Cash, cash equivalents and restricted cash at beginning of year</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48,888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363,667</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1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Cash, cash equivalents and restricted cash at end of period</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19,650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49,120</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811" w:type="dxa"/>
            <w:tcBorders/>
            <w:shd w:fill="FFFFFF" w:val="clear"/>
            <w:vAlign w:val="center"/>
          </w:tcPr>
          <w:p>
            <w:pPr>
              <w:pStyle w:val="TableContents"/>
              <w:bidi w:val="0"/>
              <w:spacing w:before="0" w:after="283"/>
              <w:jc w:val="right"/>
              <w:rPr/>
            </w:pPr>
            <w:r>
              <w:rPr/>
              <w:t> </w:t>
            </w:r>
          </w:p>
        </w:tc>
      </w:tr>
      <w:tr>
        <w:trPr/>
        <w:tc>
          <w:tcPr>
            <w:tcW w:w="5811"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Supplemental disclosure of non-cash investing and financing activities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ind w:left="0" w:right="0" w:firstLine="200"/>
              <w:jc w:val="right"/>
              <w:rPr/>
            </w:pPr>
            <w:r>
              <w:rPr/>
              <w:t> </w:t>
            </w:r>
          </w:p>
        </w:tc>
      </w:tr>
      <w:tr>
        <w:trPr/>
        <w:tc>
          <w:tcPr>
            <w:tcW w:w="581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Purchase of property and equipment in accounts payable and accrued expenses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1,376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876</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581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Right-of-use asset acquired under operating leases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4,684</w:t>
            </w:r>
          </w:p>
        </w:tc>
        <w:tc>
          <w:tcPr>
            <w:tcW w:w="811" w:type="dxa"/>
            <w:tcBorders/>
            <w:shd w:fill="CFF0FC" w:val="clear"/>
            <w:vAlign w:val="center"/>
          </w:tcPr>
          <w:p>
            <w:pPr>
              <w:pStyle w:val="TableContents"/>
              <w:bidi w:val="0"/>
              <w:spacing w:before="0" w:after="283"/>
              <w:ind w:left="0" w:right="0" w:firstLine="200"/>
              <w:jc w:val="left"/>
              <w:rPr/>
            </w:pPr>
            <w:r>
              <w:rPr/>
              <w:t> </w:t>
            </w:r>
          </w:p>
        </w:tc>
      </w:tr>
      <w:tr>
        <w:trPr/>
        <w:tc>
          <w:tcPr>
            <w:tcW w:w="581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Right-of-use asset acquired under finance leases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1,187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811" w:type="dxa"/>
            <w:tcBorders/>
            <w:shd w:fill="FFFFFF" w:val="clear"/>
            <w:vAlign w:val="center"/>
          </w:tcPr>
          <w:p>
            <w:pPr>
              <w:pStyle w:val="TableContents"/>
              <w:bidi w:val="0"/>
              <w:spacing w:before="0" w:after="283"/>
              <w:jc w:val="left"/>
              <w:rPr/>
            </w:pPr>
            <w:r>
              <w:rPr/>
              <w:t> </w:t>
            </w:r>
          </w:p>
        </w:tc>
      </w:tr>
      <w:tr>
        <w:trPr/>
        <w:tc>
          <w:tcPr>
            <w:tcW w:w="58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left"/>
              <w:rPr/>
            </w:pPr>
            <w:r>
              <w:rPr/>
              <w:t> </w:t>
            </w:r>
          </w:p>
        </w:tc>
      </w:tr>
      <w:tr>
        <w:trPr/>
        <w:tc>
          <w:tcPr>
            <w:tcW w:w="581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Reconciliation of cash and cash equivalents and restricted cash:</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581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Cash and cash equivalents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19,584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49,054</w:t>
            </w:r>
          </w:p>
        </w:tc>
        <w:tc>
          <w:tcPr>
            <w:tcW w:w="811" w:type="dxa"/>
            <w:tcBorders/>
            <w:shd w:fill="CFF0FC" w:val="clear"/>
            <w:vAlign w:val="center"/>
          </w:tcPr>
          <w:p>
            <w:pPr>
              <w:pStyle w:val="TableContents"/>
              <w:bidi w:val="0"/>
              <w:spacing w:before="0" w:after="283"/>
              <w:ind w:left="0" w:right="0" w:firstLine="200"/>
              <w:jc w:val="left"/>
              <w:rPr/>
            </w:pPr>
            <w:r>
              <w:rPr/>
              <w:t> </w:t>
            </w:r>
          </w:p>
        </w:tc>
      </w:tr>
      <w:tr>
        <w:trPr/>
        <w:tc>
          <w:tcPr>
            <w:tcW w:w="581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Restricted cash (included in other assets)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66</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11"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cash and cash equivalents and restricted cash</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19,650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49,120</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See accompanying notes to these condensed consolidated financial statements (unaudited).</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ALX ONCOLOGY HOLDINGS INC.</w:t>
      </w:r>
    </w:p>
    <w:p>
      <w:pPr>
        <w:pStyle w:val="TextBody"/>
        <w:bidi w:val="0"/>
        <w:jc w:val="center"/>
        <w:rPr>
          <w:rFonts w:ascii="Times New Roman" w:hAnsi="Times New Roman"/>
          <w:b/>
          <w:color w:val="000000"/>
          <w:sz w:val="20"/>
        </w:rPr>
      </w:pPr>
      <w:bookmarkStart w:id="10" w:name="part1_item1_notes"/>
      <w:bookmarkEnd w:id="10"/>
      <w:r>
        <w:rPr>
          <w:rFonts w:ascii="Times New Roman" w:hAnsi="Times New Roman"/>
          <w:b/>
          <w:color w:val="000000"/>
          <w:sz w:val="20"/>
        </w:rPr>
        <w:t>Notes to Condensed Consolidated Financial Statements</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(unaudited)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 ORGANIZATION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Organization</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ALX Oncology Holdings Inc., or the Company, was formed as a Delaware corporation on April 1, 2020, or date of inception. The Company was formed for the purpose of completing the Company’s initial public offering of its common stock and related transactions in order to carry on the business of ALX Oncology Limited. The Company is a clinical-stage immuno-oncology company focused on helping patients fight cancer by developing therapies that block the CD47 checkpoint pathway and bridge the innate and adaptive immune system.</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Company's subsidiaries include: ALX Oncology Limited, incorporated in Ireland, and a wholly-owned subsidiary of ALX Oncology Holdings Inc.; ALX Oncology Inc., incorporated in Delaware, and a wholly-owned subsidiary of ALX Oncology Limited; and Alexo International Holdings Limited, incorporated in Malta, and a wholly-owned subsidiary of ALX Oncology Inc. (collectively, the Subsidiaries).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As of September 30, 2023, the Company has devoted substantially all of its efforts to the formation and financing of the Company, as well as product development, and has not realized product revenues from its planned principal operations. The Company does not have manufacturing facilities and all manufacturing related activities are contracted out to third-party service providers.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Management expects to incur additional losses in the future to conduct product candidate research and development and pre-commercialization activities and recognizes that the Company will likely raise additional capital to fully implement its business plan. The Company intends to raise such capital through the sale of additional equity, debt financings and/or strategic alliances with third parties. However, there can be no assurance that the Company will be successful in acquiring additional funding at levels sufficient to fund its operations or on terms acceptable to the Company. If the Company is unsuccessful in its efforts to raise additional financing, the Company could be required to significantly reduce operating expenses and delay, reduce the scope of or eliminate some of its development programs or its future commercialization efforts, out-license intellectual property rights to its product candidates and sell unsecured assets, or a combination of the above, any of which may have a material adverse effect on the Company’s business, results of operations, financial condition and/or its ability to fund its scheduled obligations on a timely basis or at all. The Company believes that the existing capital resources will be sufficient to fund the projected operating requirements for at least twelve months after the filing date.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(2) SIGNIFICANT ACCOUNTING POLICIES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Basis of Preparation</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accompanying unaudited condensed consolidated financial statements have been prepared in accordance with generally accepted accounting principles in the United States, or U.S. GAAP, and applicable rules and regulations of the Securities and Exchange Commission, or SEC, regarding interim financial reporting. Certain information and note disclosures normally included in the financial statements prepared in accordance with U.S. GAAP have been condensed or omitted pursuant to such rules and regulations. As such, the information included in this Quarterly Report on Form 10-Q should be read in conjunction with the consolidated financial statements and accompanying notes included in the Annual Report on Form 10-K for the year ended December 31, 2022 filed with the SEC on March 9, 2023.</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condensed consolidated balance sheet as of September 30, 2023 included herein was derived from the audited financial statements as of that date, but does not include all disclosures including notes required by U.S. GAAP.</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accompanying condensed consolidated financial statements reflect all normal recurring adjustments that are necessary to present fairly the results for the interim periods presented. Interim results are not necessarily indicative of the results for the full year ending December 31, 2023.</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Reclassifications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Certain amounts in the prior period have been reclassified to conform to the current period presentation.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Principles of Consolidation</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All intercompany balances and transactions have been eliminated in consolidation.</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preparation of the condensed consolidated financial statements in conformity with U.S.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periods. On an ongoing basis, management evaluates its estimates, including, but not limited to, those related to the estimated useful lives of long-lived assets, clinical trial accruals, fair value of assets and liabilities, fair value of investments and stock-based compensation. Management bases its estimates on historical experience and on various other market-specific and relevant assumptions that management believes to be reasonable under the circumstances. Actual results could differ from those estimates.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Significant Accounting Policies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There have been no new or material changes to the significant accounting policies discussed in the Company’s Annual Report on Form 10-K for the year ended December 31, 2022.</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None.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(3) FAIR VALUE OF FINANCIAL INSTRUMENTS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fair value of the Company’s financial assets and liabilities are determined in accordance with the fair value hierarchy established in ASC 820, Fair Value Measurements and Disclosures.</w:t>
      </w:r>
      <w:r>
        <w:rPr>
          <w:rFonts w:ascii="Times New Roman" w:hAnsi="Times New Roman"/>
          <w:color w:val="000000"/>
          <w:sz w:val="20"/>
        </w:rPr>
        <w:t xml:space="preserve"> </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The following table presents the Company’s investments, which consist of cash equivalents and investments classified as available-for-sale investments, that are measured at fair value on a recurring basis by level within the fair value hierarchy as of September 30, 2023 and December 31, 2022 (in thousands):</w:t>
      </w:r>
    </w:p>
    <w:tbl>
      <w:tblPr>
        <w:tblW w:w="10205" w:type="dxa"/>
        <w:jc w:val="left"/>
        <w:tblInd w:w="0" w:type="dxa"/>
        <w:tblLayout w:type="fixed"/>
        <w:tblCellMar>
          <w:top w:w="28" w:type="dxa"/>
          <w:left w:w="28" w:type="dxa"/>
          <w:bottom w:w="28" w:type="dxa"/>
          <w:right w:w="28" w:type="dxa"/>
        </w:tblCellMar>
      </w:tblPr>
      <w:tblGrid>
        <w:gridCol w:w="2513"/>
        <w:gridCol w:w="146"/>
        <w:gridCol w:w="1010"/>
        <w:gridCol w:w="146"/>
        <w:gridCol w:w="270"/>
        <w:gridCol w:w="1008"/>
        <w:gridCol w:w="146"/>
        <w:gridCol w:w="146"/>
        <w:gridCol w:w="524"/>
        <w:gridCol w:w="862"/>
        <w:gridCol w:w="146"/>
        <w:gridCol w:w="146"/>
        <w:gridCol w:w="433"/>
        <w:gridCol w:w="992"/>
        <w:gridCol w:w="166"/>
        <w:gridCol w:w="146"/>
        <w:gridCol w:w="214"/>
        <w:gridCol w:w="795"/>
        <w:gridCol w:w="396"/>
      </w:tblGrid>
      <w:tr>
        <w:trPr/>
        <w:tc>
          <w:tcPr>
            <w:tcW w:w="25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251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50" w:type="dxa"/>
            <w:gridSpan w:val="1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2023</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1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br/>
              <w:t>Hierarchy</w:t>
              <w:br/>
              <w:t>Level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1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equivalents</w:t>
            </w:r>
          </w:p>
        </w:tc>
        <w:tc>
          <w:tcPr>
            <w:tcW w:w="146" w:type="dxa"/>
            <w:tcBorders/>
            <w:shd w:fill="CFF0FC" w:val="clear"/>
            <w:vAlign w:val="center"/>
          </w:tcPr>
          <w:p>
            <w:pPr>
              <w:pStyle w:val="TableContents"/>
              <w:bidi w:val="0"/>
              <w:spacing w:before="0" w:after="283"/>
              <w:jc w:val="left"/>
              <w:rPr/>
            </w:pPr>
            <w:r>
              <w:rPr/>
              <w:t> </w:t>
            </w:r>
          </w:p>
        </w:tc>
        <w:tc>
          <w:tcPr>
            <w:tcW w:w="1010"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278"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8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2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09" w:type="dxa"/>
            <w:gridSpan w:val="2"/>
            <w:tcBorders/>
            <w:shd w:fill="CFF0FC" w:val="clear"/>
            <w:vAlign w:val="center"/>
          </w:tcPr>
          <w:p>
            <w:pPr>
              <w:pStyle w:val="TableContents"/>
              <w:bidi w:val="0"/>
              <w:spacing w:before="0" w:after="283"/>
              <w:jc w:val="right"/>
              <w:rPr/>
            </w:pPr>
            <w:r>
              <w:rPr/>
              <w:t> </w:t>
            </w:r>
          </w:p>
        </w:tc>
        <w:tc>
          <w:tcPr>
            <w:tcW w:w="396" w:type="dxa"/>
            <w:tcBorders/>
            <w:shd w:fill="CFF0FC" w:val="clear"/>
            <w:vAlign w:val="center"/>
          </w:tcPr>
          <w:p>
            <w:pPr>
              <w:pStyle w:val="TableContents"/>
              <w:bidi w:val="0"/>
              <w:spacing w:before="0" w:after="283"/>
              <w:ind w:left="0" w:right="0" w:firstLine="200"/>
              <w:jc w:val="right"/>
              <w:rPr/>
            </w:pPr>
            <w:r>
              <w:rPr/>
              <w:t> </w:t>
            </w:r>
          </w:p>
        </w:tc>
      </w:tr>
      <w:tr>
        <w:trPr/>
        <w:tc>
          <w:tcPr>
            <w:tcW w:w="2513"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Money market funds</w:t>
            </w:r>
          </w:p>
        </w:tc>
        <w:tc>
          <w:tcPr>
            <w:tcW w:w="146"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Level 1</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0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19,103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9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19,103</w:t>
            </w:r>
          </w:p>
        </w:tc>
        <w:tc>
          <w:tcPr>
            <w:tcW w:w="396" w:type="dxa"/>
            <w:tcBorders/>
            <w:shd w:fill="FFFFFF" w:val="clear"/>
            <w:vAlign w:val="center"/>
          </w:tcPr>
          <w:p>
            <w:pPr>
              <w:pStyle w:val="TableContents"/>
              <w:bidi w:val="0"/>
              <w:spacing w:before="0" w:after="283"/>
              <w:jc w:val="left"/>
              <w:rPr/>
            </w:pPr>
            <w:r>
              <w:rPr/>
              <w:t> </w:t>
            </w:r>
          </w:p>
        </w:tc>
      </w:tr>
      <w:tr>
        <w:trPr/>
        <w:tc>
          <w:tcPr>
            <w:tcW w:w="251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Short-term investments</w:t>
            </w:r>
          </w:p>
        </w:tc>
        <w:tc>
          <w:tcPr>
            <w:tcW w:w="146" w:type="dxa"/>
            <w:tcBorders/>
            <w:shd w:fill="CFF0FC" w:val="clear"/>
            <w:vAlign w:val="center"/>
          </w:tcPr>
          <w:p>
            <w:pPr>
              <w:pStyle w:val="TableContents"/>
              <w:bidi w:val="0"/>
              <w:spacing w:before="0" w:after="283"/>
              <w:jc w:val="left"/>
              <w:rPr/>
            </w:pPr>
            <w:r>
              <w:rPr/>
              <w:t> </w:t>
            </w:r>
          </w:p>
        </w:tc>
        <w:tc>
          <w:tcPr>
            <w:tcW w:w="1010"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278"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8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2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09" w:type="dxa"/>
            <w:gridSpan w:val="2"/>
            <w:tcBorders/>
            <w:shd w:fill="CFF0FC" w:val="clear"/>
            <w:vAlign w:val="center"/>
          </w:tcPr>
          <w:p>
            <w:pPr>
              <w:pStyle w:val="TableContents"/>
              <w:bidi w:val="0"/>
              <w:spacing w:before="0" w:after="283"/>
              <w:jc w:val="right"/>
              <w:rPr/>
            </w:pPr>
            <w:r>
              <w:rPr/>
              <w:t> </w:t>
            </w:r>
          </w:p>
        </w:tc>
        <w:tc>
          <w:tcPr>
            <w:tcW w:w="396" w:type="dxa"/>
            <w:tcBorders/>
            <w:shd w:fill="CFF0FC" w:val="clear"/>
            <w:vAlign w:val="center"/>
          </w:tcPr>
          <w:p>
            <w:pPr>
              <w:pStyle w:val="TableContents"/>
              <w:bidi w:val="0"/>
              <w:spacing w:before="0" w:after="283"/>
              <w:ind w:left="0" w:right="0" w:firstLine="200"/>
              <w:jc w:val="right"/>
              <w:rPr/>
            </w:pPr>
            <w:r>
              <w:rPr/>
              <w:t> </w:t>
            </w:r>
          </w:p>
        </w:tc>
      </w:tr>
      <w:tr>
        <w:trPr/>
        <w:tc>
          <w:tcPr>
            <w:tcW w:w="2513"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U.S. Treasury securities</w:t>
            </w:r>
          </w:p>
        </w:tc>
        <w:tc>
          <w:tcPr>
            <w:tcW w:w="146"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Level 1</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61,987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4"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(96</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61,891</w:t>
            </w:r>
          </w:p>
        </w:tc>
        <w:tc>
          <w:tcPr>
            <w:tcW w:w="396" w:type="dxa"/>
            <w:tcBorders/>
            <w:shd w:fill="FFFFFF" w:val="clear"/>
            <w:vAlign w:val="center"/>
          </w:tcPr>
          <w:p>
            <w:pPr>
              <w:pStyle w:val="TableContents"/>
              <w:bidi w:val="0"/>
              <w:spacing w:before="0" w:after="283"/>
              <w:ind w:left="0" w:right="0" w:firstLine="200"/>
              <w:jc w:val="left"/>
              <w:rPr/>
            </w:pPr>
            <w:r>
              <w:rPr/>
              <w:t> </w:t>
            </w:r>
          </w:p>
        </w:tc>
      </w:tr>
      <w:tr>
        <w:trPr/>
        <w:tc>
          <w:tcPr>
            <w:tcW w:w="2513"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U.S. government agency securities</w:t>
            </w:r>
          </w:p>
        </w:tc>
        <w:tc>
          <w:tcPr>
            <w:tcW w:w="146" w:type="dxa"/>
            <w:tcBorders/>
            <w:shd w:fill="CFF0FC" w:val="clear"/>
            <w:vAlign w:val="center"/>
          </w:tcPr>
          <w:p>
            <w:pPr>
              <w:pStyle w:val="TableContents"/>
              <w:bidi w:val="0"/>
              <w:spacing w:before="0" w:after="283"/>
              <w:jc w:val="left"/>
              <w:rPr/>
            </w:pPr>
            <w:r>
              <w:rPr/>
              <w:t> </w:t>
            </w:r>
          </w:p>
        </w:tc>
        <w:tc>
          <w:tcPr>
            <w:tcW w:w="1010"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Level 2</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100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47,668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4" w:type="dxa"/>
            <w:tcBorders/>
            <w:shd w:fill="CFF0FC" w:val="clear"/>
            <w:vAlign w:val="center"/>
          </w:tcPr>
          <w:p>
            <w:pPr>
              <w:pStyle w:val="TableContents"/>
              <w:bidi w:val="0"/>
              <w:spacing w:before="0" w:after="283"/>
              <w:jc w:val="left"/>
              <w:rPr/>
            </w:pPr>
            <w:r>
              <w:rPr/>
              <w:t> </w:t>
            </w:r>
          </w:p>
        </w:tc>
        <w:tc>
          <w:tcPr>
            <w:tcW w:w="86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3" w:type="dxa"/>
            <w:tcBorders/>
            <w:shd w:fill="CFF0FC" w:val="clear"/>
            <w:vAlign w:val="center"/>
          </w:tcPr>
          <w:p>
            <w:pPr>
              <w:pStyle w:val="TableContents"/>
              <w:bidi w:val="0"/>
              <w:spacing w:before="0" w:after="283"/>
              <w:jc w:val="left"/>
              <w:rPr/>
            </w:pPr>
            <w:r>
              <w:rPr/>
              <w:t> </w:t>
            </w:r>
          </w:p>
        </w:tc>
        <w:tc>
          <w:tcPr>
            <w:tcW w:w="99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(110</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47,560</w:t>
            </w:r>
          </w:p>
        </w:tc>
        <w:tc>
          <w:tcPr>
            <w:tcW w:w="396" w:type="dxa"/>
            <w:tcBorders/>
            <w:shd w:fill="CFF0FC" w:val="clear"/>
            <w:vAlign w:val="center"/>
          </w:tcPr>
          <w:p>
            <w:pPr>
              <w:pStyle w:val="TableContents"/>
              <w:bidi w:val="0"/>
              <w:spacing w:before="0" w:after="283"/>
              <w:ind w:left="0" w:right="0" w:firstLine="200"/>
              <w:jc w:val="left"/>
              <w:rPr/>
            </w:pPr>
            <w:r>
              <w:rPr/>
              <w:t> </w:t>
            </w:r>
          </w:p>
        </w:tc>
      </w:tr>
      <w:tr>
        <w:trPr/>
        <w:tc>
          <w:tcPr>
            <w:tcW w:w="2513"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Corporate debt securities</w:t>
            </w:r>
          </w:p>
        </w:tc>
        <w:tc>
          <w:tcPr>
            <w:tcW w:w="146"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Level 2</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8,753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4"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8,740</w:t>
            </w:r>
          </w:p>
        </w:tc>
        <w:tc>
          <w:tcPr>
            <w:tcW w:w="396" w:type="dxa"/>
            <w:tcBorders/>
            <w:shd w:fill="FFFFFF" w:val="clear"/>
            <w:vAlign w:val="center"/>
          </w:tcPr>
          <w:p>
            <w:pPr>
              <w:pStyle w:val="TableContents"/>
              <w:bidi w:val="0"/>
              <w:spacing w:before="0" w:after="283"/>
              <w:ind w:left="0" w:right="0" w:firstLine="200"/>
              <w:jc w:val="left"/>
              <w:rPr/>
            </w:pPr>
            <w:r>
              <w:rPr/>
              <w:t> </w:t>
            </w:r>
          </w:p>
        </w:tc>
      </w:tr>
      <w:tr>
        <w:trPr/>
        <w:tc>
          <w:tcPr>
            <w:tcW w:w="2513"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Commercial paper</w:t>
            </w:r>
          </w:p>
        </w:tc>
        <w:tc>
          <w:tcPr>
            <w:tcW w:w="146" w:type="dxa"/>
            <w:tcBorders/>
            <w:shd w:fill="CFF0FC" w:val="clear"/>
            <w:vAlign w:val="center"/>
          </w:tcPr>
          <w:p>
            <w:pPr>
              <w:pStyle w:val="TableContents"/>
              <w:bidi w:val="0"/>
              <w:spacing w:before="0" w:after="283"/>
              <w:jc w:val="left"/>
              <w:rPr/>
            </w:pPr>
            <w:r>
              <w:rPr/>
              <w:t> </w:t>
            </w:r>
          </w:p>
        </w:tc>
        <w:tc>
          <w:tcPr>
            <w:tcW w:w="1010"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Level 2</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100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51,474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4" w:type="dxa"/>
            <w:tcBorders/>
            <w:shd w:fill="CFF0FC" w:val="clear"/>
            <w:vAlign w:val="center"/>
          </w:tcPr>
          <w:p>
            <w:pPr>
              <w:pStyle w:val="TableContents"/>
              <w:bidi w:val="0"/>
              <w:spacing w:before="0" w:after="283"/>
              <w:jc w:val="left"/>
              <w:rPr/>
            </w:pPr>
            <w:r>
              <w:rPr/>
              <w:t> </w:t>
            </w:r>
          </w:p>
        </w:tc>
        <w:tc>
          <w:tcPr>
            <w:tcW w:w="86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3" w:type="dxa"/>
            <w:tcBorders/>
            <w:shd w:fill="CFF0FC" w:val="clear"/>
            <w:vAlign w:val="center"/>
          </w:tcPr>
          <w:p>
            <w:pPr>
              <w:pStyle w:val="TableContents"/>
              <w:bidi w:val="0"/>
              <w:spacing w:before="0" w:after="283"/>
              <w:jc w:val="left"/>
              <w:rPr/>
            </w:pPr>
            <w:r>
              <w:rPr/>
              <w:t> </w:t>
            </w:r>
          </w:p>
        </w:tc>
        <w:tc>
          <w:tcPr>
            <w:tcW w:w="99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51,474</w:t>
            </w:r>
          </w:p>
        </w:tc>
        <w:tc>
          <w:tcPr>
            <w:tcW w:w="396" w:type="dxa"/>
            <w:tcBorders/>
            <w:shd w:fill="CFF0FC" w:val="clear"/>
            <w:vAlign w:val="center"/>
          </w:tcPr>
          <w:p>
            <w:pPr>
              <w:pStyle w:val="TableContents"/>
              <w:bidi w:val="0"/>
              <w:spacing w:before="0" w:after="283"/>
              <w:ind w:left="0" w:right="0" w:firstLine="200"/>
              <w:jc w:val="left"/>
              <w:rPr/>
            </w:pPr>
            <w:r>
              <w:rPr/>
              <w:t> </w:t>
            </w:r>
          </w:p>
        </w:tc>
      </w:tr>
      <w:tr>
        <w:trPr/>
        <w:tc>
          <w:tcPr>
            <w:tcW w:w="2513"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Asset-backed securities</w:t>
            </w:r>
          </w:p>
        </w:tc>
        <w:tc>
          <w:tcPr>
            <w:tcW w:w="146"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Level 2</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4"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760</w:t>
            </w:r>
          </w:p>
        </w:tc>
        <w:tc>
          <w:tcPr>
            <w:tcW w:w="396" w:type="dxa"/>
            <w:tcBorders/>
            <w:shd w:fill="FFFFFF" w:val="clear"/>
            <w:vAlign w:val="center"/>
          </w:tcPr>
          <w:p>
            <w:pPr>
              <w:pStyle w:val="TableContents"/>
              <w:bidi w:val="0"/>
              <w:spacing w:before="0" w:after="283"/>
              <w:jc w:val="left"/>
              <w:rPr/>
            </w:pPr>
            <w:r>
              <w:rPr/>
              <w:t> </w:t>
            </w:r>
          </w:p>
        </w:tc>
      </w:tr>
      <w:tr>
        <w:trPr/>
        <w:tc>
          <w:tcPr>
            <w:tcW w:w="251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Long-term investments</w:t>
            </w:r>
          </w:p>
        </w:tc>
        <w:tc>
          <w:tcPr>
            <w:tcW w:w="146" w:type="dxa"/>
            <w:tcBorders/>
            <w:shd w:fill="CFF0FC" w:val="clear"/>
            <w:vAlign w:val="center"/>
          </w:tcPr>
          <w:p>
            <w:pPr>
              <w:pStyle w:val="TableContents"/>
              <w:bidi w:val="0"/>
              <w:spacing w:before="0" w:after="283"/>
              <w:jc w:val="left"/>
              <w:rPr/>
            </w:pPr>
            <w:r>
              <w:rPr/>
              <w:t> </w:t>
            </w:r>
          </w:p>
        </w:tc>
        <w:tc>
          <w:tcPr>
            <w:tcW w:w="1010"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278"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8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2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09" w:type="dxa"/>
            <w:gridSpan w:val="2"/>
            <w:tcBorders/>
            <w:shd w:fill="CFF0FC" w:val="clear"/>
            <w:vAlign w:val="center"/>
          </w:tcPr>
          <w:p>
            <w:pPr>
              <w:pStyle w:val="TableContents"/>
              <w:bidi w:val="0"/>
              <w:spacing w:before="0" w:after="283"/>
              <w:jc w:val="right"/>
              <w:rPr/>
            </w:pPr>
            <w:r>
              <w:rPr/>
              <w:t> </w:t>
            </w:r>
          </w:p>
        </w:tc>
        <w:tc>
          <w:tcPr>
            <w:tcW w:w="396" w:type="dxa"/>
            <w:tcBorders/>
            <w:shd w:fill="CFF0FC" w:val="clear"/>
            <w:vAlign w:val="center"/>
          </w:tcPr>
          <w:p>
            <w:pPr>
              <w:pStyle w:val="TableContents"/>
              <w:bidi w:val="0"/>
              <w:spacing w:before="0" w:after="283"/>
              <w:ind w:left="0" w:right="0" w:firstLine="200"/>
              <w:jc w:val="right"/>
              <w:rPr/>
            </w:pPr>
            <w:r>
              <w:rPr/>
              <w:t> </w:t>
            </w:r>
          </w:p>
        </w:tc>
      </w:tr>
      <w:tr>
        <w:trPr/>
        <w:tc>
          <w:tcPr>
            <w:tcW w:w="2513"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Corporate debt securities</w:t>
            </w:r>
          </w:p>
        </w:tc>
        <w:tc>
          <w:tcPr>
            <w:tcW w:w="146"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Level 2</w:t>
            </w:r>
          </w:p>
        </w:tc>
        <w:tc>
          <w:tcPr>
            <w:tcW w:w="146" w:type="dxa"/>
            <w:tcBorders/>
            <w:shd w:fill="FFFFFF" w:val="cle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6,435</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1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1010"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196,189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195,963</w:t>
            </w:r>
          </w:p>
        </w:tc>
        <w:tc>
          <w:tcPr>
            <w:tcW w:w="3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2513"/>
        <w:gridCol w:w="146"/>
        <w:gridCol w:w="1010"/>
        <w:gridCol w:w="146"/>
        <w:gridCol w:w="270"/>
        <w:gridCol w:w="1008"/>
        <w:gridCol w:w="146"/>
        <w:gridCol w:w="146"/>
        <w:gridCol w:w="524"/>
        <w:gridCol w:w="862"/>
        <w:gridCol w:w="146"/>
        <w:gridCol w:w="146"/>
        <w:gridCol w:w="433"/>
        <w:gridCol w:w="992"/>
        <w:gridCol w:w="166"/>
        <w:gridCol w:w="146"/>
        <w:gridCol w:w="214"/>
        <w:gridCol w:w="795"/>
        <w:gridCol w:w="396"/>
      </w:tblGrid>
      <w:tr>
        <w:trPr/>
        <w:tc>
          <w:tcPr>
            <w:tcW w:w="25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251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50" w:type="dxa"/>
            <w:gridSpan w:val="1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2022</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2513" w:type="dxa"/>
            <w:tcBorders/>
            <w:shd w:fill="FFFFFF" w:val="clear"/>
            <w:vAlign w:val="center"/>
          </w:tcPr>
          <w:p>
            <w:pPr>
              <w:pStyle w:val="TableContents"/>
              <w:bidi w:val="0"/>
              <w:spacing w:before="0" w:after="283"/>
              <w:ind w:left="200" w:right="0" w:firstLine="2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br/>
              <w:t>Hierarchy</w:t>
              <w:br/>
              <w:t>Level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1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equivalents</w:t>
            </w:r>
          </w:p>
        </w:tc>
        <w:tc>
          <w:tcPr>
            <w:tcW w:w="146" w:type="dxa"/>
            <w:tcBorders/>
            <w:shd w:fill="CFF0FC" w:val="clear"/>
            <w:vAlign w:val="center"/>
          </w:tcPr>
          <w:p>
            <w:pPr>
              <w:pStyle w:val="TableContents"/>
              <w:bidi w:val="0"/>
              <w:spacing w:before="0" w:after="283"/>
              <w:jc w:val="left"/>
              <w:rPr/>
            </w:pPr>
            <w:r>
              <w:rPr/>
              <w:t> </w:t>
            </w:r>
          </w:p>
        </w:tc>
        <w:tc>
          <w:tcPr>
            <w:tcW w:w="1010"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278"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8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2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09" w:type="dxa"/>
            <w:gridSpan w:val="2"/>
            <w:tcBorders/>
            <w:shd w:fill="CFF0FC" w:val="clear"/>
            <w:vAlign w:val="center"/>
          </w:tcPr>
          <w:p>
            <w:pPr>
              <w:pStyle w:val="TableContents"/>
              <w:bidi w:val="0"/>
              <w:spacing w:before="0" w:after="283"/>
              <w:jc w:val="left"/>
              <w:rPr/>
            </w:pPr>
            <w:r>
              <w:rPr/>
              <w:t> </w:t>
            </w:r>
          </w:p>
        </w:tc>
        <w:tc>
          <w:tcPr>
            <w:tcW w:w="396" w:type="dxa"/>
            <w:tcBorders/>
            <w:shd w:fill="CFF0FC" w:val="clear"/>
            <w:vAlign w:val="center"/>
          </w:tcPr>
          <w:p>
            <w:pPr>
              <w:pStyle w:val="TableContents"/>
              <w:bidi w:val="0"/>
              <w:spacing w:before="0" w:after="283"/>
              <w:ind w:left="0" w:right="0" w:firstLine="200"/>
              <w:jc w:val="left"/>
              <w:rPr/>
            </w:pPr>
            <w:r>
              <w:rPr/>
              <w:t> </w:t>
            </w:r>
          </w:p>
        </w:tc>
      </w:tr>
      <w:tr>
        <w:trPr/>
        <w:tc>
          <w:tcPr>
            <w:tcW w:w="2513"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Money market funds</w:t>
            </w:r>
          </w:p>
        </w:tc>
        <w:tc>
          <w:tcPr>
            <w:tcW w:w="146"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Level 1</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0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36,690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9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36,690</w:t>
            </w:r>
          </w:p>
        </w:tc>
        <w:tc>
          <w:tcPr>
            <w:tcW w:w="396" w:type="dxa"/>
            <w:tcBorders/>
            <w:shd w:fill="FFFFFF" w:val="clear"/>
            <w:vAlign w:val="center"/>
          </w:tcPr>
          <w:p>
            <w:pPr>
              <w:pStyle w:val="TableContents"/>
              <w:bidi w:val="0"/>
              <w:spacing w:before="0" w:after="283"/>
              <w:ind w:left="0" w:right="0" w:firstLine="200"/>
              <w:jc w:val="left"/>
              <w:rPr/>
            </w:pPr>
            <w:r>
              <w:rPr/>
              <w:t> </w:t>
            </w:r>
          </w:p>
        </w:tc>
      </w:tr>
      <w:tr>
        <w:trPr/>
        <w:tc>
          <w:tcPr>
            <w:tcW w:w="2513"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U.S. government agency securities</w:t>
            </w:r>
          </w:p>
        </w:tc>
        <w:tc>
          <w:tcPr>
            <w:tcW w:w="146" w:type="dxa"/>
            <w:tcBorders/>
            <w:shd w:fill="CFF0FC" w:val="clear"/>
            <w:vAlign w:val="center"/>
          </w:tcPr>
          <w:p>
            <w:pPr>
              <w:pStyle w:val="TableContents"/>
              <w:bidi w:val="0"/>
              <w:spacing w:before="0" w:after="283"/>
              <w:jc w:val="left"/>
              <w:rPr/>
            </w:pPr>
            <w:r>
              <w:rPr/>
              <w:t> </w:t>
            </w:r>
          </w:p>
        </w:tc>
        <w:tc>
          <w:tcPr>
            <w:tcW w:w="1010"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Level 2</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100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3,484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4" w:type="dxa"/>
            <w:tcBorders/>
            <w:shd w:fill="CFF0FC" w:val="clear"/>
            <w:vAlign w:val="center"/>
          </w:tcPr>
          <w:p>
            <w:pPr>
              <w:pStyle w:val="TableContents"/>
              <w:bidi w:val="0"/>
              <w:spacing w:before="0" w:after="283"/>
              <w:jc w:val="left"/>
              <w:rPr/>
            </w:pPr>
            <w:r>
              <w:rPr/>
              <w:t> </w:t>
            </w:r>
          </w:p>
        </w:tc>
        <w:tc>
          <w:tcPr>
            <w:tcW w:w="86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3" w:type="dxa"/>
            <w:tcBorders/>
            <w:shd w:fill="CFF0FC" w:val="clear"/>
            <w:vAlign w:val="center"/>
          </w:tcPr>
          <w:p>
            <w:pPr>
              <w:pStyle w:val="TableContents"/>
              <w:bidi w:val="0"/>
              <w:spacing w:before="0" w:after="283"/>
              <w:jc w:val="left"/>
              <w:rPr/>
            </w:pPr>
            <w:r>
              <w:rPr/>
              <w:t> </w:t>
            </w:r>
          </w:p>
        </w:tc>
        <w:tc>
          <w:tcPr>
            <w:tcW w:w="99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3,484</w:t>
            </w:r>
          </w:p>
        </w:tc>
        <w:tc>
          <w:tcPr>
            <w:tcW w:w="396" w:type="dxa"/>
            <w:tcBorders/>
            <w:shd w:fill="CFF0FC" w:val="clear"/>
            <w:vAlign w:val="center"/>
          </w:tcPr>
          <w:p>
            <w:pPr>
              <w:pStyle w:val="TableContents"/>
              <w:bidi w:val="0"/>
              <w:spacing w:before="0" w:after="283"/>
              <w:jc w:val="left"/>
              <w:rPr/>
            </w:pPr>
            <w:r>
              <w:rPr/>
              <w:t> </w:t>
            </w:r>
          </w:p>
        </w:tc>
      </w:tr>
      <w:tr>
        <w:trPr/>
        <w:tc>
          <w:tcPr>
            <w:tcW w:w="251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Short-term investments</w:t>
            </w:r>
          </w:p>
        </w:tc>
        <w:tc>
          <w:tcPr>
            <w:tcW w:w="146"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78"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8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2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09" w:type="dxa"/>
            <w:gridSpan w:val="2"/>
            <w:tcBorders/>
            <w:shd w:fill="FFFFFF" w:val="clear"/>
            <w:vAlign w:val="center"/>
          </w:tcPr>
          <w:p>
            <w:pPr>
              <w:pStyle w:val="TableContents"/>
              <w:bidi w:val="0"/>
              <w:spacing w:before="0" w:after="283"/>
              <w:jc w:val="left"/>
              <w:rPr/>
            </w:pPr>
            <w:r>
              <w:rPr/>
              <w:t> </w:t>
            </w:r>
          </w:p>
        </w:tc>
        <w:tc>
          <w:tcPr>
            <w:tcW w:w="396" w:type="dxa"/>
            <w:tcBorders/>
            <w:shd w:fill="FFFFFF" w:val="clear"/>
            <w:vAlign w:val="center"/>
          </w:tcPr>
          <w:p>
            <w:pPr>
              <w:pStyle w:val="TableContents"/>
              <w:bidi w:val="0"/>
              <w:spacing w:before="0" w:after="283"/>
              <w:ind w:left="0" w:right="0" w:firstLine="200"/>
              <w:jc w:val="left"/>
              <w:rPr/>
            </w:pPr>
            <w:r>
              <w:rPr/>
              <w:t> </w:t>
            </w:r>
          </w:p>
        </w:tc>
      </w:tr>
      <w:tr>
        <w:trPr/>
        <w:tc>
          <w:tcPr>
            <w:tcW w:w="2513"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U.S. Treasury securities</w:t>
            </w:r>
          </w:p>
        </w:tc>
        <w:tc>
          <w:tcPr>
            <w:tcW w:w="146" w:type="dxa"/>
            <w:tcBorders/>
            <w:shd w:fill="CFF0FC" w:val="clear"/>
            <w:vAlign w:val="center"/>
          </w:tcPr>
          <w:p>
            <w:pPr>
              <w:pStyle w:val="TableContents"/>
              <w:bidi w:val="0"/>
              <w:spacing w:before="0" w:after="283"/>
              <w:jc w:val="left"/>
              <w:rPr/>
            </w:pPr>
            <w:r>
              <w:rPr/>
              <w:t> </w:t>
            </w:r>
          </w:p>
        </w:tc>
        <w:tc>
          <w:tcPr>
            <w:tcW w:w="1010"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Level 1</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100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73,058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4" w:type="dxa"/>
            <w:tcBorders/>
            <w:shd w:fill="CFF0FC" w:val="clear"/>
            <w:vAlign w:val="center"/>
          </w:tcPr>
          <w:p>
            <w:pPr>
              <w:pStyle w:val="TableContents"/>
              <w:bidi w:val="0"/>
              <w:spacing w:before="0" w:after="283"/>
              <w:jc w:val="left"/>
              <w:rPr/>
            </w:pPr>
            <w:r>
              <w:rPr/>
              <w:t> </w:t>
            </w:r>
          </w:p>
        </w:tc>
        <w:tc>
          <w:tcPr>
            <w:tcW w:w="86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3" w:type="dxa"/>
            <w:tcBorders/>
            <w:shd w:fill="CFF0FC" w:val="clear"/>
            <w:vAlign w:val="center"/>
          </w:tcPr>
          <w:p>
            <w:pPr>
              <w:pStyle w:val="TableContents"/>
              <w:bidi w:val="0"/>
              <w:spacing w:before="0" w:after="283"/>
              <w:jc w:val="left"/>
              <w:rPr/>
            </w:pPr>
            <w:r>
              <w:rPr/>
              <w:t> </w:t>
            </w:r>
          </w:p>
        </w:tc>
        <w:tc>
          <w:tcPr>
            <w:tcW w:w="99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(438</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72,623</w:t>
            </w:r>
          </w:p>
        </w:tc>
        <w:tc>
          <w:tcPr>
            <w:tcW w:w="396" w:type="dxa"/>
            <w:tcBorders/>
            <w:shd w:fill="CFF0FC" w:val="clear"/>
            <w:vAlign w:val="center"/>
          </w:tcPr>
          <w:p>
            <w:pPr>
              <w:pStyle w:val="TableContents"/>
              <w:bidi w:val="0"/>
              <w:spacing w:before="0" w:after="283"/>
              <w:ind w:left="0" w:right="0" w:firstLine="200"/>
              <w:jc w:val="left"/>
              <w:rPr/>
            </w:pPr>
            <w:r>
              <w:rPr/>
              <w:t> </w:t>
            </w:r>
          </w:p>
        </w:tc>
      </w:tr>
      <w:tr>
        <w:trPr/>
        <w:tc>
          <w:tcPr>
            <w:tcW w:w="2513"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U.S. government agency securities</w:t>
            </w:r>
          </w:p>
        </w:tc>
        <w:tc>
          <w:tcPr>
            <w:tcW w:w="146"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Level 2</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16,227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4"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16,263</w:t>
            </w:r>
          </w:p>
        </w:tc>
        <w:tc>
          <w:tcPr>
            <w:tcW w:w="396" w:type="dxa"/>
            <w:tcBorders/>
            <w:shd w:fill="FFFFFF" w:val="clear"/>
            <w:vAlign w:val="center"/>
          </w:tcPr>
          <w:p>
            <w:pPr>
              <w:pStyle w:val="TableContents"/>
              <w:bidi w:val="0"/>
              <w:spacing w:before="0" w:after="283"/>
              <w:ind w:left="0" w:right="0" w:firstLine="200"/>
              <w:jc w:val="left"/>
              <w:rPr/>
            </w:pPr>
            <w:r>
              <w:rPr/>
              <w:t> </w:t>
            </w:r>
          </w:p>
        </w:tc>
      </w:tr>
      <w:tr>
        <w:trPr/>
        <w:tc>
          <w:tcPr>
            <w:tcW w:w="2513"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Corporate debt securities</w:t>
            </w:r>
          </w:p>
        </w:tc>
        <w:tc>
          <w:tcPr>
            <w:tcW w:w="146" w:type="dxa"/>
            <w:tcBorders/>
            <w:shd w:fill="CFF0FC" w:val="clear"/>
            <w:vAlign w:val="center"/>
          </w:tcPr>
          <w:p>
            <w:pPr>
              <w:pStyle w:val="TableContents"/>
              <w:bidi w:val="0"/>
              <w:spacing w:before="0" w:after="283"/>
              <w:jc w:val="left"/>
              <w:rPr/>
            </w:pPr>
            <w:r>
              <w:rPr/>
              <w:t> </w:t>
            </w:r>
          </w:p>
        </w:tc>
        <w:tc>
          <w:tcPr>
            <w:tcW w:w="1010"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Level 2</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100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56,318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4" w:type="dxa"/>
            <w:tcBorders/>
            <w:shd w:fill="CFF0FC" w:val="clear"/>
            <w:vAlign w:val="center"/>
          </w:tcPr>
          <w:p>
            <w:pPr>
              <w:pStyle w:val="TableContents"/>
              <w:bidi w:val="0"/>
              <w:spacing w:before="0" w:after="283"/>
              <w:jc w:val="left"/>
              <w:rPr/>
            </w:pPr>
            <w:r>
              <w:rPr/>
              <w:t> </w:t>
            </w:r>
          </w:p>
        </w:tc>
        <w:tc>
          <w:tcPr>
            <w:tcW w:w="86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3" w:type="dxa"/>
            <w:tcBorders/>
            <w:shd w:fill="CFF0FC" w:val="clear"/>
            <w:vAlign w:val="center"/>
          </w:tcPr>
          <w:p>
            <w:pPr>
              <w:pStyle w:val="TableContents"/>
              <w:bidi w:val="0"/>
              <w:spacing w:before="0" w:after="283"/>
              <w:jc w:val="left"/>
              <w:rPr/>
            </w:pPr>
            <w:r>
              <w:rPr/>
              <w:t> </w:t>
            </w:r>
          </w:p>
        </w:tc>
        <w:tc>
          <w:tcPr>
            <w:tcW w:w="99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(367</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55,951</w:t>
            </w:r>
          </w:p>
        </w:tc>
        <w:tc>
          <w:tcPr>
            <w:tcW w:w="396" w:type="dxa"/>
            <w:tcBorders/>
            <w:shd w:fill="CFF0FC" w:val="clear"/>
            <w:vAlign w:val="center"/>
          </w:tcPr>
          <w:p>
            <w:pPr>
              <w:pStyle w:val="TableContents"/>
              <w:bidi w:val="0"/>
              <w:spacing w:before="0" w:after="283"/>
              <w:ind w:left="0" w:right="0" w:firstLine="200"/>
              <w:jc w:val="left"/>
              <w:rPr/>
            </w:pPr>
            <w:r>
              <w:rPr/>
              <w:t> </w:t>
            </w:r>
          </w:p>
        </w:tc>
      </w:tr>
      <w:tr>
        <w:trPr/>
        <w:tc>
          <w:tcPr>
            <w:tcW w:w="2513"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Commercial paper</w:t>
            </w:r>
          </w:p>
        </w:tc>
        <w:tc>
          <w:tcPr>
            <w:tcW w:w="146"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Level 2</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62,087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4"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62,087</w:t>
            </w:r>
          </w:p>
        </w:tc>
        <w:tc>
          <w:tcPr>
            <w:tcW w:w="396" w:type="dxa"/>
            <w:tcBorders/>
            <w:shd w:fill="FFFFFF" w:val="clear"/>
            <w:vAlign w:val="center"/>
          </w:tcPr>
          <w:p>
            <w:pPr>
              <w:pStyle w:val="TableContents"/>
              <w:bidi w:val="0"/>
              <w:spacing w:before="0" w:after="283"/>
              <w:ind w:left="0" w:right="0" w:firstLine="200"/>
              <w:jc w:val="left"/>
              <w:rPr/>
            </w:pPr>
            <w:r>
              <w:rPr/>
              <w:t> </w:t>
            </w:r>
          </w:p>
        </w:tc>
      </w:tr>
      <w:tr>
        <w:trPr/>
        <w:tc>
          <w:tcPr>
            <w:tcW w:w="2513"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Asset-backed securities</w:t>
            </w:r>
          </w:p>
        </w:tc>
        <w:tc>
          <w:tcPr>
            <w:tcW w:w="146" w:type="dxa"/>
            <w:tcBorders/>
            <w:shd w:fill="CFF0FC" w:val="clear"/>
            <w:vAlign w:val="center"/>
          </w:tcPr>
          <w:p>
            <w:pPr>
              <w:pStyle w:val="TableContents"/>
              <w:bidi w:val="0"/>
              <w:spacing w:before="0" w:after="283"/>
              <w:jc w:val="left"/>
              <w:rPr/>
            </w:pPr>
            <w:r>
              <w:rPr/>
              <w:t> </w:t>
            </w:r>
          </w:p>
        </w:tc>
        <w:tc>
          <w:tcPr>
            <w:tcW w:w="1010"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Level 2</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100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10,512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4" w:type="dxa"/>
            <w:tcBorders/>
            <w:shd w:fill="CFF0FC" w:val="clear"/>
            <w:vAlign w:val="center"/>
          </w:tcPr>
          <w:p>
            <w:pPr>
              <w:pStyle w:val="TableContents"/>
              <w:bidi w:val="0"/>
              <w:spacing w:before="0" w:after="283"/>
              <w:jc w:val="left"/>
              <w:rPr/>
            </w:pPr>
            <w:r>
              <w:rPr/>
              <w:t> </w:t>
            </w:r>
          </w:p>
        </w:tc>
        <w:tc>
          <w:tcPr>
            <w:tcW w:w="86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3" w:type="dxa"/>
            <w:tcBorders/>
            <w:shd w:fill="CFF0FC" w:val="clear"/>
            <w:vAlign w:val="center"/>
          </w:tcPr>
          <w:p>
            <w:pPr>
              <w:pStyle w:val="TableContents"/>
              <w:bidi w:val="0"/>
              <w:spacing w:before="0" w:after="283"/>
              <w:jc w:val="left"/>
              <w:rPr/>
            </w:pPr>
            <w:r>
              <w:rPr/>
              <w:t> </w:t>
            </w:r>
          </w:p>
        </w:tc>
        <w:tc>
          <w:tcPr>
            <w:tcW w:w="99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10,461</w:t>
            </w:r>
          </w:p>
        </w:tc>
        <w:tc>
          <w:tcPr>
            <w:tcW w:w="396" w:type="dxa"/>
            <w:tcBorders/>
            <w:shd w:fill="CFF0FC" w:val="clear"/>
            <w:vAlign w:val="center"/>
          </w:tcPr>
          <w:p>
            <w:pPr>
              <w:pStyle w:val="TableContents"/>
              <w:bidi w:val="0"/>
              <w:spacing w:before="0" w:after="283"/>
              <w:jc w:val="left"/>
              <w:rPr/>
            </w:pPr>
            <w:r>
              <w:rPr/>
              <w:t> </w:t>
            </w:r>
          </w:p>
        </w:tc>
      </w:tr>
      <w:tr>
        <w:trPr/>
        <w:tc>
          <w:tcPr>
            <w:tcW w:w="251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Long-term investments</w:t>
            </w:r>
          </w:p>
        </w:tc>
        <w:tc>
          <w:tcPr>
            <w:tcW w:w="146"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78"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8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2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09" w:type="dxa"/>
            <w:gridSpan w:val="2"/>
            <w:tcBorders/>
            <w:shd w:fill="FFFFFF" w:val="clear"/>
            <w:vAlign w:val="center"/>
          </w:tcPr>
          <w:p>
            <w:pPr>
              <w:pStyle w:val="TableContents"/>
              <w:bidi w:val="0"/>
              <w:spacing w:before="0" w:after="283"/>
              <w:jc w:val="left"/>
              <w:rPr/>
            </w:pPr>
            <w:r>
              <w:rPr/>
              <w:t> </w:t>
            </w:r>
          </w:p>
        </w:tc>
        <w:tc>
          <w:tcPr>
            <w:tcW w:w="396" w:type="dxa"/>
            <w:tcBorders/>
            <w:shd w:fill="FFFFFF" w:val="clear"/>
            <w:vAlign w:val="center"/>
          </w:tcPr>
          <w:p>
            <w:pPr>
              <w:pStyle w:val="TableContents"/>
              <w:bidi w:val="0"/>
              <w:spacing w:before="0" w:after="283"/>
              <w:ind w:left="0" w:right="0" w:firstLine="200"/>
              <w:jc w:val="left"/>
              <w:rPr/>
            </w:pPr>
            <w:r>
              <w:rPr/>
              <w:t> </w:t>
            </w:r>
          </w:p>
        </w:tc>
      </w:tr>
      <w:tr>
        <w:trPr/>
        <w:tc>
          <w:tcPr>
            <w:tcW w:w="2513"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U.S. Treasury securities</w:t>
            </w:r>
          </w:p>
        </w:tc>
        <w:tc>
          <w:tcPr>
            <w:tcW w:w="146" w:type="dxa"/>
            <w:tcBorders/>
            <w:shd w:fill="CFF0FC" w:val="clear"/>
            <w:vAlign w:val="center"/>
          </w:tcPr>
          <w:p>
            <w:pPr>
              <w:pStyle w:val="TableContents"/>
              <w:bidi w:val="0"/>
              <w:spacing w:before="0" w:after="283"/>
              <w:jc w:val="left"/>
              <w:rPr/>
            </w:pPr>
            <w:r>
              <w:rPr/>
              <w:t> </w:t>
            </w:r>
          </w:p>
        </w:tc>
        <w:tc>
          <w:tcPr>
            <w:tcW w:w="1010"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Level 1</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100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5,242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4" w:type="dxa"/>
            <w:tcBorders/>
            <w:shd w:fill="CFF0FC" w:val="clear"/>
            <w:vAlign w:val="center"/>
          </w:tcPr>
          <w:p>
            <w:pPr>
              <w:pStyle w:val="TableContents"/>
              <w:bidi w:val="0"/>
              <w:spacing w:before="0" w:after="283"/>
              <w:jc w:val="left"/>
              <w:rPr/>
            </w:pPr>
            <w:r>
              <w:rPr/>
              <w:t> </w:t>
            </w:r>
          </w:p>
        </w:tc>
        <w:tc>
          <w:tcPr>
            <w:tcW w:w="86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3" w:type="dxa"/>
            <w:tcBorders/>
            <w:shd w:fill="CFF0FC" w:val="clear"/>
            <w:vAlign w:val="center"/>
          </w:tcPr>
          <w:p>
            <w:pPr>
              <w:pStyle w:val="TableContents"/>
              <w:bidi w:val="0"/>
              <w:spacing w:before="0" w:after="283"/>
              <w:jc w:val="left"/>
              <w:rPr/>
            </w:pPr>
            <w:r>
              <w:rPr/>
              <w:t> </w:t>
            </w:r>
          </w:p>
        </w:tc>
        <w:tc>
          <w:tcPr>
            <w:tcW w:w="99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5,244</w:t>
            </w:r>
          </w:p>
        </w:tc>
        <w:tc>
          <w:tcPr>
            <w:tcW w:w="396" w:type="dxa"/>
            <w:tcBorders/>
            <w:shd w:fill="CFF0FC" w:val="clear"/>
            <w:vAlign w:val="center"/>
          </w:tcPr>
          <w:p>
            <w:pPr>
              <w:pStyle w:val="TableContents"/>
              <w:bidi w:val="0"/>
              <w:spacing w:before="0" w:after="283"/>
              <w:ind w:left="0" w:right="0" w:firstLine="200"/>
              <w:jc w:val="left"/>
              <w:rPr/>
            </w:pPr>
            <w:r>
              <w:rPr/>
              <w:t> </w:t>
            </w:r>
          </w:p>
        </w:tc>
      </w:tr>
      <w:tr>
        <w:trPr/>
        <w:tc>
          <w:tcPr>
            <w:tcW w:w="2513"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U.S. government agency securities</w:t>
            </w:r>
          </w:p>
        </w:tc>
        <w:tc>
          <w:tcPr>
            <w:tcW w:w="146"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Level 2</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9,760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4"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9,745</w:t>
            </w:r>
          </w:p>
        </w:tc>
        <w:tc>
          <w:tcPr>
            <w:tcW w:w="396" w:type="dxa"/>
            <w:tcBorders/>
            <w:shd w:fill="FFFFFF" w:val="clear"/>
            <w:vAlign w:val="center"/>
          </w:tcPr>
          <w:p>
            <w:pPr>
              <w:pStyle w:val="TableContents"/>
              <w:bidi w:val="0"/>
              <w:spacing w:before="0" w:after="283"/>
              <w:ind w:left="0" w:right="0" w:firstLine="200"/>
              <w:jc w:val="left"/>
              <w:rPr/>
            </w:pPr>
            <w:r>
              <w:rPr/>
              <w:t> </w:t>
            </w:r>
          </w:p>
        </w:tc>
      </w:tr>
      <w:tr>
        <w:trPr/>
        <w:tc>
          <w:tcPr>
            <w:tcW w:w="2513"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Asset-backed securities</w:t>
            </w:r>
          </w:p>
        </w:tc>
        <w:tc>
          <w:tcPr>
            <w:tcW w:w="146" w:type="dxa"/>
            <w:tcBorders/>
            <w:shd w:fill="CFF0FC" w:val="clear"/>
            <w:vAlign w:val="center"/>
          </w:tcPr>
          <w:p>
            <w:pPr>
              <w:pStyle w:val="TableContents"/>
              <w:bidi w:val="0"/>
              <w:spacing w:before="0" w:after="283"/>
              <w:jc w:val="left"/>
              <w:rPr/>
            </w:pPr>
            <w:r>
              <w:rPr/>
              <w:t> </w:t>
            </w:r>
          </w:p>
        </w:tc>
        <w:tc>
          <w:tcPr>
            <w:tcW w:w="1010"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Level 2</w:t>
            </w:r>
          </w:p>
        </w:tc>
        <w:tc>
          <w:tcPr>
            <w:tcW w:w="146" w:type="dxa"/>
            <w:tcBorders/>
            <w:shd w:fill="CFF0FC" w:val="cle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1,710</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1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275,103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274,258</w:t>
            </w:r>
          </w:p>
        </w:tc>
        <w:tc>
          <w:tcPr>
            <w:tcW w:w="3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The fair value of cash equivalents and available-for-sale investments by classification included in the condensed consolidated balance sheets was as follows as of September 30, 2023 and December 31, 2022 (in thousands):</w:t>
      </w:r>
    </w:p>
    <w:tbl>
      <w:tblPr>
        <w:tblW w:w="5460" w:type="dxa"/>
        <w:jc w:val="left"/>
        <w:tblInd w:w="0" w:type="dxa"/>
        <w:tblLayout w:type="fixed"/>
        <w:tblCellMar>
          <w:top w:w="28" w:type="dxa"/>
          <w:left w:w="28" w:type="dxa"/>
          <w:bottom w:w="28" w:type="dxa"/>
          <w:right w:w="28" w:type="dxa"/>
        </w:tblCellMar>
      </w:tblPr>
      <w:tblGrid>
        <w:gridCol w:w="2266"/>
        <w:gridCol w:w="146"/>
        <w:gridCol w:w="276"/>
        <w:gridCol w:w="1029"/>
        <w:gridCol w:w="146"/>
        <w:gridCol w:w="146"/>
        <w:gridCol w:w="268"/>
        <w:gridCol w:w="992"/>
        <w:gridCol w:w="191"/>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shd w:fill="FFFFFF" w:val="clear"/>
            <w:vAlign w:val="center"/>
          </w:tcPr>
          <w:p>
            <w:pPr>
              <w:pStyle w:val="TableContents"/>
              <w:bidi w:val="0"/>
              <w:spacing w:before="0" w:after="283"/>
              <w:jc w:val="center"/>
              <w:rPr/>
            </w:pPr>
            <w:r>
              <w:rPr/>
              <w:t> </w:t>
            </w:r>
          </w:p>
        </w:tc>
      </w:tr>
      <w:tr>
        <w:trPr/>
        <w:tc>
          <w:tcPr>
            <w:tcW w:w="22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2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19,103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9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40,174</w:t>
            </w:r>
          </w:p>
        </w:tc>
        <w:tc>
          <w:tcPr>
            <w:tcW w:w="191" w:type="dxa"/>
            <w:tcBorders/>
            <w:shd w:fill="CFF0FC" w:val="clear"/>
            <w:vAlign w:val="center"/>
          </w:tcPr>
          <w:p>
            <w:pPr>
              <w:pStyle w:val="TableContents"/>
              <w:bidi w:val="0"/>
              <w:spacing w:before="0" w:after="283"/>
              <w:jc w:val="left"/>
              <w:rPr/>
            </w:pPr>
            <w:r>
              <w:rPr/>
              <w:t> </w:t>
            </w:r>
          </w:p>
        </w:tc>
      </w:tr>
      <w:tr>
        <w:trPr/>
        <w:tc>
          <w:tcPr>
            <w:tcW w:w="22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Short-term investments</w:t>
            </w:r>
          </w:p>
        </w:tc>
        <w:tc>
          <w:tcPr>
            <w:tcW w:w="146"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102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170,425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217,385</w:t>
            </w:r>
          </w:p>
        </w:tc>
        <w:tc>
          <w:tcPr>
            <w:tcW w:w="191" w:type="dxa"/>
            <w:tcBorders/>
            <w:shd w:fill="FFFFFF" w:val="clear"/>
            <w:vAlign w:val="center"/>
          </w:tcPr>
          <w:p>
            <w:pPr>
              <w:pStyle w:val="TableContents"/>
              <w:bidi w:val="0"/>
              <w:spacing w:before="0" w:after="283"/>
              <w:jc w:val="left"/>
              <w:rPr/>
            </w:pPr>
            <w:r>
              <w:rPr/>
              <w:t> </w:t>
            </w:r>
          </w:p>
        </w:tc>
      </w:tr>
      <w:tr>
        <w:trPr/>
        <w:tc>
          <w:tcPr>
            <w:tcW w:w="22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Long-term investments</w:t>
            </w:r>
          </w:p>
        </w:tc>
        <w:tc>
          <w:tcPr>
            <w:tcW w:w="146" w:type="dxa"/>
            <w:tcBorders/>
            <w:shd w:fill="CFF0FC" w:val="cle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16,699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195,963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274,258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b w:val="false"/>
          <w:color w:val="000000"/>
          <w:sz w:val="20"/>
        </w:rPr>
        <w:t>Cash and cash equivalents in the above table excludes bank account cash of $0.5</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and $8.6</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as of September 30, 2023 and December 31, 2022, respectively.</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The fair value of cash equivalents and available-for-sale investments by contractual maturity was as follows as of September 30, 2023 and December 31, 2022 (in thousands):</w:t>
      </w:r>
    </w:p>
    <w:tbl>
      <w:tblPr>
        <w:tblW w:w="6735" w:type="dxa"/>
        <w:jc w:val="left"/>
        <w:tblInd w:w="0" w:type="dxa"/>
        <w:tblLayout w:type="fixed"/>
        <w:tblCellMar>
          <w:top w:w="28" w:type="dxa"/>
          <w:left w:w="28" w:type="dxa"/>
          <w:bottom w:w="28" w:type="dxa"/>
          <w:right w:w="28" w:type="dxa"/>
        </w:tblCellMar>
      </w:tblPr>
      <w:tblGrid>
        <w:gridCol w:w="3541"/>
        <w:gridCol w:w="146"/>
        <w:gridCol w:w="276"/>
        <w:gridCol w:w="1029"/>
        <w:gridCol w:w="146"/>
        <w:gridCol w:w="146"/>
        <w:gridCol w:w="268"/>
        <w:gridCol w:w="992"/>
        <w:gridCol w:w="191"/>
      </w:tblGrid>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shd w:fill="FFFFFF" w:val="clear"/>
            <w:vAlign w:val="center"/>
          </w:tcPr>
          <w:p>
            <w:pPr>
              <w:pStyle w:val="TableContents"/>
              <w:bidi w:val="0"/>
              <w:spacing w:before="0" w:after="283"/>
              <w:jc w:val="center"/>
              <w:rPr/>
            </w:pPr>
            <w:r>
              <w:rPr/>
              <w:t> </w:t>
            </w:r>
          </w:p>
        </w:tc>
      </w:tr>
      <w:tr>
        <w:trPr/>
        <w:tc>
          <w:tcPr>
            <w:tcW w:w="35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Maturing in one year or less</w:t>
            </w:r>
          </w:p>
        </w:tc>
        <w:tc>
          <w:tcPr>
            <w:tcW w:w="146"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2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189,528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9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257,559</w:t>
            </w:r>
          </w:p>
        </w:tc>
        <w:tc>
          <w:tcPr>
            <w:tcW w:w="191" w:type="dxa"/>
            <w:tcBorders/>
            <w:shd w:fill="CFF0FC" w:val="clear"/>
            <w:vAlign w:val="center"/>
          </w:tcPr>
          <w:p>
            <w:pPr>
              <w:pStyle w:val="TableContents"/>
              <w:bidi w:val="0"/>
              <w:spacing w:before="0" w:after="283"/>
              <w:jc w:val="left"/>
              <w:rPr/>
            </w:pPr>
            <w:r>
              <w:rPr/>
              <w:t> </w:t>
            </w:r>
          </w:p>
        </w:tc>
      </w:tr>
      <w:tr>
        <w:trPr/>
        <w:tc>
          <w:tcPr>
            <w:tcW w:w="354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Maturing after one year through five years</w:t>
            </w:r>
          </w:p>
        </w:tc>
        <w:tc>
          <w:tcPr>
            <w:tcW w:w="146" w:type="dxa"/>
            <w:tcBorders/>
            <w:shd w:fill="FFFFFF" w:val="cle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16,699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4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195,963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274,258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b w:val="false"/>
          <w:color w:val="000000"/>
          <w:sz w:val="20"/>
        </w:rPr>
        <w:t>There were no</w:t>
      </w:r>
      <w:r>
        <w:rPr>
          <w:rFonts w:ascii="Times New Roman" w:hAnsi="Times New Roman"/>
          <w:color w:val="000000"/>
          <w:sz w:val="20"/>
        </w:rPr>
        <w:t xml:space="preserve"> </w:t>
      </w:r>
      <w:r>
        <w:rPr>
          <w:rFonts w:ascii="Times New Roman" w:hAnsi="Times New Roman"/>
          <w:b w:val="false"/>
          <w:color w:val="000000"/>
          <w:sz w:val="20"/>
        </w:rPr>
        <w:t>transfers of financial instruments between the fair value measurement levels during the three months and nine months ended September 30, 2023 and 2022</w:t>
      </w:r>
      <w:r>
        <w:rPr>
          <w:rFonts w:ascii="Times New Roman" w:hAnsi="Times New Roman"/>
          <w:color w:val="000000"/>
          <w:sz w:val="20"/>
        </w:rPr>
        <w:t xml:space="preserve"> </w:t>
      </w:r>
      <w:r>
        <w:rPr>
          <w:rFonts w:ascii="Times New Roman" w:hAnsi="Times New Roman"/>
          <w:b w:val="false"/>
          <w:color w:val="000000"/>
          <w:sz w:val="20"/>
        </w:rPr>
        <w:t>and there were no</w:t>
      </w:r>
      <w:r>
        <w:rPr>
          <w:rFonts w:ascii="Times New Roman" w:hAnsi="Times New Roman"/>
          <w:color w:val="000000"/>
          <w:sz w:val="20"/>
        </w:rPr>
        <w:t xml:space="preserve"> </w:t>
      </w:r>
      <w:r>
        <w:rPr>
          <w:rFonts w:ascii="Times New Roman" w:hAnsi="Times New Roman"/>
          <w:b w:val="false"/>
          <w:color w:val="000000"/>
          <w:sz w:val="20"/>
        </w:rPr>
        <w:t>financial instruments classified as Level 3 as of September 30, 2023</w:t>
      </w:r>
      <w:r>
        <w:rPr>
          <w:rFonts w:ascii="Times New Roman" w:hAnsi="Times New Roman"/>
          <w:color w:val="000000"/>
          <w:sz w:val="20"/>
        </w:rPr>
        <w:t xml:space="preserve"> </w:t>
      </w:r>
      <w:r>
        <w:rPr>
          <w:rFonts w:ascii="Times New Roman" w:hAnsi="Times New Roman"/>
          <w:b w:val="false"/>
          <w:color w:val="000000"/>
          <w:sz w:val="20"/>
        </w:rPr>
        <w:t>and 2022.</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As of September 30, 2023 and December 31, 2022, accrued interest receivable related to the Company’s investments of $0.6</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and $1.0</w:t>
      </w:r>
      <w:r>
        <w:rPr>
          <w:rFonts w:ascii="Times New Roman" w:hAnsi="Times New Roman"/>
          <w:color w:val="000000"/>
          <w:sz w:val="20"/>
        </w:rPr>
        <w:t xml:space="preserve"> </w:t>
      </w:r>
      <w:r>
        <w:rPr>
          <w:rFonts w:ascii="Times New Roman" w:hAnsi="Times New Roman"/>
          <w:b w:val="false"/>
          <w:color w:val="000000"/>
          <w:sz w:val="20"/>
        </w:rPr>
        <w:t>million, respectively, was included in prepaid expenses and other current assets</w:t>
      </w:r>
      <w:r>
        <w:rPr>
          <w:rFonts w:ascii="Times New Roman" w:hAnsi="Times New Roman"/>
          <w:color w:val="000000"/>
          <w:sz w:val="20"/>
        </w:rPr>
        <w:t xml:space="preserve"> </w:t>
      </w:r>
      <w:r>
        <w:rPr>
          <w:rFonts w:ascii="Times New Roman" w:hAnsi="Times New Roman"/>
          <w:b w:val="false"/>
          <w:color w:val="000000"/>
          <w:sz w:val="20"/>
        </w:rPr>
        <w:t>on the condensed consolidated balance sheet.</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As of September 30, 2023, the unrealized losses for available-for-sale investments were non-credit related and the Company does not intend to sell the investments that were in an unrealized loss position, nor does it foresee or project that it will be required to sell those investments before recovery of their amortized costs basis, which may be maturity. As of September 30, 2023, no</w:t>
      </w:r>
      <w:r>
        <w:rPr>
          <w:rFonts w:ascii="Times New Roman" w:hAnsi="Times New Roman"/>
          <w:color w:val="000000"/>
          <w:sz w:val="20"/>
        </w:rPr>
        <w:t xml:space="preserve"> </w:t>
      </w:r>
      <w:r>
        <w:rPr>
          <w:rFonts w:ascii="Times New Roman" w:hAnsi="Times New Roman"/>
          <w:b w:val="false"/>
          <w:color w:val="000000"/>
          <w:sz w:val="20"/>
        </w:rPr>
        <w:t>allowance for credit losses for the Company’s investments was recorded. As of September 30, 2023 and December 31, 2022, securities with a fair value of $2.3</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and zero, respectively, were in a continuous net unrealized loss position for more than 12 months. As of September 30, 2023, the Company has not recognized any impairment losses on available-for-sale investments.</w:t>
      </w:r>
      <w:r>
        <w:rPr>
          <w:rFonts w:ascii="Times New Roman" w:hAnsi="Times New Roman"/>
          <w:color w:val="000000"/>
          <w:sz w:val="20"/>
        </w:rPr>
        <w:t xml:space="preserv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(4) BALANCE SHEET COMPONENTS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Property and Equipment, Net</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The following table presents the components of property and equipment, net as of September 30, 2023 and December 31, 2022 (in thousands):</w:t>
      </w:r>
    </w:p>
    <w:tbl>
      <w:tblPr>
        <w:tblW w:w="6215" w:type="dxa"/>
        <w:jc w:val="left"/>
        <w:tblInd w:w="0" w:type="dxa"/>
        <w:tblLayout w:type="fixed"/>
        <w:tblCellMar>
          <w:top w:w="28" w:type="dxa"/>
          <w:left w:w="28" w:type="dxa"/>
          <w:bottom w:w="28" w:type="dxa"/>
          <w:right w:w="28" w:type="dxa"/>
        </w:tblCellMar>
      </w:tblPr>
      <w:tblGrid>
        <w:gridCol w:w="2781"/>
        <w:gridCol w:w="146"/>
        <w:gridCol w:w="327"/>
        <w:gridCol w:w="978"/>
        <w:gridCol w:w="166"/>
        <w:gridCol w:w="146"/>
        <w:gridCol w:w="339"/>
        <w:gridCol w:w="921"/>
        <w:gridCol w:w="411"/>
      </w:tblGrid>
      <w:tr>
        <w:trPr/>
        <w:tc>
          <w:tcPr>
            <w:tcW w:w="2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7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411" w:type="dxa"/>
            <w:tcBorders/>
            <w:shd w:fill="FFFFFF" w:val="clear"/>
            <w:vAlign w:val="center"/>
          </w:tcPr>
          <w:p>
            <w:pPr>
              <w:pStyle w:val="TableContents"/>
              <w:bidi w:val="0"/>
              <w:spacing w:before="0" w:after="283"/>
              <w:jc w:val="center"/>
              <w:rPr/>
            </w:pPr>
            <w:r>
              <w:rPr/>
              <w:t> </w:t>
            </w:r>
          </w:p>
        </w:tc>
      </w:tr>
      <w:tr>
        <w:trPr/>
        <w:tc>
          <w:tcPr>
            <w:tcW w:w="27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8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Leasehold improvements</w:t>
            </w:r>
          </w:p>
        </w:tc>
        <w:tc>
          <w:tcPr>
            <w:tcW w:w="146" w:type="dxa"/>
            <w:tcBorders/>
            <w:shd w:fill="CFF0FC" w:val="clear"/>
            <w:vAlign w:val="center"/>
          </w:tcPr>
          <w:p>
            <w:pPr>
              <w:pStyle w:val="TableContents"/>
              <w:bidi w:val="0"/>
              <w:spacing w:before="0" w:after="283"/>
              <w:jc w:val="left"/>
              <w:rPr/>
            </w:pPr>
            <w:r>
              <w:rPr/>
              <w:t> </w:t>
            </w:r>
          </w:p>
        </w:tc>
        <w:tc>
          <w:tcPr>
            <w:tcW w:w="32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7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2,513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2,360</w:t>
            </w:r>
          </w:p>
        </w:tc>
        <w:tc>
          <w:tcPr>
            <w:tcW w:w="411" w:type="dxa"/>
            <w:tcBorders/>
            <w:shd w:fill="CFF0FC" w:val="clear"/>
            <w:vAlign w:val="center"/>
          </w:tcPr>
          <w:p>
            <w:pPr>
              <w:pStyle w:val="TableContents"/>
              <w:bidi w:val="0"/>
              <w:spacing w:before="0" w:after="283"/>
              <w:jc w:val="left"/>
              <w:rPr/>
            </w:pPr>
            <w:r>
              <w:rPr/>
              <w:t> </w:t>
            </w:r>
          </w:p>
        </w:tc>
      </w:tr>
      <w:tr>
        <w:trPr/>
        <w:tc>
          <w:tcPr>
            <w:tcW w:w="278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Laboratory equipment</w:t>
            </w:r>
          </w:p>
        </w:tc>
        <w:tc>
          <w:tcPr>
            <w:tcW w:w="146" w:type="dxa"/>
            <w:tcBorders/>
            <w:shd w:fill="FFFFFF" w:val="clear"/>
            <w:vAlign w:val="center"/>
          </w:tcPr>
          <w:p>
            <w:pPr>
              <w:pStyle w:val="TableContents"/>
              <w:bidi w:val="0"/>
              <w:spacing w:before="0" w:after="283"/>
              <w:jc w:val="left"/>
              <w:rPr/>
            </w:pPr>
            <w:r>
              <w:rPr/>
              <w:t> </w:t>
            </w:r>
          </w:p>
        </w:tc>
        <w:tc>
          <w:tcPr>
            <w:tcW w:w="327"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1,570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9"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1,422</w:t>
            </w:r>
          </w:p>
        </w:tc>
        <w:tc>
          <w:tcPr>
            <w:tcW w:w="411" w:type="dxa"/>
            <w:tcBorders/>
            <w:shd w:fill="FFFFFF" w:val="clear"/>
            <w:vAlign w:val="center"/>
          </w:tcPr>
          <w:p>
            <w:pPr>
              <w:pStyle w:val="TableContents"/>
              <w:bidi w:val="0"/>
              <w:spacing w:before="0" w:after="283"/>
              <w:jc w:val="left"/>
              <w:rPr/>
            </w:pPr>
            <w:r>
              <w:rPr/>
              <w:t> </w:t>
            </w:r>
          </w:p>
        </w:tc>
      </w:tr>
      <w:tr>
        <w:trPr/>
        <w:tc>
          <w:tcPr>
            <w:tcW w:w="278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Computer hardware and software</w:t>
            </w:r>
          </w:p>
        </w:tc>
        <w:tc>
          <w:tcPr>
            <w:tcW w:w="146" w:type="dxa"/>
            <w:tcBorders/>
            <w:shd w:fill="CFF0FC" w:val="clear"/>
            <w:vAlign w:val="center"/>
          </w:tcPr>
          <w:p>
            <w:pPr>
              <w:pStyle w:val="TableContents"/>
              <w:bidi w:val="0"/>
              <w:spacing w:before="0" w:after="283"/>
              <w:jc w:val="left"/>
              <w:rPr/>
            </w:pPr>
            <w:r>
              <w:rPr/>
              <w:t> </w:t>
            </w:r>
          </w:p>
        </w:tc>
        <w:tc>
          <w:tcPr>
            <w:tcW w:w="327" w:type="dxa"/>
            <w:tcBorders/>
            <w:shd w:fill="CFF0FC" w:val="clear"/>
            <w:vAlign w:val="center"/>
          </w:tcPr>
          <w:p>
            <w:pPr>
              <w:pStyle w:val="TableContents"/>
              <w:bidi w:val="0"/>
              <w:spacing w:before="0" w:after="283"/>
              <w:jc w:val="left"/>
              <w:rPr/>
            </w:pPr>
            <w:r>
              <w:rPr/>
              <w:t> </w:t>
            </w:r>
          </w:p>
        </w:tc>
        <w:tc>
          <w:tcPr>
            <w:tcW w:w="97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9" w:type="dxa"/>
            <w:tcBorders/>
            <w:shd w:fill="CFF0FC" w:val="clear"/>
            <w:vAlign w:val="center"/>
          </w:tcPr>
          <w:p>
            <w:pPr>
              <w:pStyle w:val="TableContents"/>
              <w:bidi w:val="0"/>
              <w:spacing w:before="0" w:after="283"/>
              <w:jc w:val="left"/>
              <w:rPr/>
            </w:pPr>
            <w:r>
              <w:rPr/>
              <w:t> </w:t>
            </w:r>
          </w:p>
        </w:tc>
        <w:tc>
          <w:tcPr>
            <w:tcW w:w="9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344</w:t>
            </w:r>
          </w:p>
        </w:tc>
        <w:tc>
          <w:tcPr>
            <w:tcW w:w="411" w:type="dxa"/>
            <w:tcBorders/>
            <w:shd w:fill="CFF0FC" w:val="clear"/>
            <w:vAlign w:val="center"/>
          </w:tcPr>
          <w:p>
            <w:pPr>
              <w:pStyle w:val="TableContents"/>
              <w:bidi w:val="0"/>
              <w:spacing w:before="0" w:after="283"/>
              <w:jc w:val="left"/>
              <w:rPr/>
            </w:pPr>
            <w:r>
              <w:rPr/>
              <w:t> </w:t>
            </w:r>
          </w:p>
        </w:tc>
      </w:tr>
      <w:tr>
        <w:trPr/>
        <w:tc>
          <w:tcPr>
            <w:tcW w:w="278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Furniture and fixtures</w:t>
            </w:r>
          </w:p>
        </w:tc>
        <w:tc>
          <w:tcPr>
            <w:tcW w:w="146" w:type="dxa"/>
            <w:tcBorders/>
            <w:shd w:fill="FFFFFF" w:val="clear"/>
            <w:vAlign w:val="center"/>
          </w:tcPr>
          <w:p>
            <w:pPr>
              <w:pStyle w:val="TableContents"/>
              <w:bidi w:val="0"/>
              <w:spacing w:before="0" w:after="283"/>
              <w:jc w:val="left"/>
              <w:rPr/>
            </w:pPr>
            <w:r>
              <w:rPr/>
              <w:t> </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8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Property and equipment, gross</w:t>
            </w:r>
          </w:p>
        </w:tc>
        <w:tc>
          <w:tcPr>
            <w:tcW w:w="146" w:type="dxa"/>
            <w:tcBorders/>
            <w:shd w:fill="CFF0FC" w:val="clear"/>
            <w:vAlign w:val="center"/>
          </w:tcPr>
          <w:p>
            <w:pPr>
              <w:pStyle w:val="TableContents"/>
              <w:bidi w:val="0"/>
              <w:spacing w:before="0" w:after="283"/>
              <w:jc w:val="left"/>
              <w:rPr/>
            </w:pPr>
            <w:r>
              <w:rPr/>
              <w:t> </w:t>
            </w:r>
          </w:p>
        </w:tc>
        <w:tc>
          <w:tcPr>
            <w:tcW w:w="327" w:type="dxa"/>
            <w:tcBorders/>
            <w:shd w:fill="CFF0FC" w:val="clear"/>
            <w:vAlign w:val="center"/>
          </w:tcPr>
          <w:p>
            <w:pPr>
              <w:pStyle w:val="TableContents"/>
              <w:bidi w:val="0"/>
              <w:spacing w:before="0" w:after="283"/>
              <w:jc w:val="left"/>
              <w:rPr/>
            </w:pPr>
            <w:r>
              <w:rPr/>
              <w:t> </w:t>
            </w:r>
          </w:p>
        </w:tc>
        <w:tc>
          <w:tcPr>
            <w:tcW w:w="97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4,649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9" w:type="dxa"/>
            <w:tcBorders/>
            <w:shd w:fill="CFF0FC" w:val="clear"/>
            <w:vAlign w:val="center"/>
          </w:tcPr>
          <w:p>
            <w:pPr>
              <w:pStyle w:val="TableContents"/>
              <w:bidi w:val="0"/>
              <w:spacing w:before="0" w:after="283"/>
              <w:jc w:val="left"/>
              <w:rPr/>
            </w:pPr>
            <w:r>
              <w:rPr/>
              <w:t> </w:t>
            </w:r>
          </w:p>
        </w:tc>
        <w:tc>
          <w:tcPr>
            <w:tcW w:w="9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4,292</w:t>
            </w:r>
          </w:p>
        </w:tc>
        <w:tc>
          <w:tcPr>
            <w:tcW w:w="411" w:type="dxa"/>
            <w:tcBorders/>
            <w:shd w:fill="CFF0FC" w:val="clear"/>
            <w:vAlign w:val="center"/>
          </w:tcPr>
          <w:p>
            <w:pPr>
              <w:pStyle w:val="TableContents"/>
              <w:bidi w:val="0"/>
              <w:spacing w:before="0" w:after="283"/>
              <w:jc w:val="left"/>
              <w:rPr/>
            </w:pPr>
            <w:r>
              <w:rPr/>
              <w:t> </w:t>
            </w:r>
          </w:p>
        </w:tc>
      </w:tr>
      <w:tr>
        <w:trPr/>
        <w:tc>
          <w:tcPr>
            <w:tcW w:w="278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Less: accumulated depreciation</w:t>
            </w:r>
          </w:p>
        </w:tc>
        <w:tc>
          <w:tcPr>
            <w:tcW w:w="146" w:type="dxa"/>
            <w:tcBorders/>
            <w:shd w:fill="FFFFFF" w:val="clear"/>
            <w:vAlign w:val="center"/>
          </w:tcPr>
          <w:p>
            <w:pPr>
              <w:pStyle w:val="TableContents"/>
              <w:bidi w:val="0"/>
              <w:spacing w:before="0" w:after="283"/>
              <w:jc w:val="left"/>
              <w:rPr/>
            </w:pPr>
            <w:r>
              <w:rPr/>
              <w:t> </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278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Property and equipment, net</w:t>
            </w:r>
          </w:p>
        </w:tc>
        <w:tc>
          <w:tcPr>
            <w:tcW w:w="146" w:type="dxa"/>
            <w:tcBorders/>
            <w:shd w:fill="CFF0FC" w:val="clear"/>
            <w:vAlign w:val="center"/>
          </w:tcPr>
          <w:p>
            <w:pPr>
              <w:pStyle w:val="TableContents"/>
              <w:bidi w:val="0"/>
              <w:spacing w:before="0" w:after="283"/>
              <w:jc w:val="left"/>
              <w:rPr/>
            </w:pPr>
            <w:r>
              <w:rPr/>
              <w:t> </w:t>
            </w:r>
          </w:p>
        </w:tc>
        <w:tc>
          <w:tcPr>
            <w:tcW w:w="3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3,889</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b w:val="false"/>
          <w:color w:val="000000"/>
          <w:sz w:val="20"/>
        </w:rPr>
        <w:t>Depreciation was $0.2</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and $0.1</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for the three months ended September 30, 2023 and 2022, respectively. Depreciation was $0.6</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and $0.2</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for the nine months ended September 30, 2023 and 2022, respectively.</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Other Assets</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The following table presents the components of other assets as of September 30, 2023 and December 31, 2022 (in thousands):</w:t>
      </w:r>
      <w:r>
        <w:rPr>
          <w:rFonts w:ascii="Times New Roman" w:hAnsi="Times New Roman"/>
          <w:color w:val="000000"/>
          <w:sz w:val="20"/>
        </w:rPr>
        <w:t xml:space="preserve"> </w:t>
      </w:r>
    </w:p>
    <w:tbl>
      <w:tblPr>
        <w:tblW w:w="7415" w:type="dxa"/>
        <w:jc w:val="left"/>
        <w:tblInd w:w="0" w:type="dxa"/>
        <w:tblLayout w:type="fixed"/>
        <w:tblCellMar>
          <w:top w:w="28" w:type="dxa"/>
          <w:left w:w="28" w:type="dxa"/>
          <w:bottom w:w="28" w:type="dxa"/>
          <w:right w:w="28" w:type="dxa"/>
        </w:tblCellMar>
      </w:tblPr>
      <w:tblGrid>
        <w:gridCol w:w="4021"/>
        <w:gridCol w:w="146"/>
        <w:gridCol w:w="310"/>
        <w:gridCol w:w="995"/>
        <w:gridCol w:w="146"/>
        <w:gridCol w:w="146"/>
        <w:gridCol w:w="299"/>
        <w:gridCol w:w="961"/>
        <w:gridCol w:w="391"/>
      </w:tblGrid>
      <w:tr>
        <w:trPr/>
        <w:tc>
          <w:tcPr>
            <w:tcW w:w="4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91" w:type="dxa"/>
            <w:tcBorders/>
            <w:shd w:fill="FFFFFF" w:val="clear"/>
            <w:vAlign w:val="center"/>
          </w:tcPr>
          <w:p>
            <w:pPr>
              <w:pStyle w:val="TableContents"/>
              <w:bidi w:val="0"/>
              <w:spacing w:before="0" w:after="283"/>
              <w:jc w:val="center"/>
              <w:rPr/>
            </w:pPr>
            <w:r>
              <w:rPr/>
              <w:t> </w:t>
            </w:r>
          </w:p>
        </w:tc>
      </w:tr>
      <w:tr>
        <w:trPr/>
        <w:tc>
          <w:tcPr>
            <w:tcW w:w="40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lease right-of-use assets</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9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5,044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6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5,626</w:t>
            </w:r>
          </w:p>
        </w:tc>
        <w:tc>
          <w:tcPr>
            <w:tcW w:w="391" w:type="dxa"/>
            <w:tcBorders/>
            <w:shd w:fill="CFF0FC" w:val="clear"/>
            <w:vAlign w:val="center"/>
          </w:tcPr>
          <w:p>
            <w:pPr>
              <w:pStyle w:val="TableContents"/>
              <w:bidi w:val="0"/>
              <w:spacing w:before="0" w:after="283"/>
              <w:jc w:val="left"/>
              <w:rPr/>
            </w:pPr>
            <w:r>
              <w:rPr/>
              <w:t> </w:t>
            </w:r>
          </w:p>
        </w:tc>
      </w:tr>
      <w:tr>
        <w:trPr/>
        <w:tc>
          <w:tcPr>
            <w:tcW w:w="40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Long-term prepaid clinical expenses</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7,264</w:t>
            </w:r>
          </w:p>
        </w:tc>
        <w:tc>
          <w:tcPr>
            <w:tcW w:w="391" w:type="dxa"/>
            <w:tcBorders/>
            <w:shd w:fill="FFFFFF" w:val="clear"/>
            <w:vAlign w:val="center"/>
          </w:tcPr>
          <w:p>
            <w:pPr>
              <w:pStyle w:val="TableContents"/>
              <w:bidi w:val="0"/>
              <w:spacing w:before="0" w:after="283"/>
              <w:jc w:val="left"/>
              <w:rPr/>
            </w:pPr>
            <w:r>
              <w:rPr/>
              <w:t> </w:t>
            </w:r>
          </w:p>
        </w:tc>
      </w:tr>
      <w:tr>
        <w:trPr/>
        <w:tc>
          <w:tcPr>
            <w:tcW w:w="40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Finance lease right-of-use assets</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pPr>
            <w:r>
              <w:rPr/>
              <w:t> </w:t>
            </w:r>
          </w:p>
        </w:tc>
        <w:tc>
          <w:tcPr>
            <w:tcW w:w="99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298</w:t>
            </w:r>
          </w:p>
        </w:tc>
        <w:tc>
          <w:tcPr>
            <w:tcW w:w="391" w:type="dxa"/>
            <w:tcBorders/>
            <w:shd w:fill="CFF0FC" w:val="clear"/>
            <w:vAlign w:val="center"/>
          </w:tcPr>
          <w:p>
            <w:pPr>
              <w:pStyle w:val="TableContents"/>
              <w:bidi w:val="0"/>
              <w:spacing w:before="0" w:after="283"/>
              <w:jc w:val="left"/>
              <w:rPr/>
            </w:pPr>
            <w:r>
              <w:rPr/>
              <w:t> </w:t>
            </w:r>
          </w:p>
        </w:tc>
      </w:tr>
      <w:tr>
        <w:trPr/>
        <w:tc>
          <w:tcPr>
            <w:tcW w:w="40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Long-term prepaid contract manufacturing costs</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1,456</w:t>
            </w:r>
          </w:p>
        </w:tc>
        <w:tc>
          <w:tcPr>
            <w:tcW w:w="391" w:type="dxa"/>
            <w:tcBorders/>
            <w:shd w:fill="FFFFFF" w:val="clear"/>
            <w:vAlign w:val="center"/>
          </w:tcPr>
          <w:p>
            <w:pPr>
              <w:pStyle w:val="TableContents"/>
              <w:bidi w:val="0"/>
              <w:spacing w:before="0" w:after="283"/>
              <w:jc w:val="left"/>
              <w:rPr/>
            </w:pPr>
            <w:r>
              <w:rPr/>
              <w:t> </w:t>
            </w:r>
          </w:p>
        </w:tc>
      </w:tr>
      <w:tr>
        <w:trPr/>
        <w:tc>
          <w:tcPr>
            <w:tcW w:w="40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2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other assets</w:t>
            </w:r>
          </w:p>
        </w:tc>
        <w:tc>
          <w:tcPr>
            <w:tcW w:w="146" w:type="dxa"/>
            <w:tcBorders/>
            <w:shd w:fill="FFFFFF" w:val="clear"/>
            <w:vAlign w:val="center"/>
          </w:tcPr>
          <w:p>
            <w:pPr>
              <w:pStyle w:val="TableContents"/>
              <w:bidi w:val="0"/>
              <w:spacing w:before="0" w:after="283"/>
              <w:jc w:val="left"/>
              <w:rPr/>
            </w:pPr>
            <w:r>
              <w:rPr/>
              <w:t> </w:t>
            </w:r>
          </w:p>
        </w:tc>
        <w:tc>
          <w:tcPr>
            <w:tcW w:w="3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10,984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14,932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Accrued Expenses and Other Current Liabilities</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The following table presents the components of accrued expenses and other current liabilities as of September 30, 2023 and December 31, 2022 (in thousands):</w:t>
      </w:r>
    </w:p>
    <w:tbl>
      <w:tblPr>
        <w:tblW w:w="7855" w:type="dxa"/>
        <w:jc w:val="left"/>
        <w:tblInd w:w="0" w:type="dxa"/>
        <w:tblLayout w:type="fixed"/>
        <w:tblCellMar>
          <w:top w:w="28" w:type="dxa"/>
          <w:left w:w="28" w:type="dxa"/>
          <w:bottom w:w="28" w:type="dxa"/>
          <w:right w:w="28" w:type="dxa"/>
        </w:tblCellMar>
      </w:tblPr>
      <w:tblGrid>
        <w:gridCol w:w="4461"/>
        <w:gridCol w:w="146"/>
        <w:gridCol w:w="310"/>
        <w:gridCol w:w="995"/>
        <w:gridCol w:w="146"/>
        <w:gridCol w:w="146"/>
        <w:gridCol w:w="299"/>
        <w:gridCol w:w="961"/>
        <w:gridCol w:w="391"/>
      </w:tblGrid>
      <w:tr>
        <w:trPr/>
        <w:tc>
          <w:tcPr>
            <w:tcW w:w="4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91" w:type="dxa"/>
            <w:tcBorders/>
            <w:shd w:fill="FFFFFF" w:val="clear"/>
            <w:vAlign w:val="center"/>
          </w:tcPr>
          <w:p>
            <w:pPr>
              <w:pStyle w:val="TableContents"/>
              <w:bidi w:val="0"/>
              <w:spacing w:before="0" w:after="283"/>
              <w:jc w:val="center"/>
              <w:rPr/>
            </w:pPr>
            <w:r>
              <w:rPr/>
              <w:t> </w:t>
            </w:r>
          </w:p>
        </w:tc>
      </w:tr>
      <w:tr>
        <w:trPr/>
        <w:tc>
          <w:tcPr>
            <w:tcW w:w="44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Accrued contract manufacturing</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9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11,576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6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5,249</w:t>
            </w:r>
          </w:p>
        </w:tc>
        <w:tc>
          <w:tcPr>
            <w:tcW w:w="391" w:type="dxa"/>
            <w:tcBorders/>
            <w:shd w:fill="CFF0FC" w:val="clear"/>
            <w:vAlign w:val="center"/>
          </w:tcPr>
          <w:p>
            <w:pPr>
              <w:pStyle w:val="TableContents"/>
              <w:bidi w:val="0"/>
              <w:spacing w:before="0" w:after="283"/>
              <w:jc w:val="left"/>
              <w:rPr/>
            </w:pPr>
            <w:r>
              <w:rPr/>
              <w:t> </w:t>
            </w:r>
          </w:p>
        </w:tc>
      </w:tr>
      <w:tr>
        <w:trPr/>
        <w:tc>
          <w:tcPr>
            <w:tcW w:w="44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Accrued clinical and nonclinical study costs</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5,485</w:t>
            </w:r>
          </w:p>
        </w:tc>
        <w:tc>
          <w:tcPr>
            <w:tcW w:w="391" w:type="dxa"/>
            <w:tcBorders/>
            <w:shd w:fill="FFFFFF" w:val="clear"/>
            <w:vAlign w:val="center"/>
          </w:tcPr>
          <w:p>
            <w:pPr>
              <w:pStyle w:val="TableContents"/>
              <w:bidi w:val="0"/>
              <w:spacing w:before="0" w:after="283"/>
              <w:jc w:val="left"/>
              <w:rPr/>
            </w:pPr>
            <w:r>
              <w:rPr/>
              <w:t> </w:t>
            </w:r>
          </w:p>
        </w:tc>
      </w:tr>
      <w:tr>
        <w:trPr/>
        <w:tc>
          <w:tcPr>
            <w:tcW w:w="44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Accrued compensation and related expenses</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pPr>
            <w:r>
              <w:rPr/>
              <w:t> </w:t>
            </w:r>
          </w:p>
        </w:tc>
        <w:tc>
          <w:tcPr>
            <w:tcW w:w="99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3,708</w:t>
            </w:r>
          </w:p>
        </w:tc>
        <w:tc>
          <w:tcPr>
            <w:tcW w:w="391" w:type="dxa"/>
            <w:tcBorders/>
            <w:shd w:fill="CFF0FC" w:val="clear"/>
            <w:vAlign w:val="center"/>
          </w:tcPr>
          <w:p>
            <w:pPr>
              <w:pStyle w:val="TableContents"/>
              <w:bidi w:val="0"/>
              <w:spacing w:before="0" w:after="283"/>
              <w:jc w:val="left"/>
              <w:rPr/>
            </w:pPr>
            <w:r>
              <w:rPr/>
              <w:t> </w:t>
            </w:r>
          </w:p>
        </w:tc>
      </w:tr>
      <w:tr>
        <w:trPr/>
        <w:tc>
          <w:tcPr>
            <w:tcW w:w="44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Accrued property and equipment</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2,110</w:t>
            </w:r>
          </w:p>
        </w:tc>
        <w:tc>
          <w:tcPr>
            <w:tcW w:w="391" w:type="dxa"/>
            <w:tcBorders/>
            <w:shd w:fill="FFFFFF" w:val="clear"/>
            <w:vAlign w:val="center"/>
          </w:tcPr>
          <w:p>
            <w:pPr>
              <w:pStyle w:val="TableContents"/>
              <w:bidi w:val="0"/>
              <w:spacing w:before="0" w:after="283"/>
              <w:jc w:val="left"/>
              <w:rPr/>
            </w:pPr>
            <w:r>
              <w:rPr/>
              <w:t> </w:t>
            </w:r>
          </w:p>
        </w:tc>
      </w:tr>
      <w:tr>
        <w:trPr/>
        <w:tc>
          <w:tcPr>
            <w:tcW w:w="44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2,050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6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accrued expenses and other current liabilities</w:t>
            </w:r>
          </w:p>
        </w:tc>
        <w:tc>
          <w:tcPr>
            <w:tcW w:w="146" w:type="dxa"/>
            <w:tcBorders/>
            <w:shd w:fill="FFFFFF" w:val="clear"/>
            <w:vAlign w:val="center"/>
          </w:tcPr>
          <w:p>
            <w:pPr>
              <w:pStyle w:val="TableContents"/>
              <w:bidi w:val="0"/>
              <w:spacing w:before="0" w:after="283"/>
              <w:jc w:val="left"/>
              <w:rPr/>
            </w:pPr>
            <w:r>
              <w:rPr/>
              <w:t> </w:t>
            </w:r>
          </w:p>
        </w:tc>
        <w:tc>
          <w:tcPr>
            <w:tcW w:w="3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21,876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18,602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(5) LEASES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 has non-cancelable operating leases for its offices located in the U.S. As of September 30, 2023, these leases expire on various dates between 2026</w:t>
      </w:r>
      <w:r>
        <w:rPr>
          <w:rFonts w:ascii="Times New Roman" w:hAnsi="Times New Roman"/>
          <w:color w:val="000000"/>
          <w:sz w:val="20"/>
        </w:rPr>
        <w:t xml:space="preserve"> </w:t>
      </w:r>
      <w:r>
        <w:rPr>
          <w:rFonts w:ascii="Times New Roman" w:hAnsi="Times New Roman"/>
          <w:b w:val="false"/>
          <w:color w:val="000000"/>
          <w:sz w:val="20"/>
        </w:rPr>
        <w:t>and 2030.</w:t>
      </w:r>
      <w:r>
        <w:rPr>
          <w:rFonts w:ascii="Times New Roman" w:hAnsi="Times New Roman"/>
          <w:color w:val="000000"/>
          <w:sz w:val="20"/>
        </w:rPr>
        <w:t xml:space="preserve"> </w:t>
      </w:r>
      <w:r>
        <w:rPr>
          <w:rFonts w:ascii="Times New Roman" w:hAnsi="Times New Roman"/>
          <w:b w:val="false"/>
          <w:color w:val="000000"/>
          <w:sz w:val="20"/>
        </w:rPr>
        <w:t>Certain lease agreements include one or more options to renew, with renewal terms that can extend the lease up to two years</w:t>
      </w:r>
      <w:r>
        <w:rPr>
          <w:rFonts w:ascii="Times New Roman" w:hAnsi="Times New Roman"/>
          <w:color w:val="000000"/>
          <w:sz w:val="20"/>
        </w:rPr>
        <w:t xml:space="preserve"> </w:t>
      </w:r>
      <w:r>
        <w:rPr>
          <w:rFonts w:ascii="Times New Roman" w:hAnsi="Times New Roman"/>
          <w:b w:val="false"/>
          <w:color w:val="000000"/>
          <w:sz w:val="20"/>
        </w:rPr>
        <w:t>after expiration.</w:t>
      </w:r>
      <w:r>
        <w:rPr>
          <w:rFonts w:ascii="Times New Roman" w:hAnsi="Times New Roman"/>
          <w:color w:val="000000"/>
          <w:sz w:val="20"/>
        </w:rPr>
        <w:t xml:space="preserve"> </w:t>
      </w:r>
      <w:r>
        <w:rPr>
          <w:rFonts w:ascii="Times New Roman" w:hAnsi="Times New Roman"/>
          <w:b w:val="false"/>
          <w:color w:val="000000"/>
          <w:sz w:val="20"/>
        </w:rPr>
        <w:t>The Company has the right to exercise or forego the lease renewal options. The lease agreements do not contain any material residual value guarantees or material restrictive covenants.</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The following table presents the maturities and balance sheet information of the Company’s operating lease liabilities as of September 30, 2023 (in thousands, except lease term and discount rate):</w:t>
      </w:r>
    </w:p>
    <w:tbl>
      <w:tblPr>
        <w:tblW w:w="6343" w:type="dxa"/>
        <w:jc w:val="left"/>
        <w:tblInd w:w="0" w:type="dxa"/>
        <w:tblLayout w:type="fixed"/>
        <w:tblCellMar>
          <w:top w:w="28" w:type="dxa"/>
          <w:left w:w="28" w:type="dxa"/>
          <w:bottom w:w="28" w:type="dxa"/>
          <w:right w:w="28" w:type="dxa"/>
        </w:tblCellMar>
      </w:tblPr>
      <w:tblGrid>
        <w:gridCol w:w="4111"/>
        <w:gridCol w:w="146"/>
        <w:gridCol w:w="443"/>
        <w:gridCol w:w="1327"/>
        <w:gridCol w:w="316"/>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 Leases</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2023</w:t>
            </w:r>
          </w:p>
        </w:tc>
        <w:tc>
          <w:tcPr>
            <w:tcW w:w="146" w:type="dxa"/>
            <w:tcBorders/>
            <w:shd w:fill="CFF0FC" w:val="clear"/>
            <w:vAlign w:val="center"/>
          </w:tcPr>
          <w:p>
            <w:pPr>
              <w:pStyle w:val="TableContents"/>
              <w:bidi w:val="0"/>
              <w:spacing w:before="0" w:after="283"/>
              <w:jc w:val="left"/>
              <w:rPr/>
            </w:pPr>
            <w:r>
              <w:rPr/>
              <w:t> </w:t>
            </w:r>
          </w:p>
        </w:tc>
        <w:tc>
          <w:tcPr>
            <w:tcW w:w="44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32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310</w:t>
            </w:r>
          </w:p>
        </w:tc>
        <w:tc>
          <w:tcPr>
            <w:tcW w:w="316" w:type="dxa"/>
            <w:tcBorders/>
            <w:shd w:fill="CFF0FC" w:val="clear"/>
            <w:vAlign w:val="center"/>
          </w:tcPr>
          <w:p>
            <w:pPr>
              <w:pStyle w:val="TableContents"/>
              <w:bidi w:val="0"/>
              <w:spacing w:before="0" w:after="283"/>
              <w:jc w:val="left"/>
              <w:rPr/>
            </w:pPr>
            <w:r>
              <w:rPr/>
              <w:t> </w:t>
            </w:r>
          </w:p>
        </w:tc>
      </w:tr>
      <w:tr>
        <w:trPr/>
        <w:tc>
          <w:tcPr>
            <w:tcW w:w="41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2024</w:t>
            </w:r>
          </w:p>
        </w:tc>
        <w:tc>
          <w:tcPr>
            <w:tcW w:w="146" w:type="dxa"/>
            <w:tcBorders/>
            <w:shd w:fill="FFFFFF" w:val="clear"/>
            <w:vAlign w:val="center"/>
          </w:tcPr>
          <w:p>
            <w:pPr>
              <w:pStyle w:val="TableContents"/>
              <w:bidi w:val="0"/>
              <w:spacing w:before="0" w:after="283"/>
              <w:jc w:val="left"/>
              <w:rPr/>
            </w:pPr>
            <w:r>
              <w:rPr/>
              <w:t> </w:t>
            </w:r>
          </w:p>
        </w:tc>
        <w:tc>
          <w:tcPr>
            <w:tcW w:w="443" w:type="dxa"/>
            <w:tcBorders/>
            <w:shd w:fill="FFFFFF" w:val="clear"/>
            <w:vAlign w:val="center"/>
          </w:tcPr>
          <w:p>
            <w:pPr>
              <w:pStyle w:val="TableContents"/>
              <w:bidi w:val="0"/>
              <w:spacing w:before="0" w:after="283"/>
              <w:jc w:val="left"/>
              <w:rPr/>
            </w:pPr>
            <w:r>
              <w:rPr/>
              <w:t> </w:t>
            </w:r>
          </w:p>
        </w:tc>
        <w:tc>
          <w:tcPr>
            <w:tcW w:w="132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1,267</w:t>
            </w:r>
          </w:p>
        </w:tc>
        <w:tc>
          <w:tcPr>
            <w:tcW w:w="316" w:type="dxa"/>
            <w:tcBorders/>
            <w:shd w:fill="FFFFFF" w:val="clear"/>
            <w:vAlign w:val="center"/>
          </w:tcPr>
          <w:p>
            <w:pPr>
              <w:pStyle w:val="TableContents"/>
              <w:bidi w:val="0"/>
              <w:spacing w:before="0" w:after="283"/>
              <w:jc w:val="left"/>
              <w:rPr/>
            </w:pPr>
            <w:r>
              <w:rPr/>
              <w:t> </w:t>
            </w:r>
          </w:p>
        </w:tc>
      </w:tr>
      <w:tr>
        <w:trPr/>
        <w:tc>
          <w:tcPr>
            <w:tcW w:w="41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2025</w:t>
            </w:r>
          </w:p>
        </w:tc>
        <w:tc>
          <w:tcPr>
            <w:tcW w:w="146" w:type="dxa"/>
            <w:tcBorders/>
            <w:shd w:fill="CFF0FC" w:val="clear"/>
            <w:vAlign w:val="center"/>
          </w:tcPr>
          <w:p>
            <w:pPr>
              <w:pStyle w:val="TableContents"/>
              <w:bidi w:val="0"/>
              <w:spacing w:before="0" w:after="283"/>
              <w:jc w:val="left"/>
              <w:rPr/>
            </w:pPr>
            <w:r>
              <w:rPr/>
              <w:t> </w:t>
            </w:r>
          </w:p>
        </w:tc>
        <w:tc>
          <w:tcPr>
            <w:tcW w:w="443" w:type="dxa"/>
            <w:tcBorders/>
            <w:shd w:fill="CFF0FC" w:val="clear"/>
            <w:vAlign w:val="center"/>
          </w:tcPr>
          <w:p>
            <w:pPr>
              <w:pStyle w:val="TableContents"/>
              <w:bidi w:val="0"/>
              <w:spacing w:before="0" w:after="283"/>
              <w:jc w:val="left"/>
              <w:rPr/>
            </w:pPr>
            <w:r>
              <w:rPr/>
              <w:t> </w:t>
            </w:r>
          </w:p>
        </w:tc>
        <w:tc>
          <w:tcPr>
            <w:tcW w:w="132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1,305</w:t>
            </w:r>
          </w:p>
        </w:tc>
        <w:tc>
          <w:tcPr>
            <w:tcW w:w="316" w:type="dxa"/>
            <w:tcBorders/>
            <w:shd w:fill="CFF0FC" w:val="clear"/>
            <w:vAlign w:val="center"/>
          </w:tcPr>
          <w:p>
            <w:pPr>
              <w:pStyle w:val="TableContents"/>
              <w:bidi w:val="0"/>
              <w:spacing w:before="0" w:after="283"/>
              <w:jc w:val="left"/>
              <w:rPr/>
            </w:pPr>
            <w:r>
              <w:rPr/>
              <w:t> </w:t>
            </w:r>
          </w:p>
        </w:tc>
      </w:tr>
      <w:tr>
        <w:trPr/>
        <w:tc>
          <w:tcPr>
            <w:tcW w:w="41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2026</w:t>
            </w:r>
          </w:p>
        </w:tc>
        <w:tc>
          <w:tcPr>
            <w:tcW w:w="146" w:type="dxa"/>
            <w:tcBorders/>
            <w:shd w:fill="FFFFFF" w:val="clear"/>
            <w:vAlign w:val="center"/>
          </w:tcPr>
          <w:p>
            <w:pPr>
              <w:pStyle w:val="TableContents"/>
              <w:bidi w:val="0"/>
              <w:spacing w:before="0" w:after="283"/>
              <w:jc w:val="left"/>
              <w:rPr/>
            </w:pPr>
            <w:r>
              <w:rPr/>
              <w:t> </w:t>
            </w:r>
          </w:p>
        </w:tc>
        <w:tc>
          <w:tcPr>
            <w:tcW w:w="443" w:type="dxa"/>
            <w:tcBorders/>
            <w:shd w:fill="FFFFFF" w:val="clear"/>
            <w:vAlign w:val="center"/>
          </w:tcPr>
          <w:p>
            <w:pPr>
              <w:pStyle w:val="TableContents"/>
              <w:bidi w:val="0"/>
              <w:spacing w:before="0" w:after="283"/>
              <w:jc w:val="left"/>
              <w:rPr/>
            </w:pPr>
            <w:r>
              <w:rPr/>
              <w:t> </w:t>
            </w:r>
          </w:p>
        </w:tc>
        <w:tc>
          <w:tcPr>
            <w:tcW w:w="132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1,187</w:t>
            </w:r>
          </w:p>
        </w:tc>
        <w:tc>
          <w:tcPr>
            <w:tcW w:w="316" w:type="dxa"/>
            <w:tcBorders/>
            <w:shd w:fill="FFFFFF" w:val="clear"/>
            <w:vAlign w:val="center"/>
          </w:tcPr>
          <w:p>
            <w:pPr>
              <w:pStyle w:val="TableContents"/>
              <w:bidi w:val="0"/>
              <w:spacing w:before="0" w:after="283"/>
              <w:jc w:val="left"/>
              <w:rPr/>
            </w:pPr>
            <w:r>
              <w:rPr/>
              <w:t> </w:t>
            </w:r>
          </w:p>
        </w:tc>
      </w:tr>
      <w:tr>
        <w:trPr/>
        <w:tc>
          <w:tcPr>
            <w:tcW w:w="41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2027</w:t>
            </w:r>
          </w:p>
        </w:tc>
        <w:tc>
          <w:tcPr>
            <w:tcW w:w="146" w:type="dxa"/>
            <w:tcBorders/>
            <w:shd w:fill="CFF0FC" w:val="clear"/>
            <w:vAlign w:val="center"/>
          </w:tcPr>
          <w:p>
            <w:pPr>
              <w:pStyle w:val="TableContents"/>
              <w:bidi w:val="0"/>
              <w:spacing w:before="0" w:after="283"/>
              <w:jc w:val="left"/>
              <w:rPr/>
            </w:pPr>
            <w:r>
              <w:rPr/>
              <w:t> </w:t>
            </w:r>
          </w:p>
        </w:tc>
        <w:tc>
          <w:tcPr>
            <w:tcW w:w="443" w:type="dxa"/>
            <w:tcBorders/>
            <w:shd w:fill="CFF0FC" w:val="clear"/>
            <w:vAlign w:val="center"/>
          </w:tcPr>
          <w:p>
            <w:pPr>
              <w:pStyle w:val="TableContents"/>
              <w:bidi w:val="0"/>
              <w:spacing w:before="0" w:after="283"/>
              <w:jc w:val="left"/>
              <w:rPr/>
            </w:pPr>
            <w:r>
              <w:rPr/>
              <w:t> </w:t>
            </w:r>
          </w:p>
        </w:tc>
        <w:tc>
          <w:tcPr>
            <w:tcW w:w="132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912</w:t>
            </w:r>
          </w:p>
        </w:tc>
        <w:tc>
          <w:tcPr>
            <w:tcW w:w="316" w:type="dxa"/>
            <w:tcBorders/>
            <w:shd w:fill="CFF0FC" w:val="clear"/>
            <w:vAlign w:val="center"/>
          </w:tcPr>
          <w:p>
            <w:pPr>
              <w:pStyle w:val="TableContents"/>
              <w:bidi w:val="0"/>
              <w:spacing w:before="0" w:after="283"/>
              <w:jc w:val="left"/>
              <w:rPr/>
            </w:pPr>
            <w:r>
              <w:rPr/>
              <w:t> </w:t>
            </w:r>
          </w:p>
        </w:tc>
      </w:tr>
      <w:tr>
        <w:trPr/>
        <w:tc>
          <w:tcPr>
            <w:tcW w:w="41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Thereafter</w:t>
            </w:r>
          </w:p>
        </w:tc>
        <w:tc>
          <w:tcPr>
            <w:tcW w:w="146" w:type="dxa"/>
            <w:tcBorders/>
            <w:shd w:fill="FFFFFF" w:val="clear"/>
            <w:vAlign w:val="center"/>
          </w:tcPr>
          <w:p>
            <w:pPr>
              <w:pStyle w:val="TableContents"/>
              <w:bidi w:val="0"/>
              <w:spacing w:before="0" w:after="283"/>
              <w:jc w:val="left"/>
              <w:rPr/>
            </w:pPr>
            <w:r>
              <w:rPr/>
              <w:t> </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2,069</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lease payments</w:t>
            </w:r>
          </w:p>
        </w:tc>
        <w:tc>
          <w:tcPr>
            <w:tcW w:w="146" w:type="dxa"/>
            <w:tcBorders/>
            <w:shd w:fill="CFF0FC" w:val="clear"/>
            <w:vAlign w:val="center"/>
          </w:tcPr>
          <w:p>
            <w:pPr>
              <w:pStyle w:val="TableContents"/>
              <w:bidi w:val="0"/>
              <w:spacing w:before="0" w:after="283"/>
              <w:jc w:val="left"/>
              <w:rPr/>
            </w:pPr>
            <w:r>
              <w:rPr/>
              <w:t> </w:t>
            </w:r>
          </w:p>
        </w:tc>
        <w:tc>
          <w:tcPr>
            <w:tcW w:w="443" w:type="dxa"/>
            <w:tcBorders/>
            <w:shd w:fill="CFF0FC" w:val="clear"/>
            <w:vAlign w:val="center"/>
          </w:tcPr>
          <w:p>
            <w:pPr>
              <w:pStyle w:val="TableContents"/>
              <w:bidi w:val="0"/>
              <w:spacing w:before="0" w:after="283"/>
              <w:jc w:val="left"/>
              <w:rPr/>
            </w:pPr>
            <w:r>
              <w:rPr/>
              <w:t> </w:t>
            </w:r>
          </w:p>
        </w:tc>
        <w:tc>
          <w:tcPr>
            <w:tcW w:w="132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7,050</w:t>
            </w:r>
          </w:p>
        </w:tc>
        <w:tc>
          <w:tcPr>
            <w:tcW w:w="316" w:type="dxa"/>
            <w:tcBorders/>
            <w:shd w:fill="CFF0FC" w:val="clear"/>
            <w:vAlign w:val="center"/>
          </w:tcPr>
          <w:p>
            <w:pPr>
              <w:pStyle w:val="TableContents"/>
              <w:bidi w:val="0"/>
              <w:spacing w:before="0" w:after="283"/>
              <w:jc w:val="left"/>
              <w:rPr/>
            </w:pPr>
            <w:r>
              <w:rPr/>
              <w:t> </w:t>
            </w:r>
          </w:p>
        </w:tc>
      </w:tr>
      <w:tr>
        <w:trPr/>
        <w:tc>
          <w:tcPr>
            <w:tcW w:w="41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Less: imputed interest</w:t>
            </w:r>
          </w:p>
        </w:tc>
        <w:tc>
          <w:tcPr>
            <w:tcW w:w="146" w:type="dxa"/>
            <w:tcBorders/>
            <w:shd w:fill="FFFFFF" w:val="clear"/>
            <w:vAlign w:val="center"/>
          </w:tcPr>
          <w:p>
            <w:pPr>
              <w:pStyle w:val="TableContents"/>
              <w:bidi w:val="0"/>
              <w:spacing w:before="0" w:after="283"/>
              <w:jc w:val="left"/>
              <w:rPr/>
            </w:pPr>
            <w:r>
              <w:rPr/>
              <w:t> </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(1,596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1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lease liabilities</w:t>
            </w:r>
          </w:p>
        </w:tc>
        <w:tc>
          <w:tcPr>
            <w:tcW w:w="146" w:type="dxa"/>
            <w:tcBorders/>
            <w:shd w:fill="CFF0FC" w:val="clear"/>
            <w:vAlign w:val="center"/>
          </w:tcPr>
          <w:p>
            <w:pPr>
              <w:pStyle w:val="TableContents"/>
              <w:bidi w:val="0"/>
              <w:spacing w:before="0" w:after="283"/>
              <w:jc w:val="left"/>
              <w:rPr/>
            </w:pPr>
            <w:r>
              <w:rPr/>
              <w:t> </w:t>
            </w:r>
          </w:p>
        </w:tc>
        <w:tc>
          <w:tcPr>
            <w:tcW w:w="4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3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5,454</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70" w:type="dxa"/>
            <w:gridSpan w:val="2"/>
            <w:tcBorders/>
            <w:shd w:fill="FFFFFF" w:val="clear"/>
            <w:vAlign w:val="center"/>
          </w:tcPr>
          <w:p>
            <w:pPr>
              <w:pStyle w:val="TableContents"/>
              <w:bidi w:val="0"/>
              <w:spacing w:before="0" w:after="283"/>
              <w:jc w:val="right"/>
              <w:rPr/>
            </w:pPr>
            <w:r>
              <w:rPr/>
              <w:t> </w:t>
            </w:r>
          </w:p>
        </w:tc>
        <w:tc>
          <w:tcPr>
            <w:tcW w:w="316" w:type="dxa"/>
            <w:tcBorders/>
            <w:shd w:fill="FFFFFF" w:val="clear"/>
            <w:vAlign w:val="center"/>
          </w:tcPr>
          <w:p>
            <w:pPr>
              <w:pStyle w:val="TableContents"/>
              <w:bidi w:val="0"/>
              <w:spacing w:before="0" w:after="283"/>
              <w:jc w:val="right"/>
              <w:rPr/>
            </w:pPr>
            <w:r>
              <w:rPr/>
              <w:t> </w:t>
            </w:r>
          </w:p>
        </w:tc>
      </w:tr>
      <w:tr>
        <w:trPr/>
        <w:tc>
          <w:tcPr>
            <w:tcW w:w="411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Lease liabilities: current</w:t>
            </w:r>
            <w:r>
              <w:rPr>
                <w:rFonts w:ascii="Times New Roman" w:hAnsi="Times New Roman"/>
                <w:color w:val="000000"/>
                <w:sz w:val="20"/>
              </w:rPr>
              <w:t xml:space="preserve"> </w:t>
            </w:r>
            <w:r>
              <w:rPr>
                <w:rFonts w:ascii="Times New Roman" w:hAnsi="Times New Roman"/>
                <w:b w:val="false"/>
                <w:color w:val="000000"/>
                <w:sz w:val="13"/>
              </w:rPr>
              <w:t>(i)</w:t>
            </w:r>
          </w:p>
        </w:tc>
        <w:tc>
          <w:tcPr>
            <w:tcW w:w="146" w:type="dxa"/>
            <w:tcBorders/>
            <w:shd w:fill="CFF0FC" w:val="clear"/>
            <w:vAlign w:val="center"/>
          </w:tcPr>
          <w:p>
            <w:pPr>
              <w:pStyle w:val="TableContents"/>
              <w:bidi w:val="0"/>
              <w:spacing w:before="0" w:after="283"/>
              <w:jc w:val="left"/>
              <w:rPr/>
            </w:pPr>
            <w:r>
              <w:rPr/>
              <w:t> </w:t>
            </w:r>
          </w:p>
        </w:tc>
        <w:tc>
          <w:tcPr>
            <w:tcW w:w="44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32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823</w:t>
            </w:r>
          </w:p>
        </w:tc>
        <w:tc>
          <w:tcPr>
            <w:tcW w:w="316" w:type="dxa"/>
            <w:tcBorders/>
            <w:shd w:fill="CFF0FC" w:val="clear"/>
            <w:vAlign w:val="center"/>
          </w:tcPr>
          <w:p>
            <w:pPr>
              <w:pStyle w:val="TableContents"/>
              <w:bidi w:val="0"/>
              <w:spacing w:before="0" w:after="283"/>
              <w:jc w:val="left"/>
              <w:rPr/>
            </w:pPr>
            <w:r>
              <w:rPr/>
              <w:t> </w:t>
            </w:r>
          </w:p>
        </w:tc>
      </w:tr>
      <w:tr>
        <w:trPr/>
        <w:tc>
          <w:tcPr>
            <w:tcW w:w="411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Lease liabilities: non-current</w:t>
            </w:r>
            <w:r>
              <w:rPr>
                <w:rFonts w:ascii="Times New Roman" w:hAnsi="Times New Roman"/>
                <w:color w:val="000000"/>
                <w:sz w:val="20"/>
              </w:rPr>
              <w:t xml:space="preserve"> </w:t>
            </w:r>
            <w:r>
              <w:rPr>
                <w:rFonts w:ascii="Times New Roman" w:hAnsi="Times New Roman"/>
                <w:b w:val="false"/>
                <w:color w:val="000000"/>
                <w:sz w:val="13"/>
              </w:rPr>
              <w:t>(ii)</w:t>
            </w:r>
          </w:p>
        </w:tc>
        <w:tc>
          <w:tcPr>
            <w:tcW w:w="146" w:type="dxa"/>
            <w:tcBorders/>
            <w:shd w:fill="FFFFFF" w:val="clear"/>
            <w:vAlign w:val="center"/>
          </w:tcPr>
          <w:p>
            <w:pPr>
              <w:pStyle w:val="TableContents"/>
              <w:bidi w:val="0"/>
              <w:spacing w:before="0" w:after="283"/>
              <w:jc w:val="left"/>
              <w:rPr/>
            </w:pPr>
            <w:r>
              <w:rPr/>
              <w:t> </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lease liabilities</w:t>
            </w:r>
          </w:p>
        </w:tc>
        <w:tc>
          <w:tcPr>
            <w:tcW w:w="146" w:type="dxa"/>
            <w:tcBorders/>
            <w:shd w:fill="CFF0FC" w:val="clear"/>
            <w:vAlign w:val="center"/>
          </w:tcPr>
          <w:p>
            <w:pPr>
              <w:pStyle w:val="TableContents"/>
              <w:bidi w:val="0"/>
              <w:spacing w:before="0" w:after="283"/>
              <w:jc w:val="left"/>
              <w:rPr/>
            </w:pPr>
            <w:r>
              <w:rPr/>
              <w:t> </w:t>
            </w:r>
          </w:p>
        </w:tc>
        <w:tc>
          <w:tcPr>
            <w:tcW w:w="4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3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5,454</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70" w:type="dxa"/>
            <w:gridSpan w:val="2"/>
            <w:tcBorders/>
            <w:shd w:fill="FFFFFF" w:val="clear"/>
            <w:vAlign w:val="center"/>
          </w:tcPr>
          <w:p>
            <w:pPr>
              <w:pStyle w:val="TableContents"/>
              <w:bidi w:val="0"/>
              <w:spacing w:before="0" w:after="283"/>
              <w:jc w:val="right"/>
              <w:rPr/>
            </w:pPr>
            <w:r>
              <w:rPr/>
              <w:t> </w:t>
            </w:r>
          </w:p>
        </w:tc>
        <w:tc>
          <w:tcPr>
            <w:tcW w:w="316" w:type="dxa"/>
            <w:tcBorders/>
            <w:shd w:fill="FFFFFF" w:val="clear"/>
            <w:vAlign w:val="center"/>
          </w:tcPr>
          <w:p>
            <w:pPr>
              <w:pStyle w:val="TableContents"/>
              <w:bidi w:val="0"/>
              <w:spacing w:before="0" w:after="283"/>
              <w:jc w:val="right"/>
              <w:rPr/>
            </w:pPr>
            <w:r>
              <w:rPr/>
              <w:t> </w:t>
            </w:r>
          </w:p>
        </w:tc>
      </w:tr>
      <w:tr>
        <w:trPr/>
        <w:tc>
          <w:tcPr>
            <w:tcW w:w="41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Weighted average remaining lease term (in years)</w:t>
            </w:r>
          </w:p>
        </w:tc>
        <w:tc>
          <w:tcPr>
            <w:tcW w:w="146" w:type="dxa"/>
            <w:tcBorders/>
            <w:shd w:fill="CFF0FC" w:val="clear"/>
            <w:vAlign w:val="center"/>
          </w:tcPr>
          <w:p>
            <w:pPr>
              <w:pStyle w:val="TableContents"/>
              <w:bidi w:val="0"/>
              <w:spacing w:before="0" w:after="283"/>
              <w:jc w:val="left"/>
              <w:rPr/>
            </w:pPr>
            <w:r>
              <w:rPr/>
              <w:t> </w:t>
            </w:r>
          </w:p>
        </w:tc>
        <w:tc>
          <w:tcPr>
            <w:tcW w:w="443" w:type="dxa"/>
            <w:tcBorders/>
            <w:shd w:fill="CFF0FC" w:val="clear"/>
            <w:vAlign w:val="center"/>
          </w:tcPr>
          <w:p>
            <w:pPr>
              <w:pStyle w:val="TableContents"/>
              <w:bidi w:val="0"/>
              <w:spacing w:before="0" w:after="283"/>
              <w:jc w:val="left"/>
              <w:rPr/>
            </w:pPr>
            <w:r>
              <w:rPr/>
              <w:t> </w:t>
            </w:r>
          </w:p>
        </w:tc>
        <w:tc>
          <w:tcPr>
            <w:tcW w:w="132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w:t>
            </w:r>
          </w:p>
        </w:tc>
        <w:tc>
          <w:tcPr>
            <w:tcW w:w="316" w:type="dxa"/>
            <w:tcBorders/>
            <w:shd w:fill="CFF0FC" w:val="clear"/>
            <w:vAlign w:val="center"/>
          </w:tcPr>
          <w:p>
            <w:pPr>
              <w:pStyle w:val="TableContents"/>
              <w:bidi w:val="0"/>
              <w:spacing w:before="0" w:after="283"/>
              <w:jc w:val="left"/>
              <w:rPr/>
            </w:pPr>
            <w:r>
              <w:rPr/>
              <w:t> </w:t>
            </w:r>
          </w:p>
        </w:tc>
      </w:tr>
      <w:tr>
        <w:trPr/>
        <w:tc>
          <w:tcPr>
            <w:tcW w:w="41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Weighted average discount rate</w:t>
            </w:r>
          </w:p>
        </w:tc>
        <w:tc>
          <w:tcPr>
            <w:tcW w:w="146" w:type="dxa"/>
            <w:tcBorders/>
            <w:shd w:fill="FFFFFF" w:val="clear"/>
            <w:vAlign w:val="center"/>
          </w:tcPr>
          <w:p>
            <w:pPr>
              <w:pStyle w:val="TableContents"/>
              <w:bidi w:val="0"/>
              <w:spacing w:before="0" w:after="283"/>
              <w:jc w:val="left"/>
              <w:rPr/>
            </w:pPr>
            <w:r>
              <w:rPr/>
              <w:t> </w:t>
            </w:r>
          </w:p>
        </w:tc>
        <w:tc>
          <w:tcPr>
            <w:tcW w:w="443" w:type="dxa"/>
            <w:tcBorders/>
            <w:shd w:fill="FFFFFF" w:val="clear"/>
            <w:vAlign w:val="center"/>
          </w:tcPr>
          <w:p>
            <w:pPr>
              <w:pStyle w:val="TableContents"/>
              <w:bidi w:val="0"/>
              <w:spacing w:before="0" w:after="283"/>
              <w:jc w:val="left"/>
              <w:rPr/>
            </w:pPr>
            <w:r>
              <w:rPr/>
              <w:t> </w:t>
            </w:r>
          </w:p>
        </w:tc>
        <w:tc>
          <w:tcPr>
            <w:tcW w:w="132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w:t>
            </w:r>
          </w:p>
        </w:tc>
        <w:tc>
          <w:tcPr>
            <w:tcW w:w="3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120" w:after="283"/>
        <w:jc w:val="left"/>
        <w:rPr>
          <w:rFonts w:ascii="Times New Roman" w:hAnsi="Times New Roman"/>
          <w:b w:val="false"/>
          <w:color w:val="000000"/>
          <w:sz w:val="18"/>
        </w:rPr>
      </w:pPr>
      <w:r>
        <w:rPr>
          <w:rFonts w:ascii="Times New Roman" w:hAnsi="Times New Roman"/>
          <w:b w:val="false"/>
          <w:color w:val="000000"/>
          <w:sz w:val="18"/>
        </w:rPr>
        <w:t>(i)</w:t>
      </w:r>
    </w:p>
    <w:p>
      <w:pPr>
        <w:pStyle w:val="TextBody"/>
        <w:bidi w:val="0"/>
        <w:spacing w:before="120" w:after="283"/>
        <w:jc w:val="left"/>
        <w:rPr>
          <w:rFonts w:ascii="Times New Roman" w:hAnsi="Times New Roman"/>
          <w:b w:val="false"/>
          <w:color w:val="000000"/>
          <w:sz w:val="18"/>
        </w:rPr>
      </w:pPr>
      <w:r>
        <w:rPr>
          <w:rFonts w:ascii="Times New Roman" w:hAnsi="Times New Roman"/>
          <w:b w:val="false"/>
          <w:color w:val="000000"/>
          <w:sz w:val="18"/>
        </w:rPr>
        <w:t>Current lease liabilities are presented within accrued expenses and other current liabilities on the condensed consolidated balance sheets.</w:t>
      </w:r>
    </w:p>
    <w:p>
      <w:pPr>
        <w:pStyle w:val="TextBody"/>
        <w:bidi w:val="0"/>
        <w:spacing w:before="120" w:after="283"/>
        <w:jc w:val="left"/>
        <w:rPr>
          <w:rFonts w:ascii="Times New Roman" w:hAnsi="Times New Roman"/>
          <w:b w:val="false"/>
          <w:color w:val="000000"/>
          <w:sz w:val="18"/>
        </w:rPr>
      </w:pPr>
      <w:r>
        <w:rPr>
          <w:rFonts w:ascii="Times New Roman" w:hAnsi="Times New Roman"/>
          <w:b w:val="false"/>
          <w:color w:val="000000"/>
          <w:sz w:val="18"/>
        </w:rPr>
        <w:t>(ii)</w:t>
      </w:r>
    </w:p>
    <w:p>
      <w:pPr>
        <w:pStyle w:val="TextBody"/>
        <w:bidi w:val="0"/>
        <w:spacing w:before="120" w:after="283"/>
        <w:jc w:val="left"/>
        <w:rPr>
          <w:rFonts w:ascii="Times New Roman" w:hAnsi="Times New Roman"/>
          <w:b w:val="false"/>
          <w:color w:val="000000"/>
          <w:sz w:val="18"/>
        </w:rPr>
      </w:pPr>
      <w:r>
        <w:rPr>
          <w:rFonts w:ascii="Times New Roman" w:hAnsi="Times New Roman"/>
          <w:b w:val="false"/>
          <w:color w:val="000000"/>
          <w:sz w:val="18"/>
        </w:rPr>
        <w:t>Non-current lease liabilities are presented within other non-current liabilities on the condensed consolidated balance sheets.</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The following table presents the components of lease costs for the three months and nine months ended September 30, 2023 and 2022 (in thousands):</w:t>
      </w:r>
      <w:r>
        <w:rPr>
          <w:rFonts w:ascii="Times New Roman" w:hAnsi="Times New Roman"/>
          <w:color w:val="000000"/>
          <w:sz w:val="20"/>
        </w:rPr>
        <w:t xml:space="preserve"> </w:t>
      </w:r>
    </w:p>
    <w:tbl>
      <w:tblPr>
        <w:tblW w:w="7670" w:type="dxa"/>
        <w:jc w:val="left"/>
        <w:tblInd w:w="0" w:type="dxa"/>
        <w:tblLayout w:type="fixed"/>
        <w:tblCellMar>
          <w:top w:w="28" w:type="dxa"/>
          <w:left w:w="28" w:type="dxa"/>
          <w:bottom w:w="28" w:type="dxa"/>
          <w:right w:w="28" w:type="dxa"/>
        </w:tblCellMar>
      </w:tblPr>
      <w:tblGrid>
        <w:gridCol w:w="3111"/>
        <w:gridCol w:w="146"/>
        <w:gridCol w:w="254"/>
        <w:gridCol w:w="507"/>
        <w:gridCol w:w="176"/>
        <w:gridCol w:w="176"/>
        <w:gridCol w:w="254"/>
        <w:gridCol w:w="507"/>
        <w:gridCol w:w="146"/>
        <w:gridCol w:w="146"/>
        <w:gridCol w:w="211"/>
        <w:gridCol w:w="571"/>
        <w:gridCol w:w="146"/>
        <w:gridCol w:w="146"/>
        <w:gridCol w:w="211"/>
        <w:gridCol w:w="571"/>
        <w:gridCol w:w="391"/>
      </w:tblGrid>
      <w:tr>
        <w:trPr/>
        <w:tc>
          <w:tcPr>
            <w:tcW w:w="3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74"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56"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w:t>
            </w:r>
          </w:p>
        </w:tc>
        <w:tc>
          <w:tcPr>
            <w:tcW w:w="391" w:type="dxa"/>
            <w:tcBorders/>
            <w:shd w:fill="FFFFFF" w:val="clear"/>
            <w:vAlign w:val="center"/>
          </w:tcPr>
          <w:p>
            <w:pPr>
              <w:pStyle w:val="TableContents"/>
              <w:bidi w:val="0"/>
              <w:spacing w:before="0" w:after="283"/>
              <w:jc w:val="center"/>
              <w:rPr/>
            </w:pPr>
            <w:r>
              <w:rPr/>
              <w:t> </w:t>
            </w:r>
          </w:p>
        </w:tc>
      </w:tr>
      <w:tr>
        <w:trPr/>
        <w:tc>
          <w:tcPr>
            <w:tcW w:w="31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shd w:fill="FFFFFF" w:val="clear"/>
            <w:vAlign w:val="center"/>
          </w:tcPr>
          <w:p>
            <w:pPr>
              <w:pStyle w:val="TableContents"/>
              <w:bidi w:val="0"/>
              <w:spacing w:before="0" w:after="283"/>
              <w:jc w:val="left"/>
              <w:rPr/>
            </w:pPr>
            <w:r>
              <w:rPr/>
              <w:t> </w:t>
            </w:r>
          </w:p>
        </w:tc>
        <w:tc>
          <w:tcPr>
            <w:tcW w:w="7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lease cost</w:t>
            </w:r>
          </w:p>
        </w:tc>
        <w:tc>
          <w:tcPr>
            <w:tcW w:w="14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0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317</w:t>
            </w:r>
          </w:p>
        </w:tc>
        <w:tc>
          <w:tcPr>
            <w:tcW w:w="176" w:type="dxa"/>
            <w:tcBorders/>
            <w:shd w:fill="CFF0FC" w:val="clear"/>
            <w:vAlign w:val="center"/>
          </w:tcPr>
          <w:p>
            <w:pPr>
              <w:pStyle w:val="TableContents"/>
              <w:bidi w:val="0"/>
              <w:spacing w:before="0" w:after="283"/>
              <w:jc w:val="left"/>
              <w:rPr/>
            </w:pPr>
            <w:r>
              <w:rPr/>
              <w:t> </w:t>
            </w:r>
          </w:p>
        </w:tc>
        <w:tc>
          <w:tcPr>
            <w:tcW w:w="17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0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840</w:t>
            </w:r>
          </w:p>
        </w:tc>
        <w:tc>
          <w:tcPr>
            <w:tcW w:w="391" w:type="dxa"/>
            <w:tcBorders/>
            <w:shd w:fill="CFF0FC" w:val="clear"/>
            <w:vAlign w:val="center"/>
          </w:tcPr>
          <w:p>
            <w:pPr>
              <w:pStyle w:val="TableContents"/>
              <w:bidi w:val="0"/>
              <w:spacing w:before="0" w:after="283"/>
              <w:jc w:val="left"/>
              <w:rPr/>
            </w:pPr>
            <w:r>
              <w:rPr/>
              <w:t> </w:t>
            </w:r>
          </w:p>
        </w:tc>
      </w:tr>
      <w:tr>
        <w:trPr/>
        <w:tc>
          <w:tcPr>
            <w:tcW w:w="311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 xml:space="preserve">Variable lease cost and other, net </w:t>
            </w:r>
            <w:r>
              <w:rPr>
                <w:rFonts w:ascii="Times New Roman" w:hAnsi="Times New Roman"/>
                <w:b w:val="false"/>
                <w:color w:val="000000"/>
                <w:sz w:val="13"/>
              </w:rPr>
              <w:t>(i)</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128</w:t>
            </w:r>
          </w:p>
        </w:tc>
        <w:tc>
          <w:tcPr>
            <w:tcW w:w="176"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203</w:t>
            </w:r>
          </w:p>
        </w:tc>
        <w:tc>
          <w:tcPr>
            <w:tcW w:w="391" w:type="dxa"/>
            <w:tcBorders/>
            <w:shd w:fill="FFFFFF" w:val="clear"/>
            <w:vAlign w:val="center"/>
          </w:tcPr>
          <w:p>
            <w:pPr>
              <w:pStyle w:val="TableContents"/>
              <w:bidi w:val="0"/>
              <w:spacing w:before="0" w:after="283"/>
              <w:jc w:val="left"/>
              <w:rPr/>
            </w:pPr>
            <w:r>
              <w:rPr/>
              <w:t> </w:t>
            </w:r>
          </w:p>
        </w:tc>
      </w:tr>
      <w:tr>
        <w:trPr/>
        <w:tc>
          <w:tcPr>
            <w:tcW w:w="31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Short-term lease cost</w:t>
            </w:r>
          </w:p>
        </w:tc>
        <w:tc>
          <w:tcPr>
            <w:tcW w:w="14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pPr>
            <w:r>
              <w:rPr/>
              <w:t> </w:t>
            </w:r>
          </w:p>
        </w:tc>
        <w:tc>
          <w:tcPr>
            <w:tcW w:w="50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c>
          <w:tcPr>
            <w:tcW w:w="176" w:type="dxa"/>
            <w:tcBorders/>
            <w:shd w:fill="CFF0FC" w:val="clear"/>
            <w:vAlign w:val="center"/>
          </w:tcPr>
          <w:p>
            <w:pPr>
              <w:pStyle w:val="TableContents"/>
              <w:bidi w:val="0"/>
              <w:spacing w:before="0" w:after="283"/>
              <w:jc w:val="left"/>
              <w:rPr/>
            </w:pPr>
            <w:r>
              <w:rPr/>
              <w:t> </w:t>
            </w:r>
          </w:p>
        </w:tc>
        <w:tc>
          <w:tcPr>
            <w:tcW w:w="17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pPr>
            <w:r>
              <w:rPr/>
              <w:t> </w:t>
            </w:r>
          </w:p>
        </w:tc>
        <w:tc>
          <w:tcPr>
            <w:tcW w:w="50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w:t>
            </w:r>
          </w:p>
        </w:tc>
        <w:tc>
          <w:tcPr>
            <w:tcW w:w="391" w:type="dxa"/>
            <w:tcBorders/>
            <w:shd w:fill="CFF0FC" w:val="clear"/>
            <w:vAlign w:val="center"/>
          </w:tcPr>
          <w:p>
            <w:pPr>
              <w:pStyle w:val="TableContents"/>
              <w:bidi w:val="0"/>
              <w:spacing w:before="0" w:after="283"/>
              <w:jc w:val="left"/>
              <w:rPr/>
            </w:pPr>
            <w:r>
              <w:rPr/>
              <w:t> </w:t>
            </w:r>
          </w:p>
        </w:tc>
      </w:tr>
      <w:tr>
        <w:trPr/>
        <w:tc>
          <w:tcPr>
            <w:tcW w:w="31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Finance lease cost:</w:t>
            </w:r>
          </w:p>
        </w:tc>
        <w:tc>
          <w:tcPr>
            <w:tcW w:w="146" w:type="dxa"/>
            <w:tcBorders/>
            <w:shd w:fill="FFFFFF" w:val="clear"/>
            <w:vAlign w:val="center"/>
          </w:tcPr>
          <w:p>
            <w:pPr>
              <w:pStyle w:val="TableContents"/>
              <w:bidi w:val="0"/>
              <w:spacing w:before="0" w:after="283"/>
              <w:jc w:val="left"/>
              <w:rPr/>
            </w:pPr>
            <w:r>
              <w:rPr/>
              <w:t> </w:t>
            </w:r>
          </w:p>
        </w:tc>
        <w:tc>
          <w:tcPr>
            <w:tcW w:w="761" w:type="dxa"/>
            <w:gridSpan w:val="2"/>
            <w:tcBorders/>
            <w:shd w:fill="FFFFFF" w:val="clear"/>
            <w:vAlign w:val="center"/>
          </w:tcPr>
          <w:p>
            <w:pPr>
              <w:pStyle w:val="TableContents"/>
              <w:bidi w:val="0"/>
              <w:spacing w:before="0" w:after="283"/>
              <w:jc w:val="right"/>
              <w:rPr/>
            </w:pPr>
            <w:r>
              <w:rPr/>
              <w:t> </w:t>
            </w:r>
          </w:p>
        </w:tc>
        <w:tc>
          <w:tcPr>
            <w:tcW w:w="176" w:type="dxa"/>
            <w:tcBorders/>
            <w:shd w:fill="FFFFFF" w:val="clear"/>
            <w:vAlign w:val="center"/>
          </w:tcPr>
          <w:p>
            <w:pPr>
              <w:pStyle w:val="TableContents"/>
              <w:bidi w:val="0"/>
              <w:spacing w:before="0" w:after="283"/>
              <w:jc w:val="right"/>
              <w:rPr/>
            </w:pPr>
            <w:r>
              <w:rPr/>
              <w:t> </w:t>
            </w:r>
          </w:p>
        </w:tc>
        <w:tc>
          <w:tcPr>
            <w:tcW w:w="176" w:type="dxa"/>
            <w:tcBorders/>
            <w:shd w:fill="FFFFFF" w:val="clear"/>
            <w:vAlign w:val="center"/>
          </w:tcPr>
          <w:p>
            <w:pPr>
              <w:pStyle w:val="TableContents"/>
              <w:bidi w:val="0"/>
              <w:spacing w:before="0" w:after="283"/>
              <w:jc w:val="left"/>
              <w:rPr/>
            </w:pPr>
            <w:r>
              <w:rPr/>
              <w:t> </w:t>
            </w:r>
          </w:p>
        </w:tc>
        <w:tc>
          <w:tcPr>
            <w:tcW w:w="76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311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Amortization of right-of-use assets</w:t>
            </w:r>
          </w:p>
        </w:tc>
        <w:tc>
          <w:tcPr>
            <w:tcW w:w="14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pPr>
            <w:r>
              <w:rPr/>
              <w:t> </w:t>
            </w:r>
          </w:p>
        </w:tc>
        <w:tc>
          <w:tcPr>
            <w:tcW w:w="50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114</w:t>
            </w:r>
          </w:p>
        </w:tc>
        <w:tc>
          <w:tcPr>
            <w:tcW w:w="176" w:type="dxa"/>
            <w:tcBorders/>
            <w:shd w:fill="CFF0FC" w:val="clear"/>
            <w:vAlign w:val="center"/>
          </w:tcPr>
          <w:p>
            <w:pPr>
              <w:pStyle w:val="TableContents"/>
              <w:bidi w:val="0"/>
              <w:spacing w:before="0" w:after="283"/>
              <w:jc w:val="left"/>
              <w:rPr/>
            </w:pPr>
            <w:r>
              <w:rPr/>
              <w:t> </w:t>
            </w:r>
          </w:p>
        </w:tc>
        <w:tc>
          <w:tcPr>
            <w:tcW w:w="17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pPr>
            <w:r>
              <w:rPr/>
              <w:t> </w:t>
            </w:r>
          </w:p>
        </w:tc>
        <w:tc>
          <w:tcPr>
            <w:tcW w:w="50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336</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11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Interest</w:t>
            </w:r>
          </w:p>
        </w:tc>
        <w:tc>
          <w:tcPr>
            <w:tcW w:w="146" w:type="dxa"/>
            <w:tcBorders/>
            <w:shd w:fill="FFFFFF" w:val="cle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lease costs</w:t>
            </w:r>
          </w:p>
        </w:tc>
        <w:tc>
          <w:tcPr>
            <w:tcW w:w="146" w:type="dxa"/>
            <w:tcBorders/>
            <w:shd w:fill="CFF0FC" w:val="cle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570</w:t>
            </w:r>
          </w:p>
        </w:tc>
        <w:tc>
          <w:tcPr>
            <w:tcW w:w="1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 w:type="dxa"/>
            <w:tcBorders/>
            <w:shd w:fill="CFF0FC" w:val="cle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1,472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0"/>
        <w:jc w:val="left"/>
        <w:rPr>
          <w:rFonts w:ascii="Times New Roman" w:hAnsi="Times New Roman"/>
          <w:b w:val="false"/>
          <w:color w:val="000000"/>
          <w:sz w:val="18"/>
        </w:rPr>
      </w:pPr>
      <w:r>
        <w:rPr>
          <w:rFonts w:ascii="Times New Roman" w:hAnsi="Times New Roman"/>
          <w:b w:val="false"/>
          <w:color w:val="000000"/>
          <w:sz w:val="18"/>
        </w:rPr>
        <w:t>(i)</w:t>
      </w:r>
    </w:p>
    <w:p>
      <w:pPr>
        <w:pStyle w:val="TextBody"/>
        <w:bidi w:val="0"/>
        <w:jc w:val="left"/>
        <w:rPr>
          <w:rFonts w:ascii="Times New Roman" w:hAnsi="Times New Roman"/>
          <w:b w:val="false"/>
          <w:color w:val="000000"/>
          <w:sz w:val="18"/>
        </w:rPr>
      </w:pPr>
      <w:r>
        <w:rPr>
          <w:rFonts w:ascii="Times New Roman" w:hAnsi="Times New Roman"/>
          <w:b w:val="false"/>
          <w:color w:val="000000"/>
          <w:sz w:val="18"/>
        </w:rPr>
        <w:t>The variable lease cost and other, net is comprised primarily of common area maintenance charges for the operating lease, which are dependent on usage. These costs are classified as operating lease expense due to the election to not separate lease and non-lease components. These costs were not included within the measurement of the Company’s operating lease ROU assets and operating lease liabilities.</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The following table presents the supplemental cash flow disclosures for cash paid for leases for the nine months ended September 30, 2023 and 2022 (in thousands):</w:t>
      </w:r>
    </w:p>
    <w:tbl>
      <w:tblPr>
        <w:tblW w:w="8259" w:type="dxa"/>
        <w:jc w:val="left"/>
        <w:tblInd w:w="0" w:type="dxa"/>
        <w:tblLayout w:type="fixed"/>
        <w:tblCellMar>
          <w:top w:w="28" w:type="dxa"/>
          <w:left w:w="28" w:type="dxa"/>
          <w:bottom w:w="28" w:type="dxa"/>
          <w:right w:w="28" w:type="dxa"/>
        </w:tblCellMar>
      </w:tblPr>
      <w:tblGrid>
        <w:gridCol w:w="5866"/>
        <w:gridCol w:w="146"/>
        <w:gridCol w:w="211"/>
        <w:gridCol w:w="571"/>
        <w:gridCol w:w="146"/>
        <w:gridCol w:w="146"/>
        <w:gridCol w:w="211"/>
        <w:gridCol w:w="571"/>
        <w:gridCol w:w="391"/>
      </w:tblGrid>
      <w:tr>
        <w:trPr/>
        <w:tc>
          <w:tcPr>
            <w:tcW w:w="5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8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6"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w:t>
            </w:r>
          </w:p>
        </w:tc>
        <w:tc>
          <w:tcPr>
            <w:tcW w:w="391" w:type="dxa"/>
            <w:tcBorders/>
            <w:shd w:fill="FFFFFF" w:val="clear"/>
            <w:vAlign w:val="center"/>
          </w:tcPr>
          <w:p>
            <w:pPr>
              <w:pStyle w:val="TableContents"/>
              <w:bidi w:val="0"/>
              <w:spacing w:before="0" w:after="283"/>
              <w:jc w:val="center"/>
              <w:rPr/>
            </w:pPr>
            <w:r>
              <w:rPr/>
              <w:t> </w:t>
            </w:r>
          </w:p>
        </w:tc>
      </w:tr>
      <w:tr>
        <w:trPr/>
        <w:tc>
          <w:tcPr>
            <w:tcW w:w="58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paid for amounts included in the measurement of lease liabilities:</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586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Operating cash flows from operating leases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681</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586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Operating cash flows from finance leases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586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Financing cash flows from finance leases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281</w:t>
            </w:r>
          </w:p>
        </w:tc>
        <w:tc>
          <w:tcPr>
            <w:tcW w:w="391" w:type="dxa"/>
            <w:tcBorders/>
            <w:shd w:fill="FFFFFF" w:val="clear"/>
            <w:vAlign w:val="center"/>
          </w:tcPr>
          <w:p>
            <w:pPr>
              <w:pStyle w:val="TableContents"/>
              <w:bidi w:val="0"/>
              <w:spacing w:before="0" w:after="283"/>
              <w:jc w:val="left"/>
              <w:rPr/>
            </w:pPr>
            <w:r>
              <w:rPr/>
              <w:t> </w:t>
            </w:r>
          </w:p>
        </w:tc>
      </w:tr>
      <w:tr>
        <w:trPr/>
        <w:tc>
          <w:tcPr>
            <w:tcW w:w="58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Right-of-use asset acquired under leases</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586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Operating leases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4,684</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586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Finance leases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1,187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(6) TERM LOAN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Oxford Finance and Silicon Valley Bank Loan</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October 2022, the Company entered into a loan and security agreement, or the Loan Agreement, with Oxford Finance LLC, Oxford Finance Credit Fund II LP, and Silicon Valley Bank, or SVB, collectively the Lenders, for a secured term loan facility of up to $100.0</w:t>
      </w:r>
      <w:r>
        <w:rPr>
          <w:rFonts w:ascii="Times New Roman" w:hAnsi="Times New Roman"/>
          <w:color w:val="000000"/>
          <w:sz w:val="20"/>
        </w:rPr>
        <w:t xml:space="preserve"> </w:t>
      </w:r>
      <w:r>
        <w:rPr>
          <w:rFonts w:ascii="Times New Roman" w:hAnsi="Times New Roman"/>
          <w:b w:val="false"/>
          <w:color w:val="000000"/>
          <w:sz w:val="20"/>
        </w:rPr>
        <w:t>million. Pursuant to the Loan Agreement, the Company drew an initial loan of $10.0</w:t>
      </w:r>
      <w:r>
        <w:rPr>
          <w:rFonts w:ascii="Times New Roman" w:hAnsi="Times New Roman"/>
          <w:color w:val="000000"/>
          <w:sz w:val="20"/>
        </w:rPr>
        <w:t xml:space="preserve"> </w:t>
      </w:r>
      <w:r>
        <w:rPr>
          <w:rFonts w:ascii="Times New Roman" w:hAnsi="Times New Roman"/>
          <w:b w:val="false"/>
          <w:color w:val="000000"/>
          <w:sz w:val="20"/>
        </w:rPr>
        <w:t>million and has access to draw an additional $40.0</w:t>
      </w:r>
      <w:r>
        <w:rPr>
          <w:rFonts w:ascii="Times New Roman" w:hAnsi="Times New Roman"/>
          <w:color w:val="000000"/>
          <w:sz w:val="20"/>
        </w:rPr>
        <w:t xml:space="preserve"> </w:t>
      </w:r>
      <w:r>
        <w:rPr>
          <w:rFonts w:ascii="Times New Roman" w:hAnsi="Times New Roman"/>
          <w:b w:val="false"/>
          <w:color w:val="000000"/>
          <w:sz w:val="20"/>
        </w:rPr>
        <w:t>million through the end of 2023. The Loan Agreement provides for an additional $50.0</w:t>
      </w:r>
      <w:r>
        <w:rPr>
          <w:rFonts w:ascii="Times New Roman" w:hAnsi="Times New Roman"/>
          <w:color w:val="000000"/>
          <w:sz w:val="20"/>
        </w:rPr>
        <w:t xml:space="preserve"> </w:t>
      </w:r>
      <w:r>
        <w:rPr>
          <w:rFonts w:ascii="Times New Roman" w:hAnsi="Times New Roman"/>
          <w:b w:val="false"/>
          <w:color w:val="000000"/>
          <w:sz w:val="20"/>
        </w:rPr>
        <w:t>million over three tranches, with $12.5</w:t>
      </w:r>
      <w:r>
        <w:rPr>
          <w:rFonts w:ascii="Times New Roman" w:hAnsi="Times New Roman"/>
          <w:color w:val="000000"/>
          <w:sz w:val="20"/>
        </w:rPr>
        <w:t xml:space="preserve"> </w:t>
      </w:r>
      <w:r>
        <w:rPr>
          <w:rFonts w:ascii="Times New Roman" w:hAnsi="Times New Roman"/>
          <w:b w:val="false"/>
          <w:color w:val="000000"/>
          <w:sz w:val="20"/>
        </w:rPr>
        <w:t>million available in each of two tranches based upon the achievement of milestones related to the development of evorpacept and one preclinical product candidate, and $25.0</w:t>
      </w:r>
      <w:r>
        <w:rPr>
          <w:rFonts w:ascii="Times New Roman" w:hAnsi="Times New Roman"/>
          <w:color w:val="000000"/>
          <w:sz w:val="20"/>
        </w:rPr>
        <w:t xml:space="preserve"> </w:t>
      </w:r>
      <w:r>
        <w:rPr>
          <w:rFonts w:ascii="Times New Roman" w:hAnsi="Times New Roman"/>
          <w:b w:val="false"/>
          <w:color w:val="000000"/>
          <w:sz w:val="20"/>
        </w:rPr>
        <w:t>million at the Lenders’ sole discretion. The proceeds of the loans may be used by the Company for working capital and to fund its general business requirements.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Additional information regarding our indebtedness is included in our notes to our consolidated financial statements in our Annual Report on Form 10-K for the fiscal year ended December 31, 2022, which was filed with the SEC on March 9, 2023.</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 received net proceeds from issuance of the term loan of $9.3</w:t>
      </w:r>
      <w:r>
        <w:rPr>
          <w:rFonts w:ascii="Times New Roman" w:hAnsi="Times New Roman"/>
          <w:color w:val="000000"/>
          <w:sz w:val="20"/>
        </w:rPr>
        <w:t xml:space="preserve"> </w:t>
      </w:r>
      <w:r>
        <w:rPr>
          <w:rFonts w:ascii="Times New Roman" w:hAnsi="Times New Roman"/>
          <w:b w:val="false"/>
          <w:color w:val="000000"/>
          <w:sz w:val="20"/>
        </w:rPr>
        <w:t>million after deducting debt issuance costs of approximately $0.7</w:t>
      </w:r>
      <w:r>
        <w:rPr>
          <w:rFonts w:ascii="Times New Roman" w:hAnsi="Times New Roman"/>
          <w:color w:val="000000"/>
          <w:sz w:val="20"/>
        </w:rPr>
        <w:t xml:space="preserve"> </w:t>
      </w:r>
      <w:r>
        <w:rPr>
          <w:rFonts w:ascii="Times New Roman" w:hAnsi="Times New Roman"/>
          <w:b w:val="false"/>
          <w:color w:val="000000"/>
          <w:sz w:val="20"/>
        </w:rPr>
        <w:t>million. Debt issuance costs were recorded as debt discount on the term loan, offsetting term loan, non-current on the consolidated balance sheet. The debt discount will be amortized over the term of the loan as interest expense using the effective interest method. During the three months and nine months ended September 30, 2023, interest expense incurred in connection with the Loan Agreement was $0.3</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and $0.8</w:t>
      </w:r>
      <w:r>
        <w:rPr>
          <w:rFonts w:ascii="Times New Roman" w:hAnsi="Times New Roman"/>
          <w:color w:val="000000"/>
          <w:sz w:val="20"/>
        </w:rPr>
        <w:t xml:space="preserve"> </w:t>
      </w:r>
      <w:r>
        <w:rPr>
          <w:rFonts w:ascii="Times New Roman" w:hAnsi="Times New Roman"/>
          <w:b w:val="false"/>
          <w:color w:val="000000"/>
          <w:sz w:val="20"/>
        </w:rPr>
        <w:t>million, respectively. We had no</w:t>
      </w:r>
      <w:r>
        <w:rPr>
          <w:rFonts w:ascii="Times New Roman" w:hAnsi="Times New Roman"/>
          <w:color w:val="000000"/>
          <w:sz w:val="20"/>
        </w:rPr>
        <w:t xml:space="preserve"> </w:t>
      </w:r>
      <w:r>
        <w:rPr>
          <w:rFonts w:ascii="Times New Roman" w:hAnsi="Times New Roman"/>
          <w:b w:val="false"/>
          <w:color w:val="000000"/>
          <w:sz w:val="20"/>
        </w:rPr>
        <w:t>outstanding debt as of September 30, 2022</w:t>
      </w:r>
      <w:r>
        <w:rPr>
          <w:rFonts w:ascii="Times New Roman" w:hAnsi="Times New Roman"/>
          <w:color w:val="000000"/>
          <w:sz w:val="20"/>
        </w:rPr>
        <w:t xml:space="preserve"> </w:t>
      </w:r>
      <w:r>
        <w:rPr>
          <w:rFonts w:ascii="Times New Roman" w:hAnsi="Times New Roman"/>
          <w:b w:val="false"/>
          <w:color w:val="000000"/>
          <w:sz w:val="20"/>
        </w:rPr>
        <w:t>and did not incur interest expense during the three months and nine months ended September 30, 2022.</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Company determined that certain loan features were embedded derivatives requiring bifurcation and separate accounting. Those embedded derivatives were bundled together as a single, compound embedded derivative and then bifurcated and accounted for separately from the host contract. As of September 30, 2023, the value of the embedded derivative is not material, but could become material in future periods if an event of default became more probable than is currently estimated. As of September 30, 2023, we were in compliance with all financial reporting covenants under the Loan Agreement.</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On March 10, 2023, SVB was closed by the California Department of Financial Protection and Innovation, which appointed the Federal Deposit Insurance Corporation, or FDIC, to act as receiver. The FDIC created Silicon Valley Bridge Bank, N.A., or SVBB, as successor to SVB. First Citizens BancShares, Inc., or First Citizens Bank, acquired SVBB from the FDIC and operates SVBB as Silicon Valley Bank, a division of First Citizens Bank, or SVB-First Citizens. Under the Loan Agreement, 50% of the funding comes from SVB, one of the three</w:t>
      </w:r>
      <w:r>
        <w:rPr>
          <w:rFonts w:ascii="Times New Roman" w:hAnsi="Times New Roman"/>
          <w:color w:val="000000"/>
          <w:sz w:val="20"/>
        </w:rPr>
        <w:t xml:space="preserve"> </w:t>
      </w:r>
      <w:r>
        <w:rPr>
          <w:rFonts w:ascii="Times New Roman" w:hAnsi="Times New Roman"/>
          <w:b w:val="false"/>
          <w:color w:val="000000"/>
          <w:sz w:val="20"/>
        </w:rPr>
        <w:t>Lenders. Given the SVBB acquisition by First Citizens Bank, the Company expects SVB-First Citizens to continue to fulfill SVB’s obligations under the Loan Agreement.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On May 31, 2023, we entered into a second amendment to the Loan Agreement. The primary purpose of the second amendment was to reduce the percentage of the amount required to be held in our collateral account with SVB-First Citizens from 100% to not less than 50% of the aggregate dollar value of all our collateral accounts.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As of September 30, 2023, the future maturities under the Loan Agreement are as follows (in thousands):</w:t>
      </w:r>
    </w:p>
    <w:p>
      <w:pPr>
        <w:pStyle w:val="TextBody"/>
        <w:bidi w:val="0"/>
        <w:jc w:val="left"/>
        <w:rPr/>
      </w:pPr>
      <w:r>
        <w:rPr/>
        <w:t> </w:t>
      </w:r>
    </w:p>
    <w:tbl>
      <w:tblPr>
        <w:tblW w:w="5323" w:type="dxa"/>
        <w:jc w:val="left"/>
        <w:tblInd w:w="0" w:type="dxa"/>
        <w:tblLayout w:type="fixed"/>
        <w:tblCellMar>
          <w:top w:w="28" w:type="dxa"/>
          <w:left w:w="28" w:type="dxa"/>
          <w:bottom w:w="28" w:type="dxa"/>
          <w:right w:w="28" w:type="dxa"/>
        </w:tblCellMar>
      </w:tblPr>
      <w:tblGrid>
        <w:gridCol w:w="3196"/>
        <w:gridCol w:w="146"/>
        <w:gridCol w:w="420"/>
        <w:gridCol w:w="1350"/>
        <w:gridCol w:w="211"/>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2023</w:t>
            </w:r>
          </w:p>
        </w:tc>
        <w:tc>
          <w:tcPr>
            <w:tcW w:w="146" w:type="dxa"/>
            <w:tcBorders/>
            <w:shd w:fill="CFF0FC" w:val="clear"/>
            <w:vAlign w:val="center"/>
          </w:tcPr>
          <w:p>
            <w:pPr>
              <w:pStyle w:val="TableContents"/>
              <w:bidi w:val="0"/>
              <w:spacing w:before="0" w:after="283"/>
              <w:jc w:val="left"/>
              <w:rPr/>
            </w:pPr>
            <w:r>
              <w:rPr/>
              <w:t> </w:t>
            </w:r>
          </w:p>
        </w:tc>
        <w:tc>
          <w:tcPr>
            <w:tcW w:w="42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350"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319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2024</w:t>
            </w:r>
          </w:p>
        </w:tc>
        <w:tc>
          <w:tcPr>
            <w:tcW w:w="146"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left"/>
              <w:rPr/>
            </w:pPr>
            <w:r>
              <w:rPr/>
              <w:t> </w:t>
            </w:r>
          </w:p>
        </w:tc>
        <w:tc>
          <w:tcPr>
            <w:tcW w:w="135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319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2025</w:t>
            </w:r>
          </w:p>
        </w:tc>
        <w:tc>
          <w:tcPr>
            <w:tcW w:w="146" w:type="dxa"/>
            <w:tcBorders/>
            <w:shd w:fill="CFF0FC" w:val="clear"/>
            <w:vAlign w:val="center"/>
          </w:tcPr>
          <w:p>
            <w:pPr>
              <w:pStyle w:val="TableContents"/>
              <w:bidi w:val="0"/>
              <w:spacing w:before="0" w:after="283"/>
              <w:jc w:val="left"/>
              <w:rPr/>
            </w:pPr>
            <w:r>
              <w:rPr/>
              <w:t> </w:t>
            </w:r>
          </w:p>
        </w:tc>
        <w:tc>
          <w:tcPr>
            <w:tcW w:w="420" w:type="dxa"/>
            <w:tcBorders/>
            <w:shd w:fill="CFF0FC" w:val="clear"/>
            <w:vAlign w:val="center"/>
          </w:tcPr>
          <w:p>
            <w:pPr>
              <w:pStyle w:val="TableContents"/>
              <w:bidi w:val="0"/>
              <w:spacing w:before="0" w:after="283"/>
              <w:jc w:val="left"/>
              <w:rPr/>
            </w:pPr>
            <w:r>
              <w:rPr/>
              <w:t> </w:t>
            </w:r>
          </w:p>
        </w:tc>
        <w:tc>
          <w:tcPr>
            <w:tcW w:w="135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435</w:t>
            </w:r>
          </w:p>
        </w:tc>
        <w:tc>
          <w:tcPr>
            <w:tcW w:w="211" w:type="dxa"/>
            <w:tcBorders/>
            <w:shd w:fill="CFF0FC" w:val="clear"/>
            <w:vAlign w:val="center"/>
          </w:tcPr>
          <w:p>
            <w:pPr>
              <w:pStyle w:val="TableContents"/>
              <w:bidi w:val="0"/>
              <w:spacing w:before="0" w:after="283"/>
              <w:jc w:val="left"/>
              <w:rPr/>
            </w:pPr>
            <w:r>
              <w:rPr/>
              <w:t> </w:t>
            </w:r>
          </w:p>
        </w:tc>
      </w:tr>
      <w:tr>
        <w:trPr/>
        <w:tc>
          <w:tcPr>
            <w:tcW w:w="319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2026</w:t>
            </w:r>
          </w:p>
        </w:tc>
        <w:tc>
          <w:tcPr>
            <w:tcW w:w="146"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left"/>
              <w:rPr/>
            </w:pPr>
            <w:r>
              <w:rPr/>
              <w:t> </w:t>
            </w:r>
          </w:p>
        </w:tc>
        <w:tc>
          <w:tcPr>
            <w:tcW w:w="135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5,217</w:t>
            </w:r>
          </w:p>
        </w:tc>
        <w:tc>
          <w:tcPr>
            <w:tcW w:w="211" w:type="dxa"/>
            <w:tcBorders/>
            <w:shd w:fill="FFFFFF" w:val="clear"/>
            <w:vAlign w:val="center"/>
          </w:tcPr>
          <w:p>
            <w:pPr>
              <w:pStyle w:val="TableContents"/>
              <w:bidi w:val="0"/>
              <w:spacing w:before="0" w:after="283"/>
              <w:jc w:val="left"/>
              <w:rPr/>
            </w:pPr>
            <w:r>
              <w:rPr/>
              <w:t> </w:t>
            </w:r>
          </w:p>
        </w:tc>
      </w:tr>
      <w:tr>
        <w:trPr/>
        <w:tc>
          <w:tcPr>
            <w:tcW w:w="319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2027</w:t>
            </w:r>
          </w:p>
        </w:tc>
        <w:tc>
          <w:tcPr>
            <w:tcW w:w="146" w:type="dxa"/>
            <w:tcBorders/>
            <w:shd w:fill="CFF0FC" w:val="clear"/>
            <w:vAlign w:val="center"/>
          </w:tcPr>
          <w:p>
            <w:pPr>
              <w:pStyle w:val="TableContents"/>
              <w:bidi w:val="0"/>
              <w:spacing w:before="0" w:after="283"/>
              <w:jc w:val="left"/>
              <w:rPr/>
            </w:pPr>
            <w:r>
              <w:rPr/>
              <w:t> </w:t>
            </w:r>
          </w:p>
        </w:tc>
        <w:tc>
          <w:tcPr>
            <w:tcW w:w="4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4,948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9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future maturities</w:t>
            </w:r>
          </w:p>
        </w:tc>
        <w:tc>
          <w:tcPr>
            <w:tcW w:w="146"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left"/>
              <w:rPr/>
            </w:pPr>
            <w:r>
              <w:rPr/>
              <w:t> </w:t>
            </w:r>
          </w:p>
        </w:tc>
        <w:tc>
          <w:tcPr>
            <w:tcW w:w="135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10,600</w:t>
            </w:r>
          </w:p>
        </w:tc>
        <w:tc>
          <w:tcPr>
            <w:tcW w:w="211" w:type="dxa"/>
            <w:tcBorders/>
            <w:shd w:fill="FFFFFF" w:val="clear"/>
            <w:vAlign w:val="center"/>
          </w:tcPr>
          <w:p>
            <w:pPr>
              <w:pStyle w:val="TableContents"/>
              <w:bidi w:val="0"/>
              <w:spacing w:before="0" w:after="283"/>
              <w:jc w:val="left"/>
              <w:rPr/>
            </w:pPr>
            <w:r>
              <w:rPr/>
              <w:t> </w:t>
            </w:r>
          </w:p>
        </w:tc>
      </w:tr>
      <w:tr>
        <w:trPr/>
        <w:tc>
          <w:tcPr>
            <w:tcW w:w="319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Less: current portion of term loan</w:t>
            </w:r>
          </w:p>
        </w:tc>
        <w:tc>
          <w:tcPr>
            <w:tcW w:w="146" w:type="dxa"/>
            <w:tcBorders/>
            <w:shd w:fill="CFF0FC" w:val="clear"/>
            <w:vAlign w:val="center"/>
          </w:tcPr>
          <w:p>
            <w:pPr>
              <w:pStyle w:val="TableContents"/>
              <w:bidi w:val="0"/>
              <w:spacing w:before="0" w:after="283"/>
              <w:jc w:val="left"/>
              <w:rPr/>
            </w:pPr>
            <w:r>
              <w:rPr/>
              <w:t> </w:t>
            </w:r>
          </w:p>
        </w:tc>
        <w:tc>
          <w:tcPr>
            <w:tcW w:w="4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9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term loan, net of current portion</w:t>
            </w:r>
          </w:p>
        </w:tc>
        <w:tc>
          <w:tcPr>
            <w:tcW w:w="146"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left"/>
              <w:rPr/>
            </w:pPr>
            <w:r>
              <w:rPr/>
              <w:t> </w:t>
            </w:r>
          </w:p>
        </w:tc>
        <w:tc>
          <w:tcPr>
            <w:tcW w:w="135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10,600</w:t>
            </w:r>
          </w:p>
        </w:tc>
        <w:tc>
          <w:tcPr>
            <w:tcW w:w="211" w:type="dxa"/>
            <w:tcBorders/>
            <w:shd w:fill="FFFFFF" w:val="clear"/>
            <w:vAlign w:val="center"/>
          </w:tcPr>
          <w:p>
            <w:pPr>
              <w:pStyle w:val="TableContents"/>
              <w:bidi w:val="0"/>
              <w:spacing w:before="0" w:after="283"/>
              <w:jc w:val="left"/>
              <w:rPr/>
            </w:pPr>
            <w:r>
              <w:rPr/>
              <w:t> </w:t>
            </w:r>
          </w:p>
        </w:tc>
      </w:tr>
      <w:tr>
        <w:trPr/>
        <w:tc>
          <w:tcPr>
            <w:tcW w:w="319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Less: unamortized debt issuance costs</w:t>
            </w:r>
          </w:p>
        </w:tc>
        <w:tc>
          <w:tcPr>
            <w:tcW w:w="146" w:type="dxa"/>
            <w:tcBorders/>
            <w:shd w:fill="CFF0FC" w:val="clear"/>
            <w:vAlign w:val="center"/>
          </w:tcPr>
          <w:p>
            <w:pPr>
              <w:pStyle w:val="TableContents"/>
              <w:bidi w:val="0"/>
              <w:spacing w:before="0" w:after="283"/>
              <w:jc w:val="left"/>
              <w:rPr/>
            </w:pPr>
            <w:r>
              <w:rPr/>
              <w:t> </w:t>
            </w:r>
          </w:p>
        </w:tc>
        <w:tc>
          <w:tcPr>
            <w:tcW w:w="420" w:type="dxa"/>
            <w:tcBorders/>
            <w:shd w:fill="CFF0FC" w:val="clear"/>
            <w:vAlign w:val="center"/>
          </w:tcPr>
          <w:p>
            <w:pPr>
              <w:pStyle w:val="TableContents"/>
              <w:bidi w:val="0"/>
              <w:spacing w:before="0" w:after="283"/>
              <w:jc w:val="left"/>
              <w:rPr/>
            </w:pPr>
            <w:r>
              <w:rPr/>
              <w:t> </w:t>
            </w:r>
          </w:p>
        </w:tc>
        <w:tc>
          <w:tcPr>
            <w:tcW w:w="135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(835</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19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Less: unaccreted final payment costs</w:t>
            </w:r>
          </w:p>
        </w:tc>
        <w:tc>
          <w:tcPr>
            <w:tcW w:w="146" w:type="dxa"/>
            <w:tcBorders/>
            <w:shd w:fill="FFFFFF" w:val="clear"/>
            <w:vAlign w:val="center"/>
          </w:tcPr>
          <w:p>
            <w:pPr>
              <w:pStyle w:val="TableContents"/>
              <w:bidi w:val="0"/>
              <w:spacing w:before="0" w:after="283"/>
              <w:jc w:val="left"/>
              <w:rPr/>
            </w:pPr>
            <w:r>
              <w:rPr/>
              <w:t> </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19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Term loan, non-current, net</w:t>
            </w:r>
          </w:p>
        </w:tc>
        <w:tc>
          <w:tcPr>
            <w:tcW w:w="146" w:type="dxa"/>
            <w:tcBorders/>
            <w:shd w:fill="CFF0FC" w:val="clear"/>
            <w:vAlign w:val="center"/>
          </w:tcPr>
          <w:p>
            <w:pPr>
              <w:pStyle w:val="TableContents"/>
              <w:bidi w:val="0"/>
              <w:spacing w:before="0" w:after="283"/>
              <w:jc w:val="right"/>
              <w:rPr/>
            </w:pPr>
            <w:r>
              <w:rPr/>
              <w:t> </w:t>
            </w:r>
          </w:p>
        </w:tc>
        <w:tc>
          <w:tcPr>
            <w:tcW w:w="4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3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9,575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(7) STOCKHOLDERS’ EQUITY</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On July 21, 2020, the Company’s amended and restated certificate of incorporation became effective, authorizing 1,000,000,000</w:t>
      </w:r>
      <w:r>
        <w:rPr>
          <w:rFonts w:ascii="Times New Roman" w:hAnsi="Times New Roman"/>
          <w:color w:val="000000"/>
          <w:sz w:val="20"/>
        </w:rPr>
        <w:t xml:space="preserve"> </w:t>
      </w:r>
      <w:r>
        <w:rPr>
          <w:rFonts w:ascii="Times New Roman" w:hAnsi="Times New Roman"/>
          <w:b w:val="false"/>
          <w:color w:val="000000"/>
          <w:sz w:val="20"/>
        </w:rPr>
        <w:t>shares of common stock, $0.001</w:t>
      </w:r>
      <w:r>
        <w:rPr>
          <w:rFonts w:ascii="Times New Roman" w:hAnsi="Times New Roman"/>
          <w:color w:val="000000"/>
          <w:sz w:val="20"/>
        </w:rPr>
        <w:t xml:space="preserve"> </w:t>
      </w:r>
      <w:r>
        <w:rPr>
          <w:rFonts w:ascii="Times New Roman" w:hAnsi="Times New Roman"/>
          <w:b w:val="false"/>
          <w:color w:val="000000"/>
          <w:sz w:val="20"/>
        </w:rPr>
        <w:t>par value per share, and 100,000,000</w:t>
      </w:r>
      <w:r>
        <w:rPr>
          <w:rFonts w:ascii="Times New Roman" w:hAnsi="Times New Roman"/>
          <w:color w:val="000000"/>
          <w:sz w:val="20"/>
        </w:rPr>
        <w:t xml:space="preserve"> </w:t>
      </w:r>
      <w:r>
        <w:rPr>
          <w:rFonts w:ascii="Times New Roman" w:hAnsi="Times New Roman"/>
          <w:b w:val="false"/>
          <w:color w:val="000000"/>
          <w:sz w:val="20"/>
        </w:rPr>
        <w:t>shares of undesignated preferred stock, $0.001</w:t>
      </w:r>
      <w:r>
        <w:rPr>
          <w:rFonts w:ascii="Times New Roman" w:hAnsi="Times New Roman"/>
          <w:color w:val="000000"/>
          <w:sz w:val="20"/>
        </w:rPr>
        <w:t xml:space="preserve"> </w:t>
      </w:r>
      <w:r>
        <w:rPr>
          <w:rFonts w:ascii="Times New Roman" w:hAnsi="Times New Roman"/>
          <w:b w:val="false"/>
          <w:color w:val="000000"/>
          <w:sz w:val="20"/>
        </w:rPr>
        <w:t>par value per share. As of September 30, 2023 and December 31, 2022, the Company had 41,151,819</w:t>
      </w:r>
      <w:r>
        <w:rPr>
          <w:rFonts w:ascii="Times New Roman" w:hAnsi="Times New Roman"/>
          <w:color w:val="000000"/>
          <w:sz w:val="20"/>
        </w:rPr>
        <w:t xml:space="preserve"> </w:t>
      </w:r>
      <w:r>
        <w:rPr>
          <w:rFonts w:ascii="Times New Roman" w:hAnsi="Times New Roman"/>
          <w:b w:val="false"/>
          <w:color w:val="000000"/>
          <w:sz w:val="20"/>
        </w:rPr>
        <w:t>and 40,861,386</w:t>
      </w:r>
      <w:r>
        <w:rPr>
          <w:rFonts w:ascii="Times New Roman" w:hAnsi="Times New Roman"/>
          <w:color w:val="000000"/>
          <w:sz w:val="20"/>
        </w:rPr>
        <w:t xml:space="preserve"> </w:t>
      </w:r>
      <w:r>
        <w:rPr>
          <w:rFonts w:ascii="Times New Roman" w:hAnsi="Times New Roman"/>
          <w:b w:val="false"/>
          <w:color w:val="000000"/>
          <w:sz w:val="20"/>
        </w:rPr>
        <w:t>shares of common stock outstanding, respectively.</w:t>
      </w:r>
      <w:r>
        <w:rPr>
          <w:rFonts w:ascii="Times New Roman" w:hAnsi="Times New Roman"/>
          <w:color w:val="000000"/>
          <w:sz w:val="20"/>
        </w:rPr>
        <w:t xml:space="preserve"> </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Common stock reserved for future issuance as of September 30, 2023 consists of the following:</w:t>
      </w:r>
    </w:p>
    <w:tbl>
      <w:tblPr>
        <w:tblW w:w="7772" w:type="dxa"/>
        <w:jc w:val="left"/>
        <w:tblInd w:w="0" w:type="dxa"/>
        <w:tblLayout w:type="fixed"/>
        <w:tblCellMar>
          <w:top w:w="28" w:type="dxa"/>
          <w:left w:w="28" w:type="dxa"/>
          <w:bottom w:w="28" w:type="dxa"/>
          <w:right w:w="28" w:type="dxa"/>
        </w:tblCellMar>
      </w:tblPr>
      <w:tblGrid>
        <w:gridCol w:w="5611"/>
        <w:gridCol w:w="218"/>
        <w:gridCol w:w="1552"/>
        <w:gridCol w:w="391"/>
      </w:tblGrid>
      <w:tr>
        <w:trPr/>
        <w:tc>
          <w:tcPr>
            <w:tcW w:w="561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611" w:type="dxa"/>
            <w:tcBorders/>
            <w:shd w:fill="FFFFFF" w:val="clear"/>
            <w:vAlign w:val="center"/>
          </w:tcPr>
          <w:p>
            <w:pPr>
              <w:pStyle w:val="TableContents"/>
              <w:bidi w:val="0"/>
              <w:spacing w:before="0" w:after="283"/>
              <w:jc w:val="left"/>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Stock options issued and outstanding</w:t>
            </w:r>
          </w:p>
        </w:tc>
        <w:tc>
          <w:tcPr>
            <w:tcW w:w="218" w:type="dxa"/>
            <w:tcBorders/>
            <w:shd w:fill="CFF0FC" w:val="clear"/>
            <w:vAlign w:val="center"/>
          </w:tcPr>
          <w:p>
            <w:pPr>
              <w:pStyle w:val="TableContents"/>
              <w:bidi w:val="0"/>
              <w:spacing w:before="0" w:after="283"/>
              <w:jc w:val="left"/>
              <w:rPr/>
            </w:pPr>
            <w:r>
              <w:rPr/>
              <w:t> </w:t>
            </w:r>
          </w:p>
        </w:tc>
        <w:tc>
          <w:tcPr>
            <w:tcW w:w="155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9,114,886</w:t>
            </w:r>
          </w:p>
        </w:tc>
        <w:tc>
          <w:tcPr>
            <w:tcW w:w="391" w:type="dxa"/>
            <w:tcBorders/>
            <w:shd w:fill="CFF0FC" w:val="clear"/>
            <w:vAlign w:val="center"/>
          </w:tcPr>
          <w:p>
            <w:pPr>
              <w:pStyle w:val="TableContents"/>
              <w:bidi w:val="0"/>
              <w:spacing w:before="0" w:after="283"/>
              <w:jc w:val="left"/>
              <w:rPr/>
            </w:pPr>
            <w:r>
              <w:rPr/>
              <w:t> </w:t>
            </w:r>
          </w:p>
        </w:tc>
      </w:tr>
      <w:tr>
        <w:trPr/>
        <w:tc>
          <w:tcPr>
            <w:tcW w:w="56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Stock options authorized for future issuance</w:t>
            </w:r>
          </w:p>
        </w:tc>
        <w:tc>
          <w:tcPr>
            <w:tcW w:w="218" w:type="dxa"/>
            <w:tcBorders/>
            <w:shd w:fill="FFFFFF" w:val="clear"/>
            <w:vAlign w:val="center"/>
          </w:tcPr>
          <w:p>
            <w:pPr>
              <w:pStyle w:val="TableContents"/>
              <w:bidi w:val="0"/>
              <w:spacing w:before="0" w:after="283"/>
              <w:jc w:val="left"/>
              <w:rPr/>
            </w:pPr>
            <w:r>
              <w:rPr/>
              <w:t> </w:t>
            </w:r>
          </w:p>
        </w:tc>
        <w:tc>
          <w:tcPr>
            <w:tcW w:w="155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1,147,137</w:t>
            </w:r>
          </w:p>
        </w:tc>
        <w:tc>
          <w:tcPr>
            <w:tcW w:w="391" w:type="dxa"/>
            <w:tcBorders/>
            <w:shd w:fill="FFFFFF" w:val="clear"/>
            <w:vAlign w:val="center"/>
          </w:tcPr>
          <w:p>
            <w:pPr>
              <w:pStyle w:val="TableContents"/>
              <w:bidi w:val="0"/>
              <w:spacing w:before="0" w:after="283"/>
              <w:jc w:val="left"/>
              <w:rPr/>
            </w:pPr>
            <w:r>
              <w:rPr/>
              <w:t> </w:t>
            </w:r>
          </w:p>
        </w:tc>
      </w:tr>
      <w:tr>
        <w:trPr/>
        <w:tc>
          <w:tcPr>
            <w:tcW w:w="56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Employee Stock Purchase Plan shares authorized for future issuance</w:t>
            </w:r>
          </w:p>
        </w:tc>
        <w:tc>
          <w:tcPr>
            <w:tcW w:w="218" w:type="dxa"/>
            <w:tcBorders/>
            <w:shd w:fill="CFF0FC" w:val="clear"/>
            <w:vAlign w:val="center"/>
          </w:tcPr>
          <w:p>
            <w:pPr>
              <w:pStyle w:val="TableContents"/>
              <w:bidi w:val="0"/>
              <w:spacing w:before="0" w:after="283"/>
              <w:jc w:val="left"/>
              <w:rPr/>
            </w:pPr>
            <w:r>
              <w:rPr/>
              <w:t> </w:t>
            </w:r>
          </w:p>
        </w:tc>
        <w:tc>
          <w:tcPr>
            <w:tcW w:w="155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1,095,066</w:t>
            </w:r>
          </w:p>
        </w:tc>
        <w:tc>
          <w:tcPr>
            <w:tcW w:w="391" w:type="dxa"/>
            <w:tcBorders/>
            <w:shd w:fill="CFF0FC" w:val="clear"/>
            <w:vAlign w:val="center"/>
          </w:tcPr>
          <w:p>
            <w:pPr>
              <w:pStyle w:val="TableContents"/>
              <w:bidi w:val="0"/>
              <w:spacing w:before="0" w:after="283"/>
              <w:jc w:val="left"/>
              <w:rPr/>
            </w:pPr>
            <w:r>
              <w:rPr/>
              <w:t> </w:t>
            </w:r>
          </w:p>
        </w:tc>
      </w:tr>
      <w:tr>
        <w:trPr/>
        <w:tc>
          <w:tcPr>
            <w:tcW w:w="56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Restricted stock issued and outstanding</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1,084,403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61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12,441,492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(8) STOCK-BASED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Amended and Restated 2020 Equity Incentive Plan</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Company’s Amended and Restated 2020 Equity Incentive Plan, or the 2020 Plan, serves as the successor to the Company’s 2020 Equity Incentive Plan and provides for the granting of incentive stock options, non-statutory stock options, stock appreciation rights, restricted stock, restricted stock units, performance units and performance shares.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On January 1, 2023, the number of shares available under the 2020 Plan was increased by 1,634,456</w:t>
      </w:r>
      <w:r>
        <w:rPr>
          <w:rFonts w:ascii="Times New Roman" w:hAnsi="Times New Roman"/>
          <w:color w:val="000000"/>
          <w:sz w:val="20"/>
        </w:rPr>
        <w:t xml:space="preserve"> </w:t>
      </w:r>
      <w:r>
        <w:rPr>
          <w:rFonts w:ascii="Times New Roman" w:hAnsi="Times New Roman"/>
          <w:b w:val="false"/>
          <w:color w:val="000000"/>
          <w:sz w:val="20"/>
        </w:rPr>
        <w:t>shares.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Employee Stock Purchase Plan</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Under the Company’s 2020 Employee Stock Purchase Plan, or the ESPP, eligible employees are entitled to purchase shares of common stock with accumulated payroll deductions.</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Stock-based Compensation Expenses</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Total stock-based compensation expense recognized in the condensed consolidated statements of operations was as follows (in thousands):</w:t>
      </w:r>
    </w:p>
    <w:tbl>
      <w:tblPr>
        <w:tblW w:w="7062" w:type="dxa"/>
        <w:jc w:val="left"/>
        <w:tblInd w:w="0" w:type="dxa"/>
        <w:tblLayout w:type="fixed"/>
        <w:tblCellMar>
          <w:top w:w="28" w:type="dxa"/>
          <w:left w:w="28" w:type="dxa"/>
          <w:bottom w:w="28" w:type="dxa"/>
          <w:right w:w="28" w:type="dxa"/>
        </w:tblCellMar>
      </w:tblPr>
      <w:tblGrid>
        <w:gridCol w:w="2311"/>
        <w:gridCol w:w="146"/>
        <w:gridCol w:w="211"/>
        <w:gridCol w:w="571"/>
        <w:gridCol w:w="146"/>
        <w:gridCol w:w="146"/>
        <w:gridCol w:w="211"/>
        <w:gridCol w:w="571"/>
        <w:gridCol w:w="146"/>
        <w:gridCol w:w="146"/>
        <w:gridCol w:w="211"/>
        <w:gridCol w:w="676"/>
        <w:gridCol w:w="146"/>
        <w:gridCol w:w="146"/>
        <w:gridCol w:w="211"/>
        <w:gridCol w:w="676"/>
        <w:gridCol w:w="3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6" w:type="dxa"/>
            <w:gridSpan w:val="6"/>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 Months Ended</w:t>
            </w:r>
          </w:p>
        </w:tc>
        <w:tc>
          <w:tcPr>
            <w:tcW w:w="391" w:type="dxa"/>
            <w:tcBorders/>
            <w:shd w:fill="FFFFFF" w:val="clear"/>
            <w:vAlign w:val="center"/>
          </w:tcPr>
          <w:p>
            <w:pPr>
              <w:pStyle w:val="TableContents"/>
              <w:bidi w:val="0"/>
              <w:spacing w:before="0" w:after="283"/>
              <w:jc w:val="center"/>
              <w:rPr/>
            </w:pPr>
            <w:r>
              <w:rPr/>
              <w:t> </w:t>
            </w:r>
          </w:p>
        </w:tc>
      </w:tr>
      <w:tr>
        <w:trPr/>
        <w:tc>
          <w:tcPr>
            <w:tcW w:w="23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3,728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7,696</w:t>
            </w:r>
          </w:p>
        </w:tc>
        <w:tc>
          <w:tcPr>
            <w:tcW w:w="391" w:type="dxa"/>
            <w:tcBorders/>
            <w:shd w:fill="CFF0FC" w:val="clear"/>
            <w:vAlign w:val="center"/>
          </w:tcPr>
          <w:p>
            <w:pPr>
              <w:pStyle w:val="TableContents"/>
              <w:bidi w:val="0"/>
              <w:spacing w:before="0" w:after="283"/>
              <w:jc w:val="left"/>
              <w:rPr/>
            </w:pPr>
            <w:r>
              <w:rPr/>
              <w:t> </w:t>
            </w:r>
          </w:p>
        </w:tc>
      </w:tr>
      <w:tr>
        <w:trPr/>
        <w:tc>
          <w:tcPr>
            <w:tcW w:w="23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9,848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1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19,552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17,544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(9) RELATED-PARTY TRANSACTIONS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Company has several related-party agreements with Tallac Therapeutics, Inc., or Tallac. The details of these agreements are described in our notes to our consolidated financial statements in our Annual Report on Form 10-K for the fiscal year ended December 31, 2022, which was filed with the SEC on March 9, 2023. During the three months and nine months ended September 30, 2023, there were no material changes to these agreements.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Tallac Service Agreement</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each of the three months ended September 30, 2023 and 2022, the Company recorded $0.1</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and $0.2</w:t>
      </w:r>
      <w:r>
        <w:rPr>
          <w:rFonts w:ascii="Times New Roman" w:hAnsi="Times New Roman"/>
          <w:color w:val="000000"/>
          <w:sz w:val="20"/>
        </w:rPr>
        <w:t xml:space="preserve"> </w:t>
      </w:r>
      <w:r>
        <w:rPr>
          <w:rFonts w:ascii="Times New Roman" w:hAnsi="Times New Roman"/>
          <w:b w:val="false"/>
          <w:color w:val="000000"/>
          <w:sz w:val="20"/>
        </w:rPr>
        <w:t>million, respectively, as research and development, or R&amp;D, costs in relation to the research and development services agreement with Tallac, or the Tallac Services Agreement. During the nine months ended September 30, 2023 and 2022, the Company recorded $0.3</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and $0.6</w:t>
      </w:r>
      <w:r>
        <w:rPr>
          <w:rFonts w:ascii="Times New Roman" w:hAnsi="Times New Roman"/>
          <w:color w:val="000000"/>
          <w:sz w:val="20"/>
        </w:rPr>
        <w:t xml:space="preserve"> </w:t>
      </w:r>
      <w:r>
        <w:rPr>
          <w:rFonts w:ascii="Times New Roman" w:hAnsi="Times New Roman"/>
          <w:b w:val="false"/>
          <w:color w:val="000000"/>
          <w:sz w:val="20"/>
        </w:rPr>
        <w:t>million, respectively, as R&amp;D costs in relation to the Tallac Services Agreement.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Tallac Collaboration Agreement</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During the three months ended September 30, 2023 and 2022, the Company recorded $0.3</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and $2.5</w:t>
      </w:r>
      <w:r>
        <w:rPr>
          <w:rFonts w:ascii="Times New Roman" w:hAnsi="Times New Roman"/>
          <w:color w:val="000000"/>
          <w:sz w:val="20"/>
        </w:rPr>
        <w:t xml:space="preserve"> </w:t>
      </w:r>
      <w:r>
        <w:rPr>
          <w:rFonts w:ascii="Times New Roman" w:hAnsi="Times New Roman"/>
          <w:b w:val="false"/>
          <w:color w:val="000000"/>
          <w:sz w:val="20"/>
        </w:rPr>
        <w:t>million, respectively, as R&amp;D costs in relation to the collaboration agreement with Tallac, or the Tallac Collaboration Agreement. During the nine months ended September 30, 2023 and 2022, the Company recorded $1.2</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and $6.2</w:t>
      </w:r>
      <w:r>
        <w:rPr>
          <w:rFonts w:ascii="Times New Roman" w:hAnsi="Times New Roman"/>
          <w:color w:val="000000"/>
          <w:sz w:val="20"/>
        </w:rPr>
        <w:t xml:space="preserve"> </w:t>
      </w:r>
      <w:r>
        <w:rPr>
          <w:rFonts w:ascii="Times New Roman" w:hAnsi="Times New Roman"/>
          <w:b w:val="false"/>
          <w:color w:val="000000"/>
          <w:sz w:val="20"/>
        </w:rPr>
        <w:t>million, respectively, as R&amp;D costs in relation to the Tallac Collaboration Agreement.</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As of September 30, 2023 and December 31, 2022, the Company had accrued expenses</w:t>
      </w:r>
      <w:r>
        <w:rPr>
          <w:rFonts w:ascii="Times New Roman" w:hAnsi="Times New Roman"/>
          <w:color w:val="000000"/>
          <w:sz w:val="20"/>
        </w:rPr>
        <w:t xml:space="preserve"> </w:t>
      </w:r>
      <w:r>
        <w:rPr>
          <w:rFonts w:ascii="Times New Roman" w:hAnsi="Times New Roman"/>
          <w:b w:val="false"/>
          <w:color w:val="000000"/>
          <w:sz w:val="20"/>
        </w:rPr>
        <w:t>of $0.3</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and $1.6</w:t>
      </w:r>
      <w:r>
        <w:rPr>
          <w:rFonts w:ascii="Times New Roman" w:hAnsi="Times New Roman"/>
          <w:color w:val="000000"/>
          <w:sz w:val="20"/>
        </w:rPr>
        <w:t xml:space="preserve"> </w:t>
      </w:r>
      <w:r>
        <w:rPr>
          <w:rFonts w:ascii="Times New Roman" w:hAnsi="Times New Roman"/>
          <w:b w:val="false"/>
          <w:color w:val="000000"/>
          <w:sz w:val="20"/>
        </w:rPr>
        <w:t>million, respectively, related to the Tallac Collaboration Agreement, which was presented within the payable and accrued liabilities due to related party on the condensed consolidated balance sheets.</w:t>
      </w:r>
    </w:p>
    <w:p>
      <w:pPr>
        <w:pStyle w:val="TextBody"/>
        <w:bidi w:val="0"/>
        <w:spacing w:before="360" w:after="283"/>
        <w:jc w:val="left"/>
        <w:rPr>
          <w:rFonts w:ascii="Times New Roman" w:hAnsi="Times New Roman"/>
          <w:sz w:val="20"/>
        </w:rPr>
      </w:pPr>
      <w:r>
        <w:rPr>
          <w:rFonts w:ascii="Times New Roman" w:hAnsi="Times New Roman"/>
          <w:b/>
          <w:color w:val="000000"/>
          <w:sz w:val="20"/>
        </w:rPr>
        <w:t>(10) NET LOSS PER SHARE</w:t>
      </w:r>
      <w:r>
        <w:rPr>
          <w:rFonts w:ascii="Times New Roman" w:hAnsi="Times New Roman"/>
          <w:color w:val="000000"/>
          <w:sz w:val="20"/>
        </w:rPr>
        <w:t xml:space="preserve"> </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The following table sets forth the computation of the basic and diluted net loss per share for the three months and nine months ended September 30, 2023 and 2022 (in thousands, except share and per share data):</w:t>
      </w:r>
    </w:p>
    <w:tbl>
      <w:tblPr>
        <w:tblW w:w="10205" w:type="dxa"/>
        <w:jc w:val="left"/>
        <w:tblInd w:w="0" w:type="dxa"/>
        <w:tblLayout w:type="fixed"/>
        <w:tblCellMar>
          <w:top w:w="28" w:type="dxa"/>
          <w:left w:w="28" w:type="dxa"/>
          <w:bottom w:w="28" w:type="dxa"/>
          <w:right w:w="28" w:type="dxa"/>
        </w:tblCellMar>
      </w:tblPr>
      <w:tblGrid>
        <w:gridCol w:w="3744"/>
        <w:gridCol w:w="146"/>
        <w:gridCol w:w="211"/>
        <w:gridCol w:w="1036"/>
        <w:gridCol w:w="166"/>
        <w:gridCol w:w="146"/>
        <w:gridCol w:w="211"/>
        <w:gridCol w:w="1036"/>
        <w:gridCol w:w="166"/>
        <w:gridCol w:w="146"/>
        <w:gridCol w:w="211"/>
        <w:gridCol w:w="1036"/>
        <w:gridCol w:w="166"/>
        <w:gridCol w:w="146"/>
        <w:gridCol w:w="211"/>
        <w:gridCol w:w="1036"/>
        <w:gridCol w:w="391"/>
      </w:tblGrid>
      <w:tr>
        <w:trPr/>
        <w:tc>
          <w:tcPr>
            <w:tcW w:w="37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4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806"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2806"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w:t>
            </w:r>
          </w:p>
        </w:tc>
        <w:tc>
          <w:tcPr>
            <w:tcW w:w="391" w:type="dxa"/>
            <w:tcBorders/>
            <w:shd w:fill="FFFFFF" w:val="clear"/>
            <w:vAlign w:val="center"/>
          </w:tcPr>
          <w:p>
            <w:pPr>
              <w:pStyle w:val="TableContents"/>
              <w:bidi w:val="0"/>
              <w:spacing w:before="0" w:after="283"/>
              <w:jc w:val="center"/>
              <w:rPr/>
            </w:pPr>
            <w:r>
              <w:rPr/>
              <w:t> </w:t>
            </w:r>
          </w:p>
        </w:tc>
      </w:tr>
      <w:tr>
        <w:trPr/>
        <w:tc>
          <w:tcPr>
            <w:tcW w:w="374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Numerator:</w:t>
            </w:r>
          </w:p>
        </w:tc>
        <w:tc>
          <w:tcPr>
            <w:tcW w:w="146" w:type="dxa"/>
            <w:tcBorders/>
            <w:shd w:fill="CFF0FC" w:val="clear"/>
            <w:vAlign w:val="center"/>
          </w:tcPr>
          <w:p>
            <w:pPr>
              <w:pStyle w:val="TableContents"/>
              <w:bidi w:val="0"/>
              <w:spacing w:before="0" w:after="283"/>
              <w:jc w:val="right"/>
              <w:rPr/>
            </w:pPr>
            <w:r>
              <w:rPr/>
              <w:t> </w:t>
            </w:r>
          </w:p>
        </w:tc>
        <w:tc>
          <w:tcPr>
            <w:tcW w:w="12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2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74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Net loss</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(50,990</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(35,320</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(115,333</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(92,773</w:t>
            </w:r>
          </w:p>
        </w:tc>
        <w:tc>
          <w:tcPr>
            <w:tcW w:w="39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74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Denominator:</w:t>
            </w:r>
          </w:p>
        </w:tc>
        <w:tc>
          <w:tcPr>
            <w:tcW w:w="146" w:type="dxa"/>
            <w:tcBorders/>
            <w:shd w:fill="CFF0FC" w:val="clear"/>
            <w:vAlign w:val="center"/>
          </w:tcPr>
          <w:p>
            <w:pPr>
              <w:pStyle w:val="TableContents"/>
              <w:bidi w:val="0"/>
              <w:spacing w:before="0" w:after="283"/>
              <w:jc w:val="righ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374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Weighted-average shares of common stock outstanding, basic and diluted</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41,147,938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40,747,026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40,963,015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40,684,172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4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 per share, basic and diluted</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120" w:after="283"/>
        <w:jc w:val="left"/>
        <w:rPr>
          <w:rFonts w:ascii="Times New Roman" w:hAnsi="Times New Roman"/>
          <w:sz w:val="20"/>
        </w:rPr>
      </w:pPr>
      <w:r>
        <w:rPr>
          <w:rFonts w:ascii="Times New Roman" w:hAnsi="Times New Roman"/>
          <w:b w:val="false"/>
          <w:color w:val="000000"/>
          <w:sz w:val="20"/>
        </w:rPr>
        <w:t>Since the Company was in a loss position for all periods presented, basic net loss per share is the same as diluted net loss per share for all periods presented as the inclusion of all potential common stock outstanding would have been anti-dilutive.</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The following outstanding potentially dilutive securities were excluded from the computation of diluted net loss per share for the three months and nine months ended September 30, 2023 and 2022 because including them would have been anti-dilutive:</w:t>
      </w:r>
    </w:p>
    <w:tbl>
      <w:tblPr>
        <w:tblW w:w="7899" w:type="dxa"/>
        <w:jc w:val="left"/>
        <w:tblInd w:w="0" w:type="dxa"/>
        <w:tblLayout w:type="fixed"/>
        <w:tblCellMar>
          <w:top w:w="28" w:type="dxa"/>
          <w:left w:w="28" w:type="dxa"/>
          <w:bottom w:w="28" w:type="dxa"/>
          <w:right w:w="28" w:type="dxa"/>
        </w:tblCellMar>
      </w:tblPr>
      <w:tblGrid>
        <w:gridCol w:w="4696"/>
        <w:gridCol w:w="146"/>
        <w:gridCol w:w="152"/>
        <w:gridCol w:w="1084"/>
        <w:gridCol w:w="152"/>
        <w:gridCol w:w="152"/>
        <w:gridCol w:w="152"/>
        <w:gridCol w:w="974"/>
        <w:gridCol w:w="391"/>
      </w:tblGrid>
      <w:tr>
        <w:trPr/>
        <w:tc>
          <w:tcPr>
            <w:tcW w:w="4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6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666"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and Nine Months Ended</w:t>
            </w:r>
          </w:p>
        </w:tc>
        <w:tc>
          <w:tcPr>
            <w:tcW w:w="391" w:type="dxa"/>
            <w:tcBorders/>
            <w:shd w:fill="FFFFFF" w:val="clear"/>
            <w:vAlign w:val="center"/>
          </w:tcPr>
          <w:p>
            <w:pPr>
              <w:pStyle w:val="TableContents"/>
              <w:bidi w:val="0"/>
              <w:spacing w:before="0" w:after="283"/>
              <w:jc w:val="center"/>
              <w:rPr/>
            </w:pPr>
            <w:r>
              <w:rPr/>
              <w:t> </w:t>
            </w:r>
          </w:p>
        </w:tc>
      </w:tr>
      <w:tr>
        <w:trPr/>
        <w:tc>
          <w:tcPr>
            <w:tcW w:w="46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6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9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Stock options issued and outstanding</w:t>
            </w:r>
          </w:p>
        </w:tc>
        <w:tc>
          <w:tcPr>
            <w:tcW w:w="146" w:type="dxa"/>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left"/>
              <w:rPr/>
            </w:pPr>
            <w:r>
              <w:rPr/>
              <w:t> </w:t>
            </w:r>
          </w:p>
        </w:tc>
        <w:tc>
          <w:tcPr>
            <w:tcW w:w="108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9,114,886</w:t>
            </w:r>
          </w:p>
        </w:tc>
        <w:tc>
          <w:tcPr>
            <w:tcW w:w="152"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97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6,214,107</w:t>
            </w:r>
          </w:p>
        </w:tc>
        <w:tc>
          <w:tcPr>
            <w:tcW w:w="391" w:type="dxa"/>
            <w:tcBorders/>
            <w:shd w:fill="CFF0FC" w:val="clear"/>
            <w:vAlign w:val="center"/>
          </w:tcPr>
          <w:p>
            <w:pPr>
              <w:pStyle w:val="TableContents"/>
              <w:bidi w:val="0"/>
              <w:spacing w:before="0" w:after="283"/>
              <w:jc w:val="left"/>
              <w:rPr/>
            </w:pPr>
            <w:r>
              <w:rPr/>
              <w:t> </w:t>
            </w:r>
          </w:p>
        </w:tc>
      </w:tr>
      <w:tr>
        <w:trPr/>
        <w:tc>
          <w:tcPr>
            <w:tcW w:w="469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Restricted stock issued and outstanding</w:t>
            </w:r>
          </w:p>
        </w:tc>
        <w:tc>
          <w:tcPr>
            <w:tcW w:w="146" w:type="dxa"/>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left"/>
              <w:rPr/>
            </w:pPr>
            <w:r>
              <w:rPr/>
              <w:t> </w:t>
            </w:r>
          </w:p>
        </w:tc>
        <w:tc>
          <w:tcPr>
            <w:tcW w:w="108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1,084,403</w:t>
            </w:r>
          </w:p>
        </w:tc>
        <w:tc>
          <w:tcPr>
            <w:tcW w:w="15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870,399</w:t>
            </w:r>
          </w:p>
        </w:tc>
        <w:tc>
          <w:tcPr>
            <w:tcW w:w="391" w:type="dxa"/>
            <w:tcBorders/>
            <w:shd w:fill="FFFFFF" w:val="clear"/>
            <w:vAlign w:val="center"/>
          </w:tcPr>
          <w:p>
            <w:pPr>
              <w:pStyle w:val="TableContents"/>
              <w:bidi w:val="0"/>
              <w:spacing w:before="0" w:after="283"/>
              <w:jc w:val="left"/>
              <w:rPr/>
            </w:pPr>
            <w:r>
              <w:rPr/>
              <w:t> </w:t>
            </w:r>
          </w:p>
        </w:tc>
      </w:tr>
      <w:tr>
        <w:trPr/>
        <w:tc>
          <w:tcPr>
            <w:tcW w:w="469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Employee Stock Purchase Plan estimated shares issuable</w:t>
            </w:r>
          </w:p>
        </w:tc>
        <w:tc>
          <w:tcPr>
            <w:tcW w:w="146" w:type="dxa"/>
            <w:tcBorders/>
            <w:shd w:fill="CFF0FC" w:val="clear"/>
            <w:vAlign w:val="center"/>
          </w:tcPr>
          <w:p>
            <w:pPr>
              <w:pStyle w:val="TableContents"/>
              <w:bidi w:val="0"/>
              <w:spacing w:before="0" w:after="283"/>
              <w:jc w:val="righ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21,775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69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w:t>
            </w:r>
          </w:p>
        </w:tc>
        <w:tc>
          <w:tcPr>
            <w:tcW w:w="146" w:type="dxa"/>
            <w:tcBorders/>
            <w:shd w:fill="FFFFFF" w:val="clear"/>
            <w:vAlign w:val="center"/>
          </w:tcPr>
          <w:p>
            <w:pPr>
              <w:pStyle w:val="TableContents"/>
              <w:bidi w:val="0"/>
              <w:spacing w:before="0" w:after="283"/>
              <w:jc w:val="right"/>
              <w:rPr/>
            </w:pPr>
            <w:r>
              <w:rPr/>
              <w:t> </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10,199,289</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7,106,281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(11) COMMITMENTS AND CONTINGENCIES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Guarantees and Indemnifications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have not yet been made. To date, the Company has not paid any claims or been required to defend any action related to its indemnification obligations. However, the Company may record charges in the future as a result of these indemnification obligations. The Company also has indemnification obligations to its officers and directors for specified events or occurrences, subject to some limits, while they are serving at the Company’s request in such capacities. There have been no claims to date and the Company has director and officer insurance that may enable the Company to recover a portion of any amounts paid for future potential claims. The Company believes the fair value of these indemnification agreements is minimal. Accordingly, the Company has not recorded any liabilities for these agreements as of September 30, 2023.</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Contingencies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From time to time, the Company may be a party to various claims in the normal course of business. Legal fees and other costs associated with such actions will be expensed as incurred. The Company will assess, in conjunction with its legal counsel, the need to record a liability for litigation and contingencies. Reserve estimates will be recorded when and if it is determined that a loss related matter is both probable and reasonably estimable. As of September 30, 2023, the Company had no</w:t>
      </w:r>
      <w:r>
        <w:rPr>
          <w:rFonts w:ascii="Times New Roman" w:hAnsi="Times New Roman"/>
          <w:color w:val="000000"/>
          <w:sz w:val="20"/>
        </w:rPr>
        <w:t xml:space="preserve"> </w:t>
      </w:r>
      <w:r>
        <w:rPr>
          <w:rFonts w:ascii="Times New Roman" w:hAnsi="Times New Roman"/>
          <w:b w:val="false"/>
          <w:color w:val="000000"/>
          <w:sz w:val="20"/>
        </w:rPr>
        <w:t>pending or threatened litigation.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Other Contractual Obligations and Other Commitments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have other contractual obligations and other commitments from manufacturing and service contracts, which are presented as follows as of September 30, 2023 (in thousands):</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2765"/>
        <w:gridCol w:w="146"/>
        <w:gridCol w:w="211"/>
        <w:gridCol w:w="571"/>
        <w:gridCol w:w="146"/>
        <w:gridCol w:w="146"/>
        <w:gridCol w:w="548"/>
        <w:gridCol w:w="1487"/>
        <w:gridCol w:w="146"/>
        <w:gridCol w:w="146"/>
        <w:gridCol w:w="260"/>
        <w:gridCol w:w="704"/>
        <w:gridCol w:w="146"/>
        <w:gridCol w:w="146"/>
        <w:gridCol w:w="371"/>
        <w:gridCol w:w="559"/>
        <w:gridCol w:w="146"/>
        <w:gridCol w:w="146"/>
        <w:gridCol w:w="386"/>
        <w:gridCol w:w="635"/>
        <w:gridCol w:w="394"/>
      </w:tblGrid>
      <w:tr>
        <w:trPr/>
        <w:tc>
          <w:tcPr>
            <w:tcW w:w="27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276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900"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2023</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2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br/>
              <w:t>(remaining three months)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9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2026-2027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Thereafter</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Manufacturing and service contracts</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5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65"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5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b w:val="false"/>
          <w:color w:val="000000"/>
          <w:sz w:val="20"/>
        </w:rPr>
        <w:t>In November 2015, the Company entered into a Master Service Agreement, or the MSA, with KBI Biopharma, Inc. relating to formulation development, process development and current good manufacturing practices, or cGMP, manufacturing of evorpacept for use in clinical trials on a project basis. The MSA had an initial term of three years</w:t>
      </w:r>
      <w:r>
        <w:rPr>
          <w:rFonts w:ascii="Times New Roman" w:hAnsi="Times New Roman"/>
          <w:color w:val="000000"/>
          <w:sz w:val="20"/>
        </w:rPr>
        <w:t xml:space="preserve"> </w:t>
      </w:r>
      <w:r>
        <w:rPr>
          <w:rFonts w:ascii="Times New Roman" w:hAnsi="Times New Roman"/>
          <w:b w:val="false"/>
          <w:color w:val="000000"/>
          <w:sz w:val="20"/>
        </w:rPr>
        <w:t>with successive one-year</w:t>
      </w:r>
      <w:r>
        <w:rPr>
          <w:rFonts w:ascii="Times New Roman" w:hAnsi="Times New Roman"/>
          <w:color w:val="000000"/>
          <w:sz w:val="20"/>
        </w:rPr>
        <w:t xml:space="preserve"> </w:t>
      </w:r>
      <w:r>
        <w:rPr>
          <w:rFonts w:ascii="Times New Roman" w:hAnsi="Times New Roman"/>
          <w:b w:val="false"/>
          <w:color w:val="000000"/>
          <w:sz w:val="20"/>
        </w:rPr>
        <w:t>renewal periods, which was extended an additional eight years until November 2026, is cancellable upon notice and is non-exclusive. Statements of work under the MSA commit the Company to certain future purchase obligations of approximately $2.6</w:t>
      </w:r>
      <w:r>
        <w:rPr>
          <w:rFonts w:ascii="Times New Roman" w:hAnsi="Times New Roman"/>
          <w:color w:val="000000"/>
          <w:sz w:val="20"/>
        </w:rPr>
        <w:t xml:space="preserve"> </w:t>
      </w:r>
      <w:r>
        <w:rPr>
          <w:rFonts w:ascii="Times New Roman" w:hAnsi="Times New Roman"/>
          <w:b w:val="false"/>
          <w:color w:val="000000"/>
          <w:sz w:val="20"/>
        </w:rPr>
        <w:t>million. In addition, the Company has commitments with one other pharmaceutical contract manufacturer, including certain future purchase obligations of approximately $6.2</w:t>
      </w:r>
      <w:r>
        <w:rPr>
          <w:rFonts w:ascii="Times New Roman" w:hAnsi="Times New Roman"/>
          <w:color w:val="000000"/>
          <w:sz w:val="20"/>
        </w:rPr>
        <w:t xml:space="preserve"> </w:t>
      </w:r>
      <w:r>
        <w:rPr>
          <w:rFonts w:ascii="Times New Roman" w:hAnsi="Times New Roman"/>
          <w:b w:val="false"/>
          <w:color w:val="000000"/>
          <w:sz w:val="20"/>
        </w:rPr>
        <w:t>million. These amounts are based on non-cancellable commitments and forecasts that include estimates of future market demand, quantity discounts and manufacturing efficiencies that may impact timing of purchases.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 enters into contracts in the normal course of business with various third parties for clinical trials, preclinical research studies and testing, manufacturing and other services and products for operating purposes. These contracts generally provide for termination upon notice. Payments due upon cancellation consist only of payments for services provided or expenses incurred, including non-cancellable obligations of the Company’s service providers, up to the date of cancellation.</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(12) SUBSEQUENT EVENTS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On October 10, 2023, the Company completed an underwitten follow-on public offering and issued an aggregate of 8,663,793</w:t>
      </w:r>
      <w:r>
        <w:rPr>
          <w:rFonts w:ascii="Times New Roman" w:hAnsi="Times New Roman"/>
          <w:color w:val="000000"/>
          <w:sz w:val="20"/>
        </w:rPr>
        <w:t xml:space="preserve"> </w:t>
      </w:r>
      <w:r>
        <w:rPr>
          <w:rFonts w:ascii="Times New Roman" w:hAnsi="Times New Roman"/>
          <w:b w:val="false"/>
          <w:color w:val="000000"/>
          <w:sz w:val="20"/>
        </w:rPr>
        <w:t>shares of common stock, including the underwriters’ exercise in full of their overallotment option of 1,293,103</w:t>
      </w:r>
      <w:r>
        <w:rPr>
          <w:rFonts w:ascii="Times New Roman" w:hAnsi="Times New Roman"/>
          <w:color w:val="000000"/>
          <w:sz w:val="20"/>
        </w:rPr>
        <w:t xml:space="preserve"> </w:t>
      </w:r>
      <w:r>
        <w:rPr>
          <w:rFonts w:ascii="Times New Roman" w:hAnsi="Times New Roman"/>
          <w:b w:val="false"/>
          <w:color w:val="000000"/>
          <w:sz w:val="20"/>
        </w:rPr>
        <w:t>shares of common stock, and pre-funded warrants to purchase 1,250,000</w:t>
      </w:r>
      <w:r>
        <w:rPr>
          <w:rFonts w:ascii="Times New Roman" w:hAnsi="Times New Roman"/>
          <w:color w:val="000000"/>
          <w:sz w:val="20"/>
        </w:rPr>
        <w:t xml:space="preserve"> </w:t>
      </w:r>
      <w:r>
        <w:rPr>
          <w:rFonts w:ascii="Times New Roman" w:hAnsi="Times New Roman"/>
          <w:b w:val="false"/>
          <w:color w:val="000000"/>
          <w:sz w:val="20"/>
        </w:rPr>
        <w:t>shares of common stock at a public offering price of $6.38</w:t>
      </w:r>
      <w:r>
        <w:rPr>
          <w:rFonts w:ascii="Times New Roman" w:hAnsi="Times New Roman"/>
          <w:color w:val="000000"/>
          <w:sz w:val="20"/>
        </w:rPr>
        <w:t xml:space="preserve"> </w:t>
      </w:r>
      <w:r>
        <w:rPr>
          <w:rFonts w:ascii="Times New Roman" w:hAnsi="Times New Roman"/>
          <w:b w:val="false"/>
          <w:color w:val="000000"/>
          <w:sz w:val="20"/>
        </w:rPr>
        <w:t>per share and $6.379</w:t>
      </w:r>
      <w:r>
        <w:rPr>
          <w:rFonts w:ascii="Times New Roman" w:hAnsi="Times New Roman"/>
          <w:color w:val="000000"/>
          <w:sz w:val="20"/>
        </w:rPr>
        <w:t xml:space="preserve"> </w:t>
      </w:r>
      <w:r>
        <w:rPr>
          <w:rFonts w:ascii="Times New Roman" w:hAnsi="Times New Roman"/>
          <w:b w:val="false"/>
          <w:color w:val="000000"/>
          <w:sz w:val="20"/>
        </w:rPr>
        <w:t>per pre-funded warrant. The Company received net proceeds of approximately $59.0</w:t>
      </w:r>
      <w:r>
        <w:rPr>
          <w:rFonts w:ascii="Times New Roman" w:hAnsi="Times New Roman"/>
          <w:color w:val="000000"/>
          <w:sz w:val="20"/>
        </w:rPr>
        <w:t xml:space="preserve"> </w:t>
      </w:r>
      <w:r>
        <w:rPr>
          <w:rFonts w:ascii="Times New Roman" w:hAnsi="Times New Roman"/>
          <w:b w:val="false"/>
          <w:color w:val="000000"/>
          <w:sz w:val="20"/>
        </w:rPr>
        <w:t>million, after deducting underwriting discounts and commissions of $3.8</w:t>
      </w:r>
      <w:r>
        <w:rPr>
          <w:rFonts w:ascii="Times New Roman" w:hAnsi="Times New Roman"/>
          <w:color w:val="000000"/>
          <w:sz w:val="20"/>
        </w:rPr>
        <w:t xml:space="preserve"> </w:t>
      </w:r>
      <w:r>
        <w:rPr>
          <w:rFonts w:ascii="Times New Roman" w:hAnsi="Times New Roman"/>
          <w:b w:val="false"/>
          <w:color w:val="000000"/>
          <w:sz w:val="20"/>
        </w:rPr>
        <w:t>million and other offering-related expenses of $0.5</w:t>
      </w:r>
      <w:r>
        <w:rPr>
          <w:rFonts w:ascii="Times New Roman" w:hAnsi="Times New Roman"/>
          <w:color w:val="000000"/>
          <w:sz w:val="20"/>
        </w:rPr>
        <w:t xml:space="preserve"> </w:t>
      </w:r>
      <w:r>
        <w:rPr>
          <w:rFonts w:ascii="Times New Roman" w:hAnsi="Times New Roman"/>
          <w:b w:val="false"/>
          <w:color w:val="000000"/>
          <w:sz w:val="20"/>
        </w:rPr>
        <w:t>million.</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1" w:name="part1_item2_mda"/>
      <w:bookmarkEnd w:id="11"/>
      <w:r>
        <w:rPr>
          <w:rFonts w:ascii="Times New Roman" w:hAnsi="Times New Roman"/>
          <w:b/>
          <w:color w:val="000000"/>
          <w:sz w:val="20"/>
        </w:rPr>
        <w:t>Item 2. Management’s Discussion and Analysis of Financial Condition and Results of Operations</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You should read the following discussion of our financial condition and results of operations together with our unaudited condensed consolidated financial statements and related notes included elsewhere in this Quarterly Report on Form 10-Q. Some of the information contained in this discussion and analysis, including information with respect to our plans and strategy for our business, include forward-looking statements that involve risks and uncertainties. Our actual results could differ materially from those anticipated in these forward-looking statements as a result of various factors, including those set forth under “Risk Factors” and elsewhere in this Quarterly Report on Form 10-Q.</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are a clinical-stage immuno-oncology company focused on helping patients fight cancer by developing therapies that block the CD47 immune checkpoint and bridge the innate and adaptive immune system. Our lead product candidate, the CD47 blocker evorpacept, is currently in multiple Phase 1 and 2 clinical trials. Cancer cells leverage CD47, a cell surface protein, as a “don’t eat me” signal to evade macrophage phagocytosis or as a “don’t activate T-cells” signal that prevents activation of T-cells by dendritic cells. We are developing evorpacept to be a next-generation checkpoint inhibitor designed to have a high affinity for CD47 and to avoid the limitations caused by hematologic toxicities inherent in other CD47 blocking approaches.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Rationally engineered with an inactive Fc effector function, evorpacept’s clinical data has demonstrated a substantially better safety profile to date than other anti-CD47 molecules in the clinic with an active Fc (i.e., binding the Fc gamma receptor on macrophages). This favorable safety profile allows us to dose higher with minimal overlapping toxicity in the combination treatment setting. CD47 expressed on cancer cells binds to its receptor SIRP alpha, which is predominantly expressed on two cell types: macrophages and dendritic cells. We are focused on evorpacept development with the standard-of-care agents, revolving around these two cell types.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initially pursued, and continue to pursue, development of evorpacept based on two well-validated mechanisms of action involving SIRP alpha expression on macrophages and dendritic cells as discussed below. In April 2020, we began exploring a third less well-validated mechanism of action, which led us to test the combination of evorpacept with azacitidine in myelodysplastic syndromes (MDS) patients, but our data failed to validate this third mechanism as discussed below.</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distinct mechanism of actions and examples of the combinations of priority are:</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120" w:after="283"/>
        <w:jc w:val="left"/>
        <w:rPr/>
      </w:pPr>
      <w:r>
        <w:rPr>
          <w:rFonts w:ascii="Times New Roman" w:hAnsi="Times New Roman"/>
          <w:b/>
          <w:color w:val="000000"/>
          <w:sz w:val="20"/>
        </w:rPr>
        <w:t>Anti-cancer antibodies (the “</w:t>
      </w:r>
      <w:r>
        <w:rPr>
          <w:rFonts w:ascii="Times New Roman" w:hAnsi="Times New Roman"/>
          <w:b/>
          <w:i/>
          <w:color w:val="000000"/>
          <w:sz w:val="20"/>
        </w:rPr>
        <w:t>don’t eat me</w:t>
      </w:r>
      <w:r>
        <w:rPr>
          <w:color w:val="000000"/>
        </w:rPr>
        <w:t xml:space="preserve">” </w:t>
      </w:r>
      <w:r>
        <w:rPr>
          <w:rFonts w:ascii="Times New Roman" w:hAnsi="Times New Roman"/>
          <w:b/>
          <w:color w:val="000000"/>
          <w:sz w:val="20"/>
        </w:rPr>
        <w:t>signal)</w:t>
      </w:r>
      <w:r>
        <w:rPr>
          <w:rFonts w:ascii="Times New Roman" w:hAnsi="Times New Roman"/>
          <w:b w:val="false"/>
          <w:color w:val="000000"/>
          <w:sz w:val="20"/>
        </w:rPr>
        <w:t xml:space="preserve">: </w:t>
      </w:r>
      <w:r>
        <w:rPr>
          <w:rFonts w:ascii="Times New Roman" w:hAnsi="Times New Roman"/>
          <w:b/>
          <w:color w:val="000000"/>
          <w:sz w:val="20"/>
        </w:rPr>
        <w:t>Combining with anti-cancer targeted antibodies with an active Fc domain, where evorpacept enables the Fc-mediated antibody dependent phagocytosis that is impaired by the expression of CD47 on cancer cells</w:t>
      </w:r>
      <w:r>
        <w:rPr>
          <w:rFonts w:ascii="Times New Roman" w:hAnsi="Times New Roman"/>
          <w:b w:val="false"/>
          <w:color w:val="000000"/>
          <w:sz w:val="20"/>
        </w:rPr>
        <w:t xml:space="preserve">. </w:t>
        <w:br/>
        <w:t>The positive interim data in our randomized ASPEN-06 clinical trial supports the clinical validation of this mechanism of action. ASPEN-06 evaluates the contribution of evorpacept to HERCEPTIN</w:t>
      </w:r>
      <w:r>
        <w:rPr>
          <w:rFonts w:ascii="Times New Roman" w:hAnsi="Times New Roman"/>
          <w:b w:val="false"/>
          <w:color w:val="000000"/>
          <w:sz w:val="13"/>
        </w:rPr>
        <w:t xml:space="preserve">® </w:t>
      </w:r>
      <w:r>
        <w:rPr>
          <w:rFonts w:ascii="Times New Roman" w:hAnsi="Times New Roman"/>
          <w:b w:val="false"/>
          <w:color w:val="000000"/>
          <w:sz w:val="20"/>
        </w:rPr>
        <w:t>(trastuzumab) plus standard of care (CYRAMZA</w:t>
      </w:r>
      <w:r>
        <w:rPr>
          <w:rFonts w:ascii="Times New Roman" w:hAnsi="Times New Roman"/>
          <w:b w:val="false"/>
          <w:color w:val="000000"/>
          <w:sz w:val="13"/>
        </w:rPr>
        <w:t>®</w:t>
      </w:r>
      <w:r>
        <w:rPr>
          <w:color w:val="000000"/>
        </w:rPr>
        <w:t xml:space="preserve"> </w:t>
      </w:r>
      <w:r>
        <w:rPr>
          <w:rFonts w:ascii="Times New Roman" w:hAnsi="Times New Roman"/>
          <w:b w:val="false"/>
          <w:color w:val="000000"/>
          <w:sz w:val="20"/>
        </w:rPr>
        <w:t>(ramucirumab) + paclitaxel) versus standard of care in second line or later HER2-positive gastric/gastroesophageal junction (GEJ) cancer. It demonstrated evorpacept + trastuzumab + ramucirumab + paclitaxel improved response activity (52% overall response rate (ORR), median duration of response (mDOR) not reached) compared to that of the trastuzumab + ramucirumab + paclitaxel backbone (22% ORR, mDOR 7.4 m). The recently reported clinical activity of evorpacept + trastuzumab + ramucirumab + paclitaxel compares favorably to the RAINBOW historical data where ramucirumab + paclitaxel demonstrated a 28% confirmed ORR and 4.4 month mDOR, as well as to DESTINY-Gastric01 where ENHERTU</w:t>
      </w:r>
      <w:r>
        <w:rPr>
          <w:rFonts w:ascii="Times New Roman" w:hAnsi="Times New Roman"/>
          <w:b w:val="false"/>
          <w:color w:val="000000"/>
          <w:sz w:val="13"/>
        </w:rPr>
        <w:t>®</w:t>
      </w:r>
      <w:r>
        <w:rPr>
          <w:color w:val="000000"/>
        </w:rPr>
        <w:t xml:space="preserve"> </w:t>
      </w:r>
      <w:r>
        <w:rPr>
          <w:rFonts w:ascii="Times New Roman" w:hAnsi="Times New Roman"/>
          <w:b w:val="false"/>
          <w:color w:val="000000"/>
          <w:sz w:val="20"/>
        </w:rPr>
        <w:t>(fam-trastuzumab deruxtecan-nxki) reported a 41% confirmed ORR and mDOR of 11.3 months. The initial magnitude of improvement in ORR over available therapy and over the concurrent control arm with this well-tolerated combination suggests that evorpacept in combination with trastuzumab, ramucirumab, and paclitaxel could benefit patients with HER2-overexpressing advanced gastric/GEJ cancer. Our ASPEN-06 interim results additionally support the individual contribution of evorpacept to this regimen. We also believe the ASPEN-06 interim data together with our earlier Phase 1 positive data characterizing the combination of evorpacept with trastuzumab + ramucirumab + paclitaxel in gastric cancer as well as in combination with rituximab in non-Hodgkin lymphoma (NHL), provide additional support for the clinical validation of this mechanism of action and support exploring combinations of evorpacept with other anti-cancer antibodies. We have already initiated multiple clinical studies based on this mechanism (see evorpacept clinical programs below) to rapidly expand the use of evorpacept in combination with this class of agents in multiple indications. This same mechanism of action may also apply to antibody-drug conjugates (ADCs), which are being investigated in two separate Phase 1 trials: one in combination with PADCEV</w:t>
      </w:r>
      <w:r>
        <w:rPr>
          <w:rFonts w:ascii="Times New Roman" w:hAnsi="Times New Roman"/>
          <w:b w:val="false"/>
          <w:color w:val="000000"/>
          <w:sz w:val="13"/>
        </w:rPr>
        <w:t>®</w:t>
      </w:r>
      <w:r>
        <w:rPr>
          <w:color w:val="000000"/>
        </w:rPr>
        <w:t xml:space="preserve"> </w:t>
      </w:r>
      <w:r>
        <w:rPr>
          <w:rFonts w:ascii="Times New Roman" w:hAnsi="Times New Roman"/>
          <w:b w:val="false"/>
          <w:color w:val="000000"/>
          <w:sz w:val="20"/>
        </w:rPr>
        <w:t>(enfortumab vedotin-ejfv) in patients with urothelial cancer (ASPEN-07), and the other in combination with fam-trastuzumab deruxtecan-nxki in patients with unresectable or metastatic HER2-positive and HER2-low breast cancer.</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120" w:after="283"/>
        <w:jc w:val="left"/>
        <w:rPr/>
      </w:pPr>
      <w:r>
        <w:rPr>
          <w:rFonts w:ascii="Times New Roman" w:hAnsi="Times New Roman"/>
          <w:b/>
          <w:color w:val="000000"/>
          <w:sz w:val="20"/>
        </w:rPr>
        <w:t>PD-1/PD-L1 immune checkpoint inhibitors (the “</w:t>
      </w:r>
      <w:r>
        <w:rPr>
          <w:rFonts w:ascii="Times New Roman" w:hAnsi="Times New Roman"/>
          <w:b/>
          <w:i/>
          <w:color w:val="000000"/>
          <w:sz w:val="20"/>
        </w:rPr>
        <w:t>don’t activate T-cells</w:t>
      </w:r>
      <w:r>
        <w:rPr>
          <w:color w:val="000000"/>
        </w:rPr>
        <w:t xml:space="preserve">” </w:t>
      </w:r>
      <w:r>
        <w:rPr>
          <w:rFonts w:ascii="Times New Roman" w:hAnsi="Times New Roman"/>
          <w:b/>
          <w:color w:val="000000"/>
          <w:sz w:val="20"/>
        </w:rPr>
        <w:t>signal):</w:t>
      </w:r>
      <w:r>
        <w:rPr>
          <w:color w:val="000000"/>
        </w:rPr>
        <w:t xml:space="preserve"> </w:t>
      </w:r>
      <w:r>
        <w:rPr>
          <w:rFonts w:ascii="Times New Roman" w:hAnsi="Times New Roman"/>
          <w:b/>
          <w:color w:val="000000"/>
          <w:sz w:val="20"/>
        </w:rPr>
        <w:t>Combining with PD-1/PD-L1 checkpoint inhibitor, where evorpacept activates dendritic cells that are constitutively inhibited by the CD47/ SIRP alpha pathway.</w:t>
      </w:r>
      <w:r>
        <w:rPr>
          <w:color w:val="000000"/>
        </w:rPr>
        <w:t xml:space="preserve"> </w:t>
      </w:r>
      <w:r>
        <w:rPr>
          <w:rFonts w:ascii="Times New Roman" w:hAnsi="Times New Roman"/>
          <w:b w:val="false"/>
          <w:color w:val="000000"/>
          <w:sz w:val="20"/>
        </w:rPr>
        <w:br/>
        <w:t>Activated dendritic cells present neoantigens to T-cells that, once activated, will kill cancer cells when the PD-1/PD-L1 inhibitory interaction is blocked by T-cell checkpoint inhibitors. The combination with a PD-1/PD-L1 checkpoint inhibitor allows maximum activity of these newly activated T-cells. Examples of this mechanism include our clinical trials, ASPEN-03 and ASPEN-04, two randomized Phase 2 studies in combination with KEYTRUDA</w:t>
      </w:r>
      <w:r>
        <w:rPr>
          <w:rFonts w:ascii="Times New Roman" w:hAnsi="Times New Roman"/>
          <w:b w:val="false"/>
          <w:color w:val="000000"/>
          <w:sz w:val="13"/>
        </w:rPr>
        <w:t>®</w:t>
      </w:r>
      <w:r>
        <w:rPr>
          <w:color w:val="000000"/>
        </w:rPr>
        <w:t xml:space="preserve"> </w:t>
      </w:r>
      <w:r>
        <w:rPr>
          <w:rFonts w:ascii="Times New Roman" w:hAnsi="Times New Roman"/>
          <w:b w:val="false"/>
          <w:color w:val="000000"/>
          <w:sz w:val="20"/>
        </w:rPr>
        <w:t xml:space="preserve">(pembrolizumab), without or with chemotherapy, respectively, comparing to the same treatments without evorpacept, in first line head and neck squamous cell carcinoma (HNSCC). Validation of this mechanism is supported by our Phase 1 data (N=23) in the same indications and combinations where we saw an improvement in overall survival (OS) at 12 months with respect to historical data.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(3)</w:t>
      </w:r>
    </w:p>
    <w:p>
      <w:pPr>
        <w:pStyle w:val="TextBody"/>
        <w:bidi w:val="0"/>
        <w:spacing w:before="120" w:after="283"/>
        <w:jc w:val="left"/>
        <w:rPr/>
      </w:pPr>
      <w:r>
        <w:rPr>
          <w:rFonts w:ascii="Times New Roman" w:hAnsi="Times New Roman"/>
          <w:b/>
          <w:color w:val="000000"/>
          <w:sz w:val="20"/>
        </w:rPr>
        <w:t>Hypomethylation agents:</w:t>
      </w:r>
      <w:r>
        <w:rPr>
          <w:color w:val="000000"/>
        </w:rPr>
        <w:t xml:space="preserve"> </w:t>
      </w:r>
      <w:r>
        <w:rPr>
          <w:rFonts w:ascii="Times New Roman" w:hAnsi="Times New Roman"/>
          <w:b/>
          <w:color w:val="000000"/>
          <w:sz w:val="20"/>
        </w:rPr>
        <w:t>Combining with azacitidine, which is described to upregulate calreticulin and potentially promote macrophage dependent phagocytosis that is inhibited by CD47. We now consider this a failed mechanistic hypothesis.</w:t>
      </w:r>
      <w:r>
        <w:rPr>
          <w:rFonts w:ascii="Times New Roman" w:hAnsi="Times New Roman"/>
          <w:b w:val="false"/>
          <w:color w:val="000000"/>
          <w:sz w:val="20"/>
        </w:rPr>
        <w:br/>
        <w:t xml:space="preserve">This mechanistic hypothesis was tested and ultimately not supported in our clinical trial, ASPEN-02, a Phase 1b dose optimization study evaluating evorpacept in combination with azacitidine for the treatment of MDS. Initial support for exploring this mechanism was provided by Phase 1b initial clinical data of magrolimab, an anti CD47 antibody with active Fc, being developed by Gilead, which showed improvements in complete response (CR) rate compared to historical data in addition to a significant increase in cytopenias. As we reported in August 2023, in our preliminary data review of our Phase 1 study, ASPEN-02, despite being well tolerated, evorpacept did not yield sufficient activity to support progression to Phase 2 trials. Gilead has since discontinued its Phase 3 magrolimab trials with this combination in both acute myeloid leukemia (AML) and MDS due to lack of efficacy. Based upon trial results, we are no longer planning to pursue combinations based upon this mechanism of action. Resources originally earmarked for these trials will be allocated to support our ongoing programs evaluating combinations with anti-cancer antibodies and PD-1/PD-L1 immune checkpoint inhibitors.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We are pursuing the following clinical programs, collaborations, and investigator sponsored trials:</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Evorpacept</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Combination with anti-cancer antibody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ASPEN-06 - Gastric/GEJ Cancer</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o</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In January 2020, the FDA granted Fast Track designation for evorpacept in combination with trastuzumab, ramucirumab and paclitaxel for the treatment of patients with HER2-overexpressing advanced gastric or GEJ adenocarcinoma with disease progression on or after prior trastuzumab and fluoropyrimidine or platinum containing chemotherapy.</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o</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In January 2022, the FDA’s Office of Orphan Products Development granted Orphan Drug Designation (ODD) to evorpacept for the treatment of patients with gastric/GEJ cancer.</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o</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In March 2022, we announced the dosing of the first patient in the ASPEN-06 trial, a randomized Phase 2/3 trial of evorpacept in combination with trastuzumab, ramucirumab and paclitaxel for the treatment of second- and third-line advanced HER2-overexpressing gastric/GEJ cancer.</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o</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In June 2023, the European Commission granted ODD to evorpacept for the treatment of patients with gastric/GEJ cancer.</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o</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In October 2023, we announced positive prespecified interim Phase 2 clinical data from our ASPEN-06 clinical trial. This prespecified interim analysis reported results from 54 randomized patients with second and third line gastric/GEJ cancer, including patients previously treated with fam-trastuzumab deruxtecan-nxki and checkpoint inhibitors. A confirmed overall response rate (ORR) of 52% was demonstrated for evorpacept in combination with trastuzumab + ramucirumab + paclitaxel compared to 22% for the control group of trastuzumab + ramucirumab + paclitaxel. Median duration of response (mDOR) was not reached for the evorpacept combination treatment arm compared to 7.4 months for the control group. The safety profile of evorpacept was consistent with previous clinical trials and was well-tolerated.</w:t>
      </w:r>
    </w:p>
    <w:p>
      <w:pPr>
        <w:pStyle w:val="TextBody"/>
        <w:bidi w:val="0"/>
        <w:spacing w:before="180" w:after="283"/>
        <w:jc w:val="left"/>
        <w:rPr>
          <w:rFonts w:ascii="Times New Roman" w:hAnsi="Times New Roman"/>
          <w:b w:val="false"/>
          <w:i/>
          <w:color w:val="000000"/>
          <w:sz w:val="20"/>
        </w:rPr>
      </w:pPr>
      <w:r>
        <w:rPr>
          <w:rFonts w:ascii="Times New Roman" w:hAnsi="Times New Roman"/>
          <w:b w:val="false"/>
          <w:i/>
          <w:color w:val="000000"/>
          <w:sz w:val="20"/>
        </w:rPr>
        <w:t>Combination with antibody drug conjugate (ADC)</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ASPEN-07 - Urothelial Cancer (UC)</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o</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In February 2023, we announced the dosing of the first patient in the ASPEN-07 trial, a Phase 1 study evaluating evorpacept in combination with an ADC, enfortumab vedotin-ejfv, for the second-line treatment of locally advanced or metastatic UC.</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b w:val="false"/>
          <w:i/>
          <w:color w:val="000000"/>
          <w:sz w:val="20"/>
        </w:rPr>
      </w:pPr>
      <w:r>
        <w:rPr>
          <w:rFonts w:ascii="Times New Roman" w:hAnsi="Times New Roman"/>
          <w:b w:val="false"/>
          <w:i/>
          <w:color w:val="000000"/>
          <w:sz w:val="20"/>
        </w:rPr>
        <w:t>Combination with PD-1/PD-L1 immune checkpoint inhibitor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ASPEN-03 - Head and Neck Squamous Cell Carcinoma</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o</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In May 2021, we announced the dosing of the first patient in the ASPEN-03 trial, a randomized Phase 2 trial of evorpacept in combination with pembrolizumab for the treatment of first-line advanced PD-L1 positive HNSCC.</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o</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In July 2022, the Food and Drug Administration (FDA) granted Fast Track designation for evorpacept in combination with pembrolizumab for first-line treatment of adult patients with metastatic or unresectable, recurrent HNSCC whose tumors express PD-L1.</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ASPEN-04 - Head and Neck Squamous Cell Carcinoma</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o</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In February 2020, the FDA granted Fast Track designation for evorpacept in combination with pembrolizumab, platinum, and fluorouracil for the first-line treatment of adult patients with metastatic or unresectable, recurrent HNSCC.</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o</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In July 2021, we announced the dosing of the first patient in the ASPEN-04 trial, a randomized Phase 2 trial of evorpacept in combination with pembrolizumab, platinum, and fluorouracil for the treatment of first-line advanced HNSCC.</w:t>
      </w:r>
    </w:p>
    <w:p>
      <w:pPr>
        <w:pStyle w:val="TextBody"/>
        <w:bidi w:val="0"/>
        <w:spacing w:before="180" w:after="283"/>
        <w:jc w:val="left"/>
        <w:rPr>
          <w:rFonts w:ascii="Times New Roman" w:hAnsi="Times New Roman"/>
          <w:b w:val="false"/>
          <w:i/>
          <w:color w:val="000000"/>
          <w:sz w:val="20"/>
        </w:rPr>
      </w:pPr>
      <w:r>
        <w:rPr>
          <w:rFonts w:ascii="Times New Roman" w:hAnsi="Times New Roman"/>
          <w:b w:val="false"/>
          <w:i/>
          <w:color w:val="000000"/>
          <w:sz w:val="20"/>
        </w:rPr>
        <w:t>Combination with Hypomethylation Agent (discontinued)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ASPEN-02 - MDS</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o</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In October 2020, we announced the dosing of the first patient in the ASPEN-02 trial, a Phase 1 trial of evorpacept in combination with azacitidine for the treatment of MDS.</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o</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In December 2021, we presented initial clinical data from the Phase 1a dose escalation portion of the clinical trial evaluating evorpacept in combination with azacitidine for the treatment of MDS at the 63rd American Society of Hematology (ASH) Annual Meeting.</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o</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In August 2023, we announced that we were terminating development of this indication based upon preliminary data from the recently completed ASPEN-02 Phase 1b trial indicating that the evorpacept combination did not substantially improve upon the historical activity of azacitidine alone. Currently enrolled patients may continue in the study and we plan to present the full data set from the forty-five enrolled subjects at an upcoming scientific conference.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ASPEN-05 - AML</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o</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In October 2021, we announced the dosing of the first patient in the ASPEN-05 trial, a Phase 1 trial of evorpacept in combination with azacitidine and venetoclax for the treatment of AML.</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o</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In June 2022, we paused enrollment in the ASPEN-05 AML trial based on the desire to leverage upcoming dose optimization data from the ASPEN-02 MDS study to inform dose optimization in ASPEN-05.</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o</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In June 2022, the FDA’s Office of Orphan Drug Products Development granted ODD to evorpacept for the treatment of patients with AML.</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o</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In December 2022, we presented initial clinical data from the Phase 1a dose escalation portion of the clinical trial evaluating evorpacept in combination with azacitidine and venetoclax for the treatment of AML at the 64th ASH Annual Meeting.</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o</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 xml:space="preserve">In August 2023, we announced that we are terminating development of this indication and will not initiate the ASPEN-05 Phase 1b dose optimization clinical evaluation of evorpacept in combination with azacitidine and venetoclax based on the initial results of ASPEN-02 and given the continuous disease spectrum in MDS and AML along with the close connection between the mechanism of action with azacitidine. </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Collaborations and Investigator-Sponsored Trials (ISTs)</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Combination with anti-cancer antibody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Jazz Pharmaceuticals plc - Breast Cancer</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o</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Our collaborator, Jazz Pharmaceuticals plc (Jazz), is sponsoring and managing an ongoing Phase 1 trial of zanidatamab for the treatment of advanced HER2-expressing breast cancer and other solid tumors in combination with evorpacept (Zanidatamab Trial). We announced the dosing of the first patient in this trial in October 2021.</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o</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In October 2022, Zymeworks and Jazz announced the execution of an exclusive license agreement with respect to zanidatamab. In December 2022, Jazz exercised its option to continue with its exclusive license to develop and commercialize zanidatamab in the United States, Europe, Japan and certain other territories. The rights granted to Jazz included responsibility for future zanidatamab-related clinical trials. In May 2023, Jazz and Zymeworks further expanded their collaboration, resulting in Jazz assuming responsibility from Zymeworks for certain ongoing clinical trials, including the Zanidatamab Trial.</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Quantum Leap Healthcare Collaborative - I-SPY Trial - Breast Cancer</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o</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Our collaborator, Quantum Leap Healthcare Collaborative (Quantum Leap), is sponsoring and managing an ongoing Phase 1 trial (I-SPY) to evaluate evorpacept in combination with an ADC, fam-trastuzumab deruxtecan-nxki, for the treatment of patients with unresectable or metastatic HER2-positive and HER2-low breast cancer. We announced the dosing of the first patient in March 2023.</w:t>
      </w:r>
    </w:p>
    <w:p>
      <w:pPr>
        <w:pStyle w:val="TextBody"/>
        <w:bidi w:val="0"/>
        <w:spacing w:before="40" w:after="283"/>
        <w:jc w:val="left"/>
        <w:rPr>
          <w:color w:val="000000"/>
        </w:rPr>
      </w:pPr>
      <w:r>
        <w:rPr>
          <w:color w:val="000000"/>
        </w:rPr>
        <w:t>▪</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MD Anderson Cancer Center - Non-Hodgkin Lymphoma</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o</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In 2021, an IST of evorpacept was initiated in combination with rituximab and lenalidomide for the treatment of patients with indolent and aggressive NHL, sponsored by MD Anderson Cancer Center in Texas. We announced the dosing of the first patient in September 2021.</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Sanofi - Multiple Myeloma</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o</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In April 2023, we announced a collaboration with Sanofi who will sponsor and manage a Phase 1/2 trial of isatuximab and dexamethasone in combination with evorpacept for the treatment of patients with relapsed or refractory multiple myeloma.</w:t>
      </w:r>
    </w:p>
    <w:p>
      <w:pPr>
        <w:pStyle w:val="TextBody"/>
        <w:bidi w:val="0"/>
        <w:spacing w:before="180" w:after="283"/>
        <w:jc w:val="left"/>
        <w:rPr>
          <w:rFonts w:ascii="Times New Roman" w:hAnsi="Times New Roman"/>
          <w:b w:val="false"/>
          <w:i/>
          <w:color w:val="000000"/>
          <w:sz w:val="20"/>
        </w:rPr>
      </w:pPr>
      <w:r>
        <w:rPr>
          <w:rFonts w:ascii="Times New Roman" w:hAnsi="Times New Roman"/>
          <w:b w:val="false"/>
          <w:i/>
          <w:color w:val="000000"/>
          <w:sz w:val="20"/>
        </w:rPr>
        <w:t>Combination with anti-cancer antibody and PD-1/PD-L1 immune checkpoint inhibitor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Academic Gastrointestinal Cancer Consortium - Colorectal Cancer</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o</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In 2022, a Phase 2 IST of evorpacept was initiated in combination with pembrolizumab and cetuximab in patients with refractory microsatellite stable metastatic colorectal cancer, sponsored by the Academic Gastrointestinal Cancer Consortium (AGICC) in New York. We announced the dosing of the first patient in August 2022.</w:t>
      </w:r>
    </w:p>
    <w:p>
      <w:pPr>
        <w:pStyle w:val="TextBody"/>
        <w:bidi w:val="0"/>
        <w:spacing w:before="180" w:after="283"/>
        <w:jc w:val="left"/>
        <w:rPr>
          <w:rFonts w:ascii="Times New Roman" w:hAnsi="Times New Roman"/>
          <w:b w:val="false"/>
          <w:i/>
          <w:color w:val="000000"/>
          <w:sz w:val="20"/>
        </w:rPr>
      </w:pPr>
      <w:r>
        <w:rPr>
          <w:rFonts w:ascii="Times New Roman" w:hAnsi="Times New Roman"/>
          <w:b w:val="false"/>
          <w:i/>
          <w:color w:val="000000"/>
          <w:sz w:val="20"/>
        </w:rPr>
        <w:t>Combination with PD-1/PD-L1 immune checkpoint inhibitor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University of Pittsburgh - Ovarian Cancer</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o</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In 2023, a Phase 2 IST of evorpacept was initiated in combination with liposomal doxorubicin and pembrolizumab in patients with recurrent platinum-resistant ovarian cancer, sponsored by the University of Pittsburgh in Pennsylvania. We announced the dosing of the first patient in May 2023.</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Pre-clinical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Tallac Therapeutics - ALTA-002</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o</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Our second program, ALTA-002, is a collaboration between us and Tallac Therapeutics, Inc. (Tallac) that combines our company’s SIRPα antibody with Tallac’s toll-like receptor 9 (TLR9) agonist, resulting in a potent immune activator targeted to myeloid cells in the tumor to promote innate and adaptive anti-cancer immune responses. This novel Toll-like receptor agonist antibody conjugation platform (TRAAC) enables systemic delivery of targeted TLR9 activation.</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o</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We currently expect to submit an investigational new drug (IND) filing for ALTA-002 in the first quarter of 2024 as we work through a delay related to chemistry, manufacturing, and controls (CMC).</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Based on our clinical results to date in multiple oncology indications that show encouraging anti-tumor activity and tolerability and our clinical development plans, our strategy is to pursue evorpacept as a potentially critical component of future oncology combination treatments.</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Additionally, with our acquisition of ScalmiBio, Inc. (ScalmiBio) in October 2021, we are developing ADC drug candidates based on our expertise in protein engineering and oncology.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Since our founding, we have devoted substantially all of our resources to developing evorpacept, identifying and advancing preclinical programs, scaling up manufacturing, conducting clinical trials and providing general and administrative support for these operations. We have no products approved for marketing and we have never received any revenue from drug product sales.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July 2020, we completed our initial public offering, raising net proceeds of $169.5 million, after deducting underwriting discounts and commissions of $13.0 million and offering-related expenses of $3.2 million. In December 2020, we completed a follow-on offering, raising net proceeds of $194.9 million, after deducting underwriting discounts and commissions of $12.5 million and offering-related expenses of $0.7 million.</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March 2022, we filed a universal shelf registration statement (Shelf Registration Statement), which provides for aggregate offerings of up to $450.0 million of the Company’s securities. In May 2022, we filed an amendment to the Shelf Registration Statement, which was declared effective by the Securities and Exchange Commission (SEC) on May 31, 2022. We believe that our Shelf Registration Statement provides us with flexibility to raise additional capital to finance our operations as needed. In December 2021, we entered into a sales agreement (Sales Agreement) with Cantor Fitzgerald &amp; Co. and Credit Suisse Securities (USA) LLC (Credit Suisse), under which we may, subject to the effectiveness of the Shelf Registration Statement, offer and sell our common stock, having aggregate gross proceeds of up to $150.0 million, from time to time through them as our sales agents in an at-the-market offering. In August 2023, we entered into an amendment to the Sales Agreement to include UBS Securities LLC as an additional sales agent and to remove Credit Suisse as a sales agent. No securities have been sold pursuant to the Sales Agreement.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October 2022, we entered into a loan and security agreement (Loan Agreement) with Oxford Finance LLC, Oxford Finance Credit Fund II LP, and Silicon Valley Bank (SVB) (collectively, the Lenders). Upon closing of the Loan Agreement, we drew $10.0 million and have access to draw an additional $40.0 million through the end of 2023. A further $50.0 million may become available to us, $25.0 million upon the achievement of pre-determined development milestones and $25.0 million at the Lenders’ sole discretion. The Company received net proceeds of $9.3 million from the issuance of the term loan, after deducting debt issuance costs of approximately $0.7 million.</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March 2023, SVB was closed by the California Department of Financial Protection and Innovation, which appointed the Federal Deposit Insurance Corporation (FDIC) to act as receiver. The FDIC created Silicon Valley Bridge Bank, N.A. (SVBB) as successor to SVB. First Citizens BancShares, Inc. (First Citizens Bank) acquired SVBB from the FDIC and operates SVBB as Silicon Valley Bank, a division of First Citizens Bank (SVB-First Citizens). Under the Loan Agreement, 50% of the funding comes from SVB, one of the three Lenders. Given the SVBB acquisition by First Citizens Bank, the Company expects SVB-First Citizens to continue to fulfill SVB’s obligations under the Loan Agreement.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On May 31, 2023, we entered into a second amendment to the Loan Agreement. The primary purpose of the second amendment was to reduce the percentage of the amount required to be held in our collateral account with SVB-First Citizens from 100% to not less than 50% of the aggregate dollar value of all our collateral accounts.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From inception through September 30, 2023, we have raised an aggregate of $554.6 million to fund our operations, of which $175.1 million were net proceeds from sales of our convertible preferred stock, $5.8 million were net proceeds from borrowings under a term loan, $169.5 million were net proceeds from our initial public offering, $194.9 million were net proceeds from our follow-on offering and $9.3 million were net proceeds from borrowings under the Loan Agreement.</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October 2023, we completed an underwritten follow-on public offering pursuant to the Shelf Registration Statement (the October 2023 Offering). In the follow-on public offering, we issued and sold an aggregate of 8,663,793 shares of common stock, including the underwriters’ exercise in full of their overallotment option of 1,293,103 shares of common stock, and, in lieu of common stock to certain investors, pre-funded warrants to purchase 1,250,000 shares of common stock at a public offering price of $6.38 per share and $6.379 per pre-funded warrant. Net proceeds were approximately $59.0 million, after deducting underwriting discounts and commissions of $3.8 million and offering-related expenses of $0.5 million.</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have incurred net losses in each year since inception. Our net losses were $51.0 million and $35.3 million for the three months ended September 30, 2023 and 2022, respectively, and $115.3 million and $92.8 million for the nine months ended September 30, 2023 and 2022, respectively. As of September 30, 2023, we had an accumulated deficit of $440.8 million. Substantially all of our operating losses are a result of expenses incurred in connection with our research and development programs, primarily evorpacept, and from general and administrative expenses associated with our operations.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expect to continue to incur significant expenses and increasing operating losses for the foreseeable future. We expect our expenses will increase substantially in connection with our ongoing activities, as we: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advance evorpacept through multiple clinical trials in multiple indications;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pursue regulatory approval of evorpacept in solid tumors and hematological malignancies;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continue our discovery and preclinical and clinical development efforts, including our collaborations with Sanofi, Tallac, Jazz, and Quantum Leap and our acquisition of ScalmiBio;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obtain and maintain patent, trade secret and other intellectual property protection and regulatory exclusivity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manufacture supplies for our preclinical studies and clinical trials;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continue to add operational, financial and management information systems to support ongoing operations as a public company.</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Components of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Research and development expenses consist primarily of costs incurred for the development of our lead product candidate, evorpacept, which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expenses incurred in connection with preclinical and clinical development, including expenses incurred under collaboration agreements and under agreements with contract research organizations, or CROs;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employee-related expenses, including salaries, related benefits, travel and stock-based compensation expenses for employees engaged in research and development functions;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expenses related to production of clinical materials, including fees paid to contract manufacturing organizations, or CMOs;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laboratory, vendor expenses and third-party drugs related to the execution of preclinical studies and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facilities and other expenses, which include expenses for rent and maintenance of facilities, depreciation and amortization expense and other supplies;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milestone payments related to our ScalmiBio acquisition.</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expense research and development costs as incurred. Nonrefundable advance payments for goods or services to be received in future periods for use in research and development activities are deferred and capitalized. The capitalized amounts are then expensed as the related goods are delivered or as services are performed. We record accruals for estimated costs of research, preclinical studies, clinical trials and manufacturing development, which are a significant component of research and development expenses. We determine the estimated costs through discussions with internal personnel and external service providers as to the progress or stage of completion of the services and the agreed-upon fees to be paid for such services.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research and development expenses consist primarily of costs associated with the development of our lead product candidate, evorpacept, and include external costs, such as fees paid to consultants, central laboratories, contractors, collaborators, CMOs and CROs in connection with our preclinical and clinical development activities.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Almost all of our research and development expenses to date have been related to the clinical development of our lead product candidate, evorpacept. We expect our research and development expenses to increase substantially for the foreseeable future as we continue to invest in research and development activities related to progress on our existing product candidates and developing new product candidates. As our product candidates advance into later stages of development, we begin to conduct larger clinical trials. The process of conducting the necessary clinical trials to obtain regulatory approval is costly and time-consuming, and the successful development of our product candidates is highly uncertain. As a result, we are unable to determine the duration and completion costs of our research and development projects or when and to what extent we will generate revenue from the commercialization and sale of any of our product candidates. In addition, we will incur expenses related to the preclinical research conducted internally and through the contract with Tallac, as further described in Note 9 to our unaudited condensed consolidated financial statements appearing elsewhere in this Quarterly Report on Form 10-Q.</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successful development of our current and future product candidates is highly uncertain. This is due to numerous risks and uncertainties,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successful completion of preclinical studies and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delays in regulators or institutional review boards authorizing us or our investigators to commence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ability to negotiate agreements with clinical trial sites or CROs;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number and location of clinical sites included in the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raising additional funds necessary to complete clinical development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obtaining and maintaining patent, trade secret and other intellectual property protection and regulatory exclusivity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contracting with third-party manufacturers for clinical supplies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protecting and enforcing our rights in our intellectual property portfolio, including, if necessary, litigation;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maintaining a continued acceptable safety profile of the products following approval.</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 change in the outcome of any of these variables with respect to the development of our product candidates may significantly impact the costs and timing associated with the development of our product candidates. We may never succeed in obtaining regulatory approval for any of our product candidates.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Research and development activities are essential to our business model. There are numerous factors associated with the successful commercialization of our product candidates, including future trial design and various regulatory requirements, many of which cannot be determined with accuracy at this time based on our stage of development. In addition, future regulatory factors beyond our control may impact the success, cost or timing of our clinical development programs.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General and administrative expenses consist primarily of personnel-related expenses, business development expenses, facilities expenses, depreciation and amortization expenses and professional services expenses, including legal, human resources, audit, accounting and tax-related services, and directors and officers liability insurance premiums. Personnel and related costs consist of salaries, benefits and stock-based compensation expenses. Facilities costs consist of rent and maintenance of facilities.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anticipate that our general and administrative expenses will continue to increase as a result of increased headcount, inflationary pressures, expanded infrastructure and higher costs of consulting, legal, tax and regulatory-related services associated with maintaining compliance with stock exchange listing and SEC requirements, audit and investor relations costs, director and officer insurance premiums and other costs associated with being a public company.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Interest Income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interest income consists primarily of interest income on cash, cash equivalents and short-term and long-term investments.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Interest Expense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interest expense consists primarily of interest expense on the term loan, amortization of deferred debt issuance costs, and interest related to finance leases.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Other Income (Expense), Net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other income (expense), net consists primarily of realized foreign currency transaction gains and losses and other income from an immaterial service contract.</w:t>
      </w:r>
    </w:p>
    <w:p>
      <w:pPr>
        <w:pStyle w:val="TextBody"/>
        <w:bidi w:val="0"/>
        <w:spacing w:before="120" w:after="283"/>
        <w:jc w:val="left"/>
        <w:rPr>
          <w:rFonts w:ascii="Times New Roman" w:hAnsi="Times New Roman"/>
          <w:sz w:val="20"/>
        </w:rPr>
      </w:pPr>
      <w:r>
        <w:rPr>
          <w:rFonts w:ascii="Times New Roman" w:hAnsi="Times New Roman"/>
          <w:b/>
          <w:color w:val="000000"/>
          <w:sz w:val="20"/>
        </w:rPr>
        <w:t>Results of Operations and Net Loss</w:t>
      </w:r>
      <w:r>
        <w:rPr>
          <w:rFonts w:ascii="Times New Roman" w:hAnsi="Times New Roman"/>
          <w:color w:val="000000"/>
          <w:sz w:val="20"/>
        </w:rPr>
        <w:t xml:space="preserve"> </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The following table summarizes our results of operations for the three months and nine months ended September 30, 2023 and 2022 (in thousands):</w:t>
      </w:r>
    </w:p>
    <w:tbl>
      <w:tblPr>
        <w:tblW w:w="11983" w:type="dxa"/>
        <w:jc w:val="left"/>
        <w:tblInd w:w="0" w:type="dxa"/>
        <w:tblLayout w:type="fixed"/>
        <w:tblCellMar>
          <w:top w:w="28" w:type="dxa"/>
          <w:left w:w="28" w:type="dxa"/>
          <w:bottom w:w="28" w:type="dxa"/>
          <w:right w:w="28" w:type="dxa"/>
        </w:tblCellMar>
      </w:tblPr>
      <w:tblGrid>
        <w:gridCol w:w="1491"/>
        <w:gridCol w:w="146"/>
        <w:gridCol w:w="211"/>
        <w:gridCol w:w="736"/>
        <w:gridCol w:w="166"/>
        <w:gridCol w:w="146"/>
        <w:gridCol w:w="211"/>
        <w:gridCol w:w="736"/>
        <w:gridCol w:w="166"/>
        <w:gridCol w:w="146"/>
        <w:gridCol w:w="211"/>
        <w:gridCol w:w="736"/>
        <w:gridCol w:w="166"/>
        <w:gridCol w:w="146"/>
        <w:gridCol w:w="146"/>
        <w:gridCol w:w="631"/>
        <w:gridCol w:w="271"/>
        <w:gridCol w:w="146"/>
        <w:gridCol w:w="211"/>
        <w:gridCol w:w="841"/>
        <w:gridCol w:w="166"/>
        <w:gridCol w:w="146"/>
        <w:gridCol w:w="211"/>
        <w:gridCol w:w="736"/>
        <w:gridCol w:w="166"/>
        <w:gridCol w:w="146"/>
        <w:gridCol w:w="211"/>
        <w:gridCol w:w="736"/>
        <w:gridCol w:w="166"/>
        <w:gridCol w:w="146"/>
        <w:gridCol w:w="146"/>
        <w:gridCol w:w="631"/>
        <w:gridCol w:w="716"/>
      </w:tblGrid>
      <w:tr>
        <w:trPr/>
        <w:tc>
          <w:tcPr>
            <w:tcW w:w="1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14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77" w:type="dxa"/>
            <w:gridSpan w:val="2"/>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1"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77" w:type="dxa"/>
            <w:gridSpan w:val="2"/>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left"/>
              <w:rPr/>
            </w:pPr>
            <w:r>
              <w:rPr/>
              <w:t> </w:t>
            </w:r>
          </w:p>
        </w:tc>
      </w:tr>
      <w:tr>
        <w:trPr/>
        <w:tc>
          <w:tcPr>
            <w:tcW w:w="14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77"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77" w:type="dxa"/>
            <w:gridSpan w:val="2"/>
            <w:tcBorders/>
            <w:shd w:fill="CFF0FC" w:val="clear"/>
            <w:vAlign w:val="center"/>
          </w:tcPr>
          <w:p>
            <w:pPr>
              <w:pStyle w:val="TableContents"/>
              <w:bidi w:val="0"/>
              <w:spacing w:before="0" w:after="283"/>
              <w:jc w:val="right"/>
              <w:rPr/>
            </w:pPr>
            <w:r>
              <w:rPr/>
              <w:t> </w:t>
            </w:r>
          </w:p>
        </w:tc>
        <w:tc>
          <w:tcPr>
            <w:tcW w:w="716" w:type="dxa"/>
            <w:tcBorders/>
            <w:shd w:fill="CFF0FC" w:val="clear"/>
            <w:vAlign w:val="center"/>
          </w:tcPr>
          <w:p>
            <w:pPr>
              <w:pStyle w:val="TableContents"/>
              <w:bidi w:val="0"/>
              <w:spacing w:before="0" w:after="283"/>
              <w:ind w:left="0" w:right="0" w:firstLine="200"/>
              <w:jc w:val="right"/>
              <w:rPr/>
            </w:pPr>
            <w:r>
              <w:rPr/>
              <w:t> </w:t>
            </w:r>
          </w:p>
        </w:tc>
      </w:tr>
      <w:tr>
        <w:trPr/>
        <w:tc>
          <w:tcPr>
            <w:tcW w:w="149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45,766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29,382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16,384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100,011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73,203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26,808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w:t>
            </w:r>
          </w:p>
        </w:tc>
        <w:tc>
          <w:tcPr>
            <w:tcW w:w="716"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149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22,244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22,014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1491"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53,275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36,681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16,594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122,255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95,217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27,038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4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(53,275</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(36,681</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(16,594</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(122,255</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(95,217</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(27,038</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w:t>
            </w:r>
          </w:p>
        </w:tc>
        <w:tc>
          <w:tcPr>
            <w:tcW w:w="716"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149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Interest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2,677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1,370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7,654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2,471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5,183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210</w:t>
            </w:r>
          </w:p>
        </w:tc>
        <w:tc>
          <w:tcPr>
            <w:tcW w:w="716"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149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Interest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(391</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(389</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19450</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(1,150</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(1,143</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16329</w:t>
            </w:r>
          </w:p>
        </w:tc>
        <w:tc>
          <w:tcPr>
            <w:tcW w:w="716"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149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Other income (expense),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-2190</w:t>
            </w:r>
          </w:p>
        </w:tc>
        <w:tc>
          <w:tcPr>
            <w:tcW w:w="7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4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(50,990</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(35,320</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(15,670</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63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w:t>
            </w:r>
          </w:p>
        </w:tc>
        <w:tc>
          <w:tcPr>
            <w:tcW w:w="271"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(115,333</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(92,773</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(22,560</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63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w:t>
            </w:r>
          </w:p>
        </w:tc>
        <w:tc>
          <w:tcPr>
            <w:tcW w:w="716"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The following table summarizes our research and development expenses incurred for the three months and nine months ended September 30, 2023 and 2022 (in thousands):</w:t>
      </w:r>
    </w:p>
    <w:tbl>
      <w:tblPr>
        <w:tblW w:w="10668" w:type="dxa"/>
        <w:jc w:val="left"/>
        <w:tblInd w:w="0" w:type="dxa"/>
        <w:tblLayout w:type="fixed"/>
        <w:tblCellMar>
          <w:top w:w="28" w:type="dxa"/>
          <w:left w:w="28" w:type="dxa"/>
          <w:bottom w:w="28" w:type="dxa"/>
          <w:right w:w="28" w:type="dxa"/>
        </w:tblCellMar>
      </w:tblPr>
      <w:tblGrid>
        <w:gridCol w:w="1386"/>
        <w:gridCol w:w="146"/>
        <w:gridCol w:w="211"/>
        <w:gridCol w:w="676"/>
        <w:gridCol w:w="146"/>
        <w:gridCol w:w="146"/>
        <w:gridCol w:w="211"/>
        <w:gridCol w:w="676"/>
        <w:gridCol w:w="146"/>
        <w:gridCol w:w="146"/>
        <w:gridCol w:w="211"/>
        <w:gridCol w:w="676"/>
        <w:gridCol w:w="166"/>
        <w:gridCol w:w="146"/>
        <w:gridCol w:w="146"/>
        <w:gridCol w:w="316"/>
        <w:gridCol w:w="271"/>
        <w:gridCol w:w="146"/>
        <w:gridCol w:w="211"/>
        <w:gridCol w:w="781"/>
        <w:gridCol w:w="146"/>
        <w:gridCol w:w="146"/>
        <w:gridCol w:w="211"/>
        <w:gridCol w:w="676"/>
        <w:gridCol w:w="146"/>
        <w:gridCol w:w="146"/>
        <w:gridCol w:w="211"/>
        <w:gridCol w:w="676"/>
        <w:gridCol w:w="166"/>
        <w:gridCol w:w="146"/>
        <w:gridCol w:w="146"/>
        <w:gridCol w:w="376"/>
        <w:gridCol w:w="516"/>
      </w:tblGrid>
      <w:tr>
        <w:trPr/>
        <w:tc>
          <w:tcPr>
            <w:tcW w:w="1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13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2" w:type="dxa"/>
            <w:gridSpan w:val="2"/>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1"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21" w:type="dxa"/>
            <w:gridSpan w:val="6"/>
            <w:tcBorders/>
            <w:shd w:fill="FFFFFF" w:val="clear"/>
            <w:vAlign w:val="center"/>
          </w:tcPr>
          <w:p>
            <w:pPr>
              <w:pStyle w:val="TableContents"/>
              <w:bidi w:val="0"/>
              <w:spacing w:before="0" w:after="283"/>
              <w:jc w:val="center"/>
              <w:rPr/>
            </w:pPr>
            <w:r>
              <w:rPr/>
              <w:t> </w:t>
            </w:r>
          </w:p>
        </w:tc>
        <w:tc>
          <w:tcPr>
            <w:tcW w:w="516" w:type="dxa"/>
            <w:tcBorders/>
            <w:shd w:fill="FFFFFF" w:val="clear"/>
            <w:vAlign w:val="center"/>
          </w:tcPr>
          <w:p>
            <w:pPr>
              <w:pStyle w:val="TableContents"/>
              <w:bidi w:val="0"/>
              <w:spacing w:before="0" w:after="283"/>
              <w:jc w:val="center"/>
              <w:rPr/>
            </w:pPr>
            <w:r>
              <w:rPr/>
              <w:t> </w:t>
            </w:r>
          </w:p>
        </w:tc>
      </w:tr>
      <w:tr>
        <w:trPr/>
        <w:tc>
          <w:tcPr>
            <w:tcW w:w="13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Clinical and development costs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34,624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19,966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14,658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69,987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47,686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22,301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w:t>
            </w:r>
          </w:p>
        </w:tc>
        <w:tc>
          <w:tcPr>
            <w:tcW w:w="5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38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Preclinical costs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(400</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w:t>
            </w:r>
          </w:p>
        </w:tc>
        <w:tc>
          <w:tcPr>
            <w:tcW w:w="5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3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Personnel and related costs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3,944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875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14,177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10,990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3,187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w:t>
            </w:r>
          </w:p>
        </w:tc>
        <w:tc>
          <w:tcPr>
            <w:tcW w:w="5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38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3,728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7,696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2,315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w:t>
            </w:r>
          </w:p>
        </w:tc>
        <w:tc>
          <w:tcPr>
            <w:tcW w:w="5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3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research costs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1,398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138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research and development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45,766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29,382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16,384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73,203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26,808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Research and development expenses increased by $16.4 million during the three months ended September 30, 2023 compared to the three months ended September 30, 2022. The increase was primarily attributable to (i) an increase of $14.7 million in clinical and development costs primarily due to $16.4 million in clinical costs from an increase in the number of active trials and patient enrollment as well as manufacturing of clinical trial materials to support a higher number of active clinical trials and future expected patient enrollment related to the advancement of our lead product candidate, evorpacept, offset by a decrease of $1.8 million related to the Tallac Collaboration for costs related to the IND filing planned for the first quarter of 2024, for which the primary work was completed in 2022, (ii) an increase of $0.9 million in personnel and related costs primarily driven by headcount growth, and (iii) an increase of $0.8 million in stock-based compensation expense due to additional awards granted since September 30, 2022.</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Research and development expenses increased by $26.8 million during the nine months ended September 30, 2023 compared to the nine months ended September 30, 2022. The increase was primarily attributable to (i) an increase of $22.3 million in clinical and development costs primarily due to $25.8 million in clinical costs from an increase in the number of active trials and patient enrollment as well as manufacturing of clinical trial materials to support a higher number of active clinical trials and future expected patient enrollment related to the advancement of our lead product candidate, evorpacept, an increase of $0.5 million related to the Jazz collaboration, offset by a decrease of $4.0 million related to the Tallac Collaboration for costs related to the IND filing planned for the first quarter of 2024, for which the primary work was completed in 2022, (ii) an increase of $3.2 million in personnel and related costs due primarily to an increase driven by headcount growth, and (iii) an increase of $2.3 million in stock-based compensation expense due to additional awards granted since September 30, 2022. These increases were offset by a decrease of $0.6 million in other research costs due primarily to a decrease in VAT fees related to refund of previously paid VAT and a decrease of $0.4 million in preclinical costs primarily related to development of new targets.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The following table summarizes our general and administrative expenses incurred for the three months and nine months ended September 30, 2023 and 2022 (in thousands):</w:t>
      </w:r>
    </w:p>
    <w:tbl>
      <w:tblPr>
        <w:tblW w:w="10205" w:type="dxa"/>
        <w:jc w:val="left"/>
        <w:tblInd w:w="0" w:type="dxa"/>
        <w:tblLayout w:type="fixed"/>
        <w:tblCellMar>
          <w:top w:w="28" w:type="dxa"/>
          <w:left w:w="28" w:type="dxa"/>
          <w:bottom w:w="28" w:type="dxa"/>
          <w:right w:w="28" w:type="dxa"/>
        </w:tblCellMar>
      </w:tblPr>
      <w:tblGrid>
        <w:gridCol w:w="1745"/>
        <w:gridCol w:w="146"/>
        <w:gridCol w:w="211"/>
        <w:gridCol w:w="571"/>
        <w:gridCol w:w="146"/>
        <w:gridCol w:w="146"/>
        <w:gridCol w:w="211"/>
        <w:gridCol w:w="571"/>
        <w:gridCol w:w="146"/>
        <w:gridCol w:w="146"/>
        <w:gridCol w:w="211"/>
        <w:gridCol w:w="421"/>
        <w:gridCol w:w="166"/>
        <w:gridCol w:w="146"/>
        <w:gridCol w:w="146"/>
        <w:gridCol w:w="316"/>
        <w:gridCol w:w="271"/>
        <w:gridCol w:w="146"/>
        <w:gridCol w:w="211"/>
        <w:gridCol w:w="676"/>
        <w:gridCol w:w="146"/>
        <w:gridCol w:w="146"/>
        <w:gridCol w:w="211"/>
        <w:gridCol w:w="676"/>
        <w:gridCol w:w="146"/>
        <w:gridCol w:w="146"/>
        <w:gridCol w:w="211"/>
        <w:gridCol w:w="481"/>
        <w:gridCol w:w="166"/>
        <w:gridCol w:w="146"/>
        <w:gridCol w:w="146"/>
        <w:gridCol w:w="316"/>
        <w:gridCol w:w="519"/>
      </w:tblGrid>
      <w:tr>
        <w:trPr/>
        <w:tc>
          <w:tcPr>
            <w:tcW w:w="17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r>
      <w:tr>
        <w:trPr/>
        <w:tc>
          <w:tcPr>
            <w:tcW w:w="174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6"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2" w:type="dxa"/>
            <w:gridSpan w:val="2"/>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6" w:type="dxa"/>
            <w:gridSpan w:val="6"/>
            <w:tcBorders/>
            <w:shd w:fill="FFFFFF" w:val="clear"/>
            <w:vAlign w:val="center"/>
          </w:tcPr>
          <w:p>
            <w:pPr>
              <w:pStyle w:val="TableContents"/>
              <w:bidi w:val="0"/>
              <w:spacing w:before="0" w:after="283"/>
              <w:jc w:val="center"/>
              <w:rPr/>
            </w:pPr>
            <w:r>
              <w:rPr/>
              <w:t> </w:t>
            </w:r>
          </w:p>
        </w:tc>
        <w:tc>
          <w:tcPr>
            <w:tcW w:w="519" w:type="dxa"/>
            <w:tcBorders/>
            <w:shd w:fill="FFFFFF" w:val="clear"/>
            <w:vAlign w:val="center"/>
          </w:tcPr>
          <w:p>
            <w:pPr>
              <w:pStyle w:val="TableContents"/>
              <w:bidi w:val="0"/>
              <w:spacing w:before="0" w:after="283"/>
              <w:jc w:val="center"/>
              <w:rPr/>
            </w:pPr>
            <w:r>
              <w:rPr/>
              <w:t> </w:t>
            </w:r>
          </w:p>
        </w:tc>
      </w:tr>
      <w:tr>
        <w:trPr/>
        <w:tc>
          <w:tcPr>
            <w:tcW w:w="174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Personnel and related costs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4,359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w:t>
            </w:r>
          </w:p>
        </w:tc>
        <w:tc>
          <w:tcPr>
            <w:tcW w:w="51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74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3,276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9,541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9,848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c>
          <w:tcPr>
            <w:tcW w:w="51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74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general and administrative costs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c>
          <w:tcPr>
            <w:tcW w:w="51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1745"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general and administrative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22,244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22,014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5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General and administrative expenses increased by $0.2 million during the three months ended September 30, 2023 compared to the three months ended September 30, 2022. The increase was primarily attributable to an increase of $0.3 million in personnel and related costs primarily driven by headcount growth.</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General and administrative expenses increased by $0.2 million during the nine months ended September 30, 2023 compared to the nine months ended September 30, 2022. The increase of $0.8 million in personnel and related costs driven by headcount growth during the year was offset by a decrease of $0.3 million in stock-based compensation expense and a decrease of $0.2 million in other general and administrative costs.</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Interest Income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Interest income increased by $1.3 million for the three months ended September 30, 2023 compared to the three months ended September 30, 2022 and by $5.2 million for the nine months ended September 30, 2023 compared to the nine months ended September 30, 2022. The increases were primarily attributable to higher interest rates.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Interest Expense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Interest expense increased by $0.4 million for the three months ended September 30, 2023 compared to the three months ended September 30, 2022 and by $1.1 million for the nine months ended September 30, 2023 compared to the nine months ended September 30, 2022. The increases were primarily attributable to the Loan Agreement, which the Company entered into in October 2022. There was no comparable interest expense or debt obligation during the three months and nine months ended September 30, 2022.</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Other Income (Expense), Net</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Other income (expense), net remained flat for the three months ended September 30, 2023 compared to the three months ended September 30, 2022 and by $0.4 million for the nine months ended September 30, 2023 compared to the nine months ended September 30, 2022. The increase for the nine months ended September 30, 2023 was primarily attributable to other income from an immaterial service contract, under which the Company provides R&amp;D services for another company. There was no comparable other income during the nine months ended September 30, 2022.</w:t>
        <w:br/>
      </w:r>
      <w:r>
        <w:rPr>
          <w:rFonts w:ascii="Times New Roman" w:hAnsi="Times New Roman"/>
          <w:color w:val="000000"/>
          <w:sz w:val="20"/>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Sources of Liquidity</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Since our inception, we have incurred significant operating losses and have not generated any product revenue. We have not yet commercialized any of our product candidates and we do not expect to generate revenue from sales of any product candidates for several years, if at all, subject to regulatory and marketing approval of any of our product candidates. To date, we have funded our operations with proceeds from the sales of shares of our common stock and convertible preferred stock and borrowings under our term loan. As of September 30, 2023, we had cash, cash equivalents and short-term and long-term investments of $196.4 million.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Funding Requirements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have incurred losses and negative cash flows from operations since inception and anticipate that we will continue to incur net losses for the foreseeable future. As of September 30, 2023, we had an accumulated deficit of $440.8 million. We expect our expenses to increase substantially in connection with our ongoing activities, particularly as we advance the preclinical activities and clinical trials for our product candidates in development. In addition, we expect to incur additional costs associated with operating as a public company. Management recognizes the need to raise additional capital to fully implement its business plan. The timing and amount of such future capital requirements are difficult to forecast and will depend on many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timing and progress of preclinical and clinical development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successful enrollment in and completion of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timing and outcome of regulatory review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ability to establish agreements with third-party manufacturers for clinical supply for our clinical trials and, if any of our product candidates are approved, commercial manufacturing;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addition and retention of key research and development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efforts to enhance operational, financial and information management systems, and hire additional personnel, including personnel to support development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costs and timing of future commercialization activities, including product manufacturing, marketing, sales and distribution, for any of our product candidates for which we obtain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legal patent costs involved in prosecuting patent applications and enforcing patent claims and other intellectual property claims;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terms and timing of any collaboration, license or other arrangement, including the terms and timing of any milestone and royalty payments thereunder;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macroeconomic conditions, such as inflation, economic downturns, disasters, and medical or public health crises;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impact of the COVID-19 pandemic, bank failures or instability in the financial services sector, or geopolitical risks, which may exacerbate the magnitude of the factors discussed above.</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Until such time, if ever, as we can generate substantial product revenue, we expect to finance our operations through a combination of equity offerings, debt financings, collaborations, strategic alliances and marketing, distribution or licensing arrangements. Other than the Loan Agreement, we do not have any committed external source of funds. Our ability to raise additional capital may be adversely impacted by potential worsening global economic conditions and the recent disruptions to and volatility in the credit and financial markets in the United States and worldwide.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acquisitions or capital expenditures or declaring dividends. If we raise additional funds through collaborations, strategic alliances or marketing, distribution or licensing arrangements with third parties, we may have to relinquish valuable rights to our technologies, future revenue streams, research programs or drug candidates or grant licenses on terms that may not be favorable to us. If we are unable to raise additional funds through equity or debt financings or other arrangements when needed, we may be required to delay, limit, reduce or terminate our research, product development or future commercialization efforts or grant rights to develop and market drug candidates that we would otherwise prefer to develop and market ourselves.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July 2020, we completed our initial public offering pursuant to a registration statement on Form S-1. In the initial public offering, we issued and sold an aggregate of 9,775,000 shares of common stock, including the underwriters’ exercise in full of their overallotment option, under the registration statement at a public offering price of $19.00 per share. Net proceeds were approximately $169.5 million, after deducting underwriting discounts and commissions of $13.0 million and offering-related expenses of $3.2 million.</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December 2020, we completed our follow-on public offering pursuant to a registration statement on Form S-1. In the follow-on public offering, we issued and sold an aggregate of 2,737,000 shares of common stock, including the underwriters’ exercise in full of their overallotment option, under the registration statement at a public offering price of $76.00 per share. Net proceeds were approximately $194.9 million, after deducting underwriting discounts and commissions of $12.5 million and offering-related expenses of $0.7 million.</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December 2021, we entered into a sales agreement with Cantor Fitzgerald &amp; Co. and Credit Suisse Securities (USA) LLC, under which we may offer and sell our common stock, having aggregate gross proceeds of up to $150.0 million, from time to time through them as our sales agents in our at-the-market equity offering program. In March 2022, we filed a Shelf Registration Statement with the SEC. In May 2022, we filed an amended Shelf Registration Statement, which was declared effective by the SEC on May 31, 2022. In August 2023, we entered into an amendment to the Sales Agreement to include UBS Securities LLC as an additional sales agent and to remove Credit Suisse as a sales agent. No sales have been made pursuant to the Sales Agreement as of the date of this report.</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October 2022, we entered into the Loan Agreement as described above. Upon closing of the Loan Agreement, we drew $10.0 million and have access to draw an additional $40.0 million through the end of 2023. A further $50.0 million may become available to us, $25.0 million upon the achievement of pre-determined development milestones and $25.0 million at the Lenders’ sole discretion. For a description of the terms of the Loan Agreement, see “Note 6. Term Loan” to our unaudited condensed consolidated financial statements included elsewhere in this Quarterly Report on Form 10-Q. On May 31, 2023, we entered into a second amendment to the Loan Agreement. The primary purpose of the second amendment was to reduce the percentage of the amount required to be held in our collateral account with SVB-First Citizens from 100% to not less than 50% of the aggregate dollar value of all our collateral accounts.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March 2023, SVB was closed by the California Department of Financial Protection and Innovation, which appointed the FDIC to act as receiver. The FDIC created SVBB as successor to SVB. First Citizens Bank acquired SVBB from the FDIC and operates SVBB as SVB-First Citizens. While we have cash in operating accounts with SVB, the majority of our cash, cash equivalents and investments are deposited in custodial accounts held by U.S. Bank for which SVB Asset Management is the investment advisor. There has been no material negative impact to our cash liquidity as a result of the closure of SVB or the subsequent acquisition of SVBB by First Citizens Bank. Under the Loan Agreement, 50% of the funding comes from SVB, one of the three Lenders. Given the SVBB acquisition by First Citizens Bank, the Company expects SVB-First Citizens to continue to fulfill SVB’s obligations under the Loan Agreement.</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October 2023, we completed the October 2023 Offering. In the follow-on public offering, we issued and sold an aggregate of 8,663,793 shares of common stock, including the underwriters’ exercise in full of their overallotment option of 1,293,103 shares of common stock, and, in lieu of common stock to certain investors, pre-funded warrants to purchase 1,250,000 shares of common stock at a public offering price of $6.38 per share and $6.379 per pre-funded warrant. Net proceeds were approximately $59.0 million, after deducting underwriting discounts and commissions of $3.8 million and offering-related expenses of $0.5 million.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believe our existing cash, cash equivalents, short-term and long-term investments and funds available from our term loan will enable us to fund our operating expenses and capital expenditure requirements into early 2026. We have based these estimates on assumptions in which actuals may materially differ, and we could utilize our available capital resources sooner than we expect.</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The following table presents a summary of the net cash flow activity for the nine months ended September 30, 2023 and 2022 (in thousands):</w:t>
      </w:r>
    </w:p>
    <w:tbl>
      <w:tblPr>
        <w:tblW w:w="8434" w:type="dxa"/>
        <w:jc w:val="left"/>
        <w:tblInd w:w="0" w:type="dxa"/>
        <w:tblLayout w:type="fixed"/>
        <w:tblCellMar>
          <w:top w:w="28" w:type="dxa"/>
          <w:left w:w="28" w:type="dxa"/>
          <w:bottom w:w="28" w:type="dxa"/>
          <w:right w:w="28" w:type="dxa"/>
        </w:tblCellMar>
      </w:tblPr>
      <w:tblGrid>
        <w:gridCol w:w="5566"/>
        <w:gridCol w:w="146"/>
        <w:gridCol w:w="211"/>
        <w:gridCol w:w="736"/>
        <w:gridCol w:w="166"/>
        <w:gridCol w:w="146"/>
        <w:gridCol w:w="211"/>
        <w:gridCol w:w="841"/>
        <w:gridCol w:w="411"/>
      </w:tblGrid>
      <w:tr>
        <w:trPr/>
        <w:tc>
          <w:tcPr>
            <w:tcW w:w="5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5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1"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w:t>
            </w:r>
          </w:p>
        </w:tc>
        <w:tc>
          <w:tcPr>
            <w:tcW w:w="411" w:type="dxa"/>
            <w:tcBorders/>
            <w:shd w:fill="FFFFFF" w:val="clear"/>
            <w:vAlign w:val="center"/>
          </w:tcPr>
          <w:p>
            <w:pPr>
              <w:pStyle w:val="TableContents"/>
              <w:bidi w:val="0"/>
              <w:spacing w:before="0" w:after="283"/>
              <w:jc w:val="center"/>
              <w:rPr/>
            </w:pPr>
            <w:r>
              <w:rPr/>
              <w:t> </w:t>
            </w:r>
          </w:p>
        </w:tc>
      </w:tr>
      <w:tr>
        <w:trPr/>
        <w:tc>
          <w:tcPr>
            <w:tcW w:w="55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provided by (used in):</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556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Operating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(90,686</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(68,555</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556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Investing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61,323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(246,358</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556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Financing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increase (decrease) in cash, cash equivalents and restricted cash</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(29,238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(314,547</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Operating Activities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the nine months ended September 30, 2023, net cash used in operating activities of $90.7 million was attributable to a net loss of $115.3 million, offset by a change in our net operating assets and liabilities of $8.0 million and non-cash charges of $16.7 million. The change in operating assets and liabilities was primarily due to (i) an increase in accounts payable and accrued expenses and other current liabilities of $10.0 million primarily due to timing of invoices and payments, (ii) a decrease in other assets of $4.2 million, (iii) an increase in prepaid and other current assets of $4.3 million and (iv) a decrease in other non-current liabilities of $2.0 million. Non-cash charges consisted primarily of stock-based compensation expense of $19.6 million, non-cash lease costs of $0.9 million, and depreciation and amortization costs of $0.6 million offset by net amortization of premiums and accretion of discounts on investments of $4.6 million.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the nine months ended September 30, 2022, net cash used in operating activities of $68.6 million was attributable to a net loss of $92.8 million, offset by non-cash charges of $18.3 million and a change in net operating assets and liabilities of $5.9 million. Non-cash charges consisted primarily of stock-based compensation expense of $17.5 million and non-cash lease costs of $0.8 million. The change in operating assets and liabilities was primarily due to (i) an increase in accounts payable and accrued expenses and other current liabilities of $9.6 million primarily due to timing of invoices and payments, (ii) a decrease in prepaid and other current assets of $2.6 million, (iii) a decrease in other non-current liabilities of $0.8 million and (iv) a decrease in other assets of $0.3 million.</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Investing Activities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the nine months ended September 30, 2023, net cash provided by investing activities of $61.3 million was attributable to cash received for maturities of investments of $234.1 million offset by purchases of short-term and long-term investments of $171.6 million and purchases of property and equipment of $1.1 million.</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the nine months ended September 30, 2022, net cash used in investing activities of $246.4 million was attributable to purchases of short-term and long-term investments of $315.8 million offset by cash received for maturities of investments of $70.5 million and purchases of property and equipment of $1.0 million.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Financing Activities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the nine months ended September 30, 2023, net cash provided by financing activities of $0.1 million was attributable to proceeds from the exercise of stock options under equity incentive plans of $0.1 million and proceeds from issuance of common stock pursuant to employee stock purchase plan of $0.3 million offset by principal payments on finance leases of $0.3 million.</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the nine months ended September 30, 2022, net cash provided by financing activities was $0.4 million and was attributable to proceeds from the exercise of stock options under equity incentive plans of $0.4 million and proceeds from issuance of common stock pursuant to employee stock purchase plan of $0.3 million offset by principal payments on finance leases of $0.3 million.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Off-Balance Sheet Arrangements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During the period presented, we did not have, nor do we currently have, any off-balance sheet arrangements, as defined in the rules and regulations of the SEC.</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management’s discussion and analysis of financial condition and results of operations is based on our condensed consolidated financial statements, which have been prepared in accordance with generally accepted accounting principles in the United States, or U.S. GAAP. The preparation of these condensed consolidated financial statements requires us to make estimates and assumptions that affect the reported amounts of assets and liabilities and the disclosure of contingent assets and liabilities at the date of the financial statements, as well as the reported expenses during the reporting periods. These items are monitored and analyzed by us for changes in facts and circumstances, and material changes in these estimates could occur in the future.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Changes in estimates are reflected in reported results for the period in which they become known. Actual results may differ significantly from these estimates under different assumptions or conditions.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significant accounting policies and critical accounting estimates are more fully described in the notes to our audited consolidated financial statements and in the section titled “Management’s Discussion and Analysis of Financial Condition and Results of Operations—Critical Accounting Estimates,” respectively, in the Company’s Annual Report on Form 10-K for the year ended December 31, 2022. During the nine months ended September 30, 2023, there were no material changes to our critical accounting policies and estimates from those discussed in the Company’s Annual Report on Form 10-K for the year ended December 31, 2022 filed with the SEC on March 9, 2023.</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See “Note 2. Significant Accounting Policies - Recent Accounting Pronouncements” to our condensed consolidated financial statements included elsewhere in this Quarterly Report on Form 10-Q for more information.</w:t>
      </w:r>
      <w:r>
        <w:rPr>
          <w:rFonts w:ascii="Times New Roman" w:hAnsi="Times New Roman"/>
          <w:color w:val="000000"/>
          <w:sz w:val="20"/>
        </w:rPr>
        <w:t xml:space="preserve"> </w:t>
      </w:r>
    </w:p>
    <w:p>
      <w:pPr>
        <w:pStyle w:val="TextBody"/>
        <w:bidi w:val="0"/>
        <w:spacing w:before="360" w:after="283"/>
        <w:jc w:val="left"/>
        <w:rPr>
          <w:rFonts w:ascii="Times New Roman" w:hAnsi="Times New Roman"/>
          <w:b/>
          <w:color w:val="000000"/>
          <w:sz w:val="20"/>
        </w:rPr>
      </w:pPr>
      <w:bookmarkStart w:id="12" w:name="part1_item3_risk"/>
      <w:bookmarkEnd w:id="12"/>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Interest Rate Risk</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are exposed to market risks in the ordinary course of our business. These risks primarily include interest rate sensitivities.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As of September 30, 2023, we had cash, cash equivalents and investments of $196.4 million. We generally hold our cash and cash equivalents in interest-bearing bank accounts and money market funds. We have invested primarily in U.S. Treasury securities, U.S. government agency securities, corporate debt securities, commercial paper and asset-backed securities and all our investments are classified as available-for-sale. Our primary exposure to market risk is interest rate sensitivity, which is affected by changes in the general level of U.S. interest rates. An immediate 100 basis point change in interest rates would not have a material effect on the fair market value of our cash, cash equivalents and investments.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As of September 30, 2023, we had borrowings of $10.0 million outstanding under our term loan facility, or the Loan Agreement. Borrowings under the Loan Agreement bear interest at a floating rate per annum equal to the greater of (i) 1-month term SOFR, and (ii) 2.33%, plus 6.25%. An immediate 10% change in the 1-month term SOFR would not have a material impact on our debt-related obligations, financial position or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Credit Risk</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Financial instruments that potentially subject the Company to concentration of credit risk consist of cash, cash equivalents and investments. The Company invests its cash equivalents in highly rated money market funds. The Company’s investments consist of debt securities issued by highly rated corporate entities, the U.S. federal government or state and local governments. The Company’s exposure to any individual corporate entity is limited by our investment policy. Deposits may exceed federally insured limits, and the Company is exposed to credit risk on deposits in the event of default by the financial institutions to the extent account balances exceed the amount insured by the Federal Deposit Insurance Corporation (FDIC).</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Company is closely monitoring ongoing events involving limited liquidity, defaults, non-performance or other adverse developments that affect financial institutions or other companies in the financial services industry or the financial services industry generally, including Silicon Valley Bank (SVB). In March 2023, SVB, where the Company maintained operating accounts with a cash balance of less than 1% of the Company’s total cash, cash equivalents and investments, was closed by the California Department of Financial Protection and Innovation, which appointed the FDIC to act as receiver. The FDIC created Silicon Valley Bridge Bank, N.A. (SVBB) as successor to SVB. First Citizens BancShares, Inc. (First Citizens Bank) acquired SVBB from the FDIC and assumed all of SVB’s deposits and loans. In light of the foregoing, the Company does not believe that it has exposure to loss as a result of SVB’s receivership.</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During the periods presented, the Company has not experienced any realized losses on its deposits of cash, cash equivalents or investments.</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Foreign Currency Risk</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expenses are generally denominated in U.S. dollars. However, we have entered into a limited number of contracts with vendors for services with payments denominated in foreign currencies, primarily the euro. We are subject to foreign currency transaction gains or losses on our contracts denominated in foreign currencies. To date, foreign currency transaction gains and losses have not been material to our condensed consolidated financial statements, and we have not had a formal hedging program with respect to foreign currency. A 10.0% increase or decrease in current exchange rates would not have a material effect on our financial results.</w:t>
      </w:r>
    </w:p>
    <w:p>
      <w:pPr>
        <w:pStyle w:val="TextBody"/>
        <w:bidi w:val="0"/>
        <w:spacing w:before="360" w:after="283"/>
        <w:jc w:val="left"/>
        <w:rPr>
          <w:rFonts w:ascii="Times New Roman" w:hAnsi="Times New Roman"/>
          <w:b/>
          <w:color w:val="000000"/>
          <w:sz w:val="20"/>
        </w:rPr>
      </w:pPr>
      <w:bookmarkStart w:id="13" w:name="part1_item4_controls"/>
      <w:bookmarkEnd w:id="13"/>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carried out an evaluation, under the supervision and with the participation of our management, including our Chief Executive Officer and our Chief Financial Officer, of the effectiveness of our “disclosure controls and procedures” as of the end of the period covered by this report, pursuant to Rules 13a-15(e) and 15d-15(e) under the Exchange Act.</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connection with that evaluation, our Chief Executive Officer and our Chief Financial Officer concluded that our disclosure controls and procedures were effective and designed to provide reasonable assurance that the information required to be disclosed is recorded, processed, summarized and reported within the time periods specified in the SEC’s rules and forms as of September 30, 2023. For the purpose of this evaluation, disclosure controls and procedures means controls and procedures designed to ensure that information required to be disclosed by us in the reports that we file or submit is recorded, processed, summarized and reported within the time periods specified in the SEC’s rules and forms. These disclosure controls and procedures include, without limitation, controls and procedures designed to ensure that information required to be disclosed by us in the reports that we file or submit is accumulated and communicated to management, including our Principal Executive Officer, Principal Financial Officer and Principal Accounting Officer, as appropriate to allow timely decisions regarding required disclosure.</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Any controls and procedures, no matter how well designed and operated, can provide only reasonable assurance of achieving the desired control objective and management necessarily applies its judgment in evaluating the cost-benefit relationship of possible controls 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There were no changes in our internal control over financial reporting during the quarter ended September 30, 2023 that materially affected, or are reasonably likely to materially affect, our internal control over financial reporting.</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b/>
          <w:color w:val="000000"/>
          <w:sz w:val="20"/>
        </w:rPr>
      </w:pPr>
      <w:bookmarkStart w:id="14" w:name="part2"/>
      <w:bookmarkEnd w:id="14"/>
      <w:r>
        <w:rPr>
          <w:rFonts w:ascii="Times New Roman" w:hAnsi="Times New Roman"/>
          <w:b/>
          <w:color w:val="000000"/>
          <w:sz w:val="20"/>
        </w:rPr>
        <w:t>PART II — OTHER INFORMATION</w:t>
      </w:r>
    </w:p>
    <w:p>
      <w:pPr>
        <w:pStyle w:val="TextBody"/>
        <w:bidi w:val="0"/>
        <w:spacing w:before="360" w:after="283"/>
        <w:jc w:val="left"/>
        <w:rPr>
          <w:rFonts w:ascii="Times New Roman" w:hAnsi="Times New Roman"/>
          <w:sz w:val="20"/>
        </w:rPr>
      </w:pPr>
      <w:bookmarkStart w:id="15" w:name="part2_item1_legal"/>
      <w:bookmarkEnd w:id="15"/>
      <w:r>
        <w:rPr>
          <w:rFonts w:ascii="Times New Roman" w:hAnsi="Times New Roman"/>
          <w:b/>
          <w:color w:val="000000"/>
          <w:sz w:val="20"/>
        </w:rPr>
        <w:t>Item 1. Legal Proceedings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are not currently a party to any material legal proceedings. From time to time, we may become involved in legal proceedings arising in the ordinary course of our business. Regardless of outcome, litigation can have an adverse impact on us due to defense and settlement costs, diversion of management resources, negative publicity, reputational harm and other factors.</w:t>
      </w:r>
    </w:p>
    <w:p>
      <w:pPr>
        <w:pStyle w:val="TextBody"/>
        <w:bidi w:val="0"/>
        <w:spacing w:before="360" w:after="283"/>
        <w:jc w:val="left"/>
        <w:rPr>
          <w:rFonts w:ascii="Times New Roman" w:hAnsi="Times New Roman"/>
          <w:b/>
          <w:color w:val="000000"/>
          <w:sz w:val="20"/>
        </w:rPr>
      </w:pPr>
      <w:bookmarkStart w:id="16" w:name="part2_item1a_rf"/>
      <w:bookmarkEnd w:id="16"/>
      <w:r>
        <w:rPr>
          <w:rFonts w:ascii="Times New Roman" w:hAnsi="Times New Roman"/>
          <w:b/>
          <w:color w:val="000000"/>
          <w:sz w:val="20"/>
        </w:rPr>
        <w:t>Item 1A. Risk Factors</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Investing in our common stock involves a high degree of risk. You should carefully consider the risks described below, as well as the other information in this Quarterly Report on Form 10-Q, including our unaudited condensed consolidated financial statements and the related notes and the section titled “Management’s Discussion and Analysis of Financial Condition and Results of Operations” and our other filings with the Securities and Exchange Commission, or SEC,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also may impair our business operations and the market price of our common stock.</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 Factors Summary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Investing in our common stock involves a high degree of risk because our business is subject to numerous risks and uncertainties, as fully described below. These risks include, but are not limited to,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We have incurred significant net losses since our inception, and we expect to continue to incur significant net losses for the foreseeable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We will require substantial additional capital to finance our operations, such capital may not be available to us when needed or may only be available on terms that are unfavorable to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We have a limited operating history, have no products approved for commercial sale, and have not generated any revenue from product sales, licenses or collaborations;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We are substantially dependent on the success of our lead product candidate, evorpacept, also known as ALX 148, which is in clinical development and which has not completed a pivotal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outcome of preclinical testing and early clinical trials may not be predictive of the success of later clinical trials, and the results of our clinical trials may not satisfy the requirements of the Food and Drug Administration, or FDA, or other comparable foreign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Clinical trials of our product candidates are expensive, time consuming and difficult to design and implement and may fail to demonstrate adequate safety, efficacy and potency of our product candidates or provide the basis for marketing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product candidates may cause significant adverse events or other undesirable side effects when used alone or in combination with other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regulatory approval processes of the FDA and comparable foreign regulatory authorities are lengthy, time-consuming and inherently unpredictable, which could lead to our inability to generate product revenue;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If we are unable to obtain, maintain and enforce patent protection and other intellectual property for our product candidates and related technology, our business could be materially harmed;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We are highly dependent on our key personnel, and if we are not successful in attracting, motivating, and retaining highly qualified personnel, we may not be able to successfully implement our business strategy;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preclinical research for evorpacept is conducted primarily by a third-party service provider, Tallac Therapeutics, Inc., formerly known as Tollnine, Inc., or Tallac Therapeutics, and we rely on Tallac Therapeutics to perform its contractual research obligations on an effective and timely basis;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We rely on third-party manufacturers for clinical supplies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levels of our debt and compliance with the terms of our loan agreement could restrict our ability to operate our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COVID-19 pandemic, geopolitical unrest related to Russia’s war with Ukraine, and war and instability in Israel and the surrounding region could adversely impact our business including our ongoing and planned clinical trials and preclinical research;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price of our stock may be volatile, and you could lose all or part of your investment;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In the past, we have identified material weaknesses in our internal control over financial reporting, and if we are unable to implement and maintain effective internal control over financial reporting in the future, investors may lose confidence in our financial reports.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Related to Our Financial Position and Need for Additional Capital</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have incurred significant net losses since our inception, and we expect to continue to incur significant net losses for the foreseeable future.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have incurred significant net losses in each reporting period since our inception, have not generated any revenue from product sales, licenses or collaborations to date and have financed our operations principally through public offerings of our common stock and private placements of our convertible preferred stock. Our net losses were $51.0 million and $35.3 million for the three months ended September 30, 2023 and 2022, respectively, and $115.3 million and $92.8 million for the nine months ended September 30, 2023 and 2022, respectively. As of September 30, 2023, we had an accumulated deficit of $440.8 million. We have devoted substantially all of our resources and efforts to research and development. Our lead product candidate, evorpacept, is in early-stage clinical trials. Our other programs are in preclinical discovery and research stages. As a result, we expect that it will be several years, if ever, before we have a commercialized product and generate revenue from product sales. Even if we succeed in receiving marketing approval for and commercializing one or more of our product candidates, we expect that we will continue to incur substantial research and development and other expenses in order to discover, develop and market additional potential products.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expect to continue to incur significant expenses and increasing operating losses for the foreseeable future. The net losses we incur may fluctuate significantly from quarter to quarter such that a period-to-period comparison of our results of operations may not be a good indication of our future performance. The size of our future net losses will depend, in part, on the rate of future growth of our expenses and our ability to generate revenue. Our prior losses and expected future losses have had and will continue to have an adverse effect on our working capital, our ability to fund the development of our product candidates and our ability to achieve and maintain profitability and the performance of our stock.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will require substantial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Developing 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activities, particularly as we conduct clinical trials of, and seek marketing approval for evorpacept and advance our other programs. In addition, if we obtain marketing approval for any of our product candidates, we expect to incur significant commercialization expenses related to drug sales, marketing, manufacturing and distribution activities. Our expenses could increase beyond expectations if we are required by the FDA, the European Medicines Agency, or EMA, or other regulatory agencies to perform clinical trials or preclinical studies in addition to those that we currently anticipate. Other unanticipated costs may also arise. Because the design and outcome of our planned and anticipated clinical trials are highly uncertain, we cannot reasonably estimate the actual amount of resources and funding that will be necessary to successfully complete the development and commercialization of any product candidate we develop. We have incurred and expect to continue to incur additional costs associated with operating as a public company and compliance with legal, accounting and other regulatory requirements. Accordingly, we will need to obtain substantial additional funding in order to maintain our continuing operations. If we are unable to raise capital when needed or on acceptable terms, we may be forced to delay, reduce and/or eliminate one or more of our research and drug development programs or future commercialization efforts. Further, any decline in our stock price or perceived potential decline in our stock price that may be associated with stock market volatility generally, may negatively impact our ability to raise capital.</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As of September 30, 2023, we had cash, cash equivalents and investments of $196.4 million. Based on our current operating plan, we believe that our existing cash, cash equivalents, investments, funds available from our term loan, and net proceeds from our recent follow-on public offering, will be sufficient to fund our operations into early 2026. Our estimate as to how long we expect our existing cash, cash equivalents, investments and funds available from our term loan will be sufficient to continue to fund our operations is based on assumptions that may prove to be wrong, and we could use our available capital resources sooner than we currently expect. Changing circumstances, some of which may be beyond our control, such as periods of a rising rate of inflation or economic downturns, could cause us to consume capital significantly faster than we currently anticipate, and we may need to seek additional funds sooner than planned.</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plan to use our cash, cash equivalents and investments to advance the clinical development of evorpacept, as well as for working capital and other general corporate purposes. This may include additional preclinical research, clinical development, hiring additional personnel, capital expenditures, the potential acquisition of businesses or assets and the costs of operating as a public company, as well as for working capital and other general corporate purposes. Advancing the development of evorpacept and our other programs will require a significant amount of capital. Our current cash, cash equivalents and investments on hand, may not be sufficient to fund all of the actions that are necessary to complete the development of evorpacept or our other programs.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expect to obtain further funding through public or private equity offerings, debt financings, collaborations and licensing arrangements or other sources, which may dilute our stockholders or restrict our operating activities. Other than the loan and security agreement, or Loan Agreement, we entered into with Oxford Finance LLC, Oxford Finance Credit Fund II LP and Silicon Valley Bank, or SVB, collectively, the Lenders, in the fourth quarter of 2022, we do not have any committed external source of funds. SVB was closed in March 2023, and the FDIC was appointed as receiver to SVB. The FDIC created Silicon Valley Bridge Bank, or SVBB, as successor to SVB, which was acquired by First Citizens Bank, and is now operated as a division of First Citizens Bank, or SVB-First Citizens. While we expect SVB-First Citizens to continue to fulfill SVB’s obligations under the Loan Agreement, there can be no assurance that the full credit facility under the Loan Agreement, of which SVB was committed to fund 50%, will continue to be available to us. Adequate additional financing may not be available to us on acceptable terms, or at all. To the extent that we raise additional capital through the sale of equity or convertible debt securities, your ownership interest will be diluted, and the terms may include liquidation or other preferences that adversely affect your rights as a stockholder. Debt financing may result in imposition of debt covenants, increased fixed payment obligations or other restrictions that may affect our business. For example, our Loan Agreement restricts our ability to incur additional indebtedness without the consent of the Lenders.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failure to raise capital as and when needed would have a negative impact on our financial condition and our ability to pursue our business strategy, and we may have to delay, reduce the scope of, suspend or eliminate one or more of our research-stage programs, clinical trials or future commercialization efforts.</w:t>
      </w:r>
    </w:p>
    <w:p>
      <w:pPr>
        <w:pStyle w:val="TextBody"/>
        <w:bidi w:val="0"/>
        <w:spacing w:before="120" w:after="283"/>
        <w:jc w:val="left"/>
        <w:rPr>
          <w:rFonts w:ascii="Times New Roman" w:hAnsi="Times New Roman"/>
          <w:sz w:val="20"/>
        </w:rPr>
      </w:pPr>
      <w:r>
        <w:rPr>
          <w:rFonts w:ascii="Times New Roman" w:hAnsi="Times New Roman"/>
          <w:b/>
          <w:i/>
          <w:color w:val="000000"/>
          <w:sz w:val="20"/>
        </w:rPr>
        <w:t>We have a limited operating history and have no products approved for commercial sale, which may make it difficult for you to evaluate our current business and likelihood of success and viability.</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are a clinical-stage biopharmaceutical company with a limited operating history upon which you can evaluate our business and prospects. We were incorporated and commenced operations in 2015, have no products approved for commercial sale and have not generated any revenue from product sales, licenses or collaborations. Drug development is a highly uncertain undertaking and involves a substantial degree of risk. Our operations to date have been limited to organizing and staffing our company, business planning, raising capital, identifying and developing potential product candidates and conducting preclinical and clinical trials of our product candidates, including Phase 1 and Phase 2 clinical trials of evorpacept. We have not yet demonstrated our ability to successfully complete any large-scale, pivotal clinical trials, obtain marketing approvals, manufacture a commercial-scale drug or arrange for a third party to do so on our behalf or conduct sales and marketing activities. As a result, it may be more difficult for you to accurately predict our likelihood of success and viability than it could be if we had a longer operating history. In addition, as a business with a limited operating history, we may encounter unforeseen expenses, difficulties, complications, delays and other known and unknown factors and risks frequently experienced by early-stage biopharmaceutical companies in rapidly evolving fields. We also may need to transition from a company with a research focus to a company capable of supporting commercial activities. We have not yet demonstrated an ability to successfully overcome such risks and difficulties or to make such a transition. If we do not adequately address these risks and difficulties or successfully make such a transition, our business will suffer.</w:t>
      </w:r>
    </w:p>
    <w:p>
      <w:pPr>
        <w:pStyle w:val="TextBody"/>
        <w:bidi w:val="0"/>
        <w:spacing w:before="120" w:after="283"/>
        <w:jc w:val="left"/>
        <w:rPr>
          <w:rFonts w:ascii="Times New Roman" w:hAnsi="Times New Roman"/>
          <w:sz w:val="20"/>
        </w:rPr>
      </w:pPr>
      <w:r>
        <w:rPr>
          <w:rFonts w:ascii="Times New Roman" w:hAnsi="Times New Roman"/>
          <w:b/>
          <w:i/>
          <w:color w:val="000000"/>
          <w:sz w:val="20"/>
        </w:rPr>
        <w:t>Our ability to generate revenue and achieve profitability depends significantly on our ability to achieve several objectives relating to the discovery, development and commercialization of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business depends entirely on the successful development and commercialization of our product candidates. We currently generate no revenue from any product sales, licenses or collaborations and do not expect to generate any revenue from the sale of product candidates in the foreseeable future. We have no products approved for commercial sale and do not anticipate generating any revenue from product sales for the next several years, if ever. Our ability to generate revenue and achieve profitability depends significantly on our ability to achieve a number of objectives, including: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successful and timely completion of preclinical and clinical development of our lead product candidate, evorpacept, and our other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establishing and maintaining relationships with contract research organizations, or CROs, and clinical sites for the clinical development of evorpacept and our other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timely receipt of marketing approvals from applicable regulatory authorities for any product candidates for which we successfully complete clinical development;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extent of any required post-marketing approval commitments to applicable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developing an efficient and scalable manufacturing process for evorpacept and any future product candidates, including establishing and maintaining commercially viable supply and manufacturing relationships with third parties to obtain finished products that are appropriately packaged for sale;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establishing and maintaining commercially viable supply and manufacturing relationships with third parties that can provide adequate, in both amount and quality, products and services to support clinical development and meet the market demand for our product candidates, if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successful commercial launch following any marketing approval, including the development of a commercial infrastructure, whether in-house or with one or more collaborators;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 continued acceptable safety profile following any marketing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commercial acceptance of evorpacept and any future product candidates as viable treatment options by patients, the medical community and third-party payors;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obtaining favorable coverage and adequate reimbursement by third-party payors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addressing any competing therapies and technological and market developments;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identifying, assessing, acquiring and developing new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obtaining, maintaining and expanding patent protection, trade secret protection and regulatory exclusivity, both in the United States and internationally;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protecting our rights in our intellectual property portfolio, including our licensed intellectual property;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defending against third-party interference or infringement claims, if 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entering into, on favorable terms, any collaboration, licensing or other arrangements that may be necessary or desirable to develop, manufacture or commercialize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negotiating favorable terms in any collaboration, licensing or other arrangements that may be necessary to develop, manufacture or commercialize our product candidate;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attracting, hiring and retaining qualified personnel.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may never be successful in achieving our objectives and, even if we do, we may never generate revenue that is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maintain or further our research and development efforts, raise additional necessary capital, grow our business and/or continue our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terms of our Loan Agreement require us to meet certain operating and financial covenants, place restrictions on our operating and financial flexibility, and may subject us to default.</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October 2022, we entered into the Loan Agreement, under which we have borrowed $10.0 million and we have access to draw an additional $40.0 million through the end of 2023. A further $50.0 million may become available to us, with $12.5 million available in each of two tranches based upon the achievement of milestones related to the development of evorpacept and one preclinical product candidate, and $25.0 million at the Lenders’ sole discretion. The proceeds of the loans may be used by us for working capital and to fund our general business requirements. On May 31, 2023, we entered into a second amendment to the Loan Agreement. The primary purpose of the second amendment was to reduce the percentage of the amount required to be held in our collateral account with SVB from 100% to not less than 50% of the aggregate dollar value of all our collateral accounts.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One of the Lenders, SVB was closed in March 2023, and the FDIC was appointed as receiver to SVB. The FDIC created SVBB as successor to SVB, which was acquired by First Citizens Bank and currently operates as SVB-First Citizens. While we expect SVB-First Citizens to continue to fulfill SVB’s obligations under the Loan Agreement, there can be no assurance that the full credit facility under the Loan Agreement, of which SVB was committed to fund 50%, will continue to be available to us.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term loans under the Loan Agreement mature on October 1, 2027. The Company will begin to make principal payments in equal monthly installments beginning on December 1, 2025, and if either of the milestone related tranche term loans are funded, then the Company will begin to make principal payments in equal monthly installments beginning on December 1, 2026. The term loans accrue interest at a floating rate as described elsewhere in this report, and interest is payable monthly in arrears. The term loans once repaid or prepaid may not be reborrowed. The term loans may be prepaid in full or in part in increments of $10.0 million, with various prepayment premiums. Upon the earlier of prepayment or maturity of any term loan, we are required to pay a fee of 6.0% of the original principal amount of such funded term loan. We are also obligated to pay other customary fees for a loan facility of this type and size.</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term loans under the Loan Agreement are secured by substantially all of our assets, except our intellectual property, which is the subject of a negative pledge, and will be guaranteed by our future subsidiaries, subject to certain limitations. Upon the outstanding balance of the term loans reaching $75.0 million or greater, our intellectual property will become collateral.</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Loan Agreement contains customary affirmative and negative covenants, including covenants limiting our ability to, among other things, dispose of assets, effect certain mergers, incur debt, grant liens, pay dividends and distributions on our capital stock, make investments and acquisitions, and enter into transactions with affiliates, in each case subject to customary exceptions for a loan facility of this size and type.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If we default under the Loan Agreement, the Lenders will be able to declare all obligations immediately due and payable and take control of our pledged assets, potentially requiring us to renegotiate our agreement on terms less favorable to us or to immediately cease operations. The events of default under the Loan Agreement include, among others, payment defaults, material misrepresentations, breaches of covenants, cross defaults with certain other material indebtedness, bankruptcy and insolvency events, and judgment defaults. The occurrence of an event of default could result in the acceleration of our obligations under the Loan Agreement, the termination of the Lenders’ commitments, a 5.0% increase in the applicable rate of interest and the exercise by the Lender of other rights and remedies provided for under the Loan Agreement. Any declaration by the Lenders of an event of default could significantly harm our business and prospects and could cause the price of our common stock to decline.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Related to the Discovery, Development and Commercialization of Our Product Candidates</w:t>
      </w:r>
    </w:p>
    <w:p>
      <w:pPr>
        <w:pStyle w:val="TextBody"/>
        <w:bidi w:val="0"/>
        <w:spacing w:before="120" w:after="283"/>
        <w:jc w:val="left"/>
        <w:rPr>
          <w:rFonts w:ascii="Times New Roman" w:hAnsi="Times New Roman"/>
          <w:sz w:val="20"/>
        </w:rPr>
      </w:pPr>
      <w:r>
        <w:rPr>
          <w:rFonts w:ascii="Times New Roman" w:hAnsi="Times New Roman"/>
          <w:b/>
          <w:i/>
          <w:color w:val="000000"/>
          <w:sz w:val="20"/>
        </w:rPr>
        <w:t>We are substantially dependent on the success of our lead product candidate, evorpacept, which is in clinical development and which has not completed a pivotal trial. If we do not obtain regulatory approval for and successfully commercialize evorpacept in one or more indications, or we experience significant delays in doing so, we may never generate any revenue or become profitable.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do not have any products that have received regulatory approval and may never be able to develop marketable product candidates. We expect that a substantial portion of our efforts and expenses over the next several years will be devoted to the development of our lead product candidate, evorpacept, in our ongoing clinical trials. As a result, our business currently depends heavily on the successful development, regulatory approval and, if approved, commercialization of evorpacept in one or more of these indications, such as head and neck squamous cell carcinoma, or HNSCC, gastric/gastroesophageal junction, or GEJ, carcinoma, urothelial cancer, breast cancer, or multiple myeloma. We cannot be certain that evorpacept will receive regulatory approval or will be successfully commercialized even if it receives regulatory approval. The research, testing, manufacturing, safety, efficacy and potency, labeling, approval, sale, marketing and distribution of evorpacept is, and will remain, subject to comprehensive regulation by the FDA and similar foreign regulatory authorities. Our failure to timely complete clinical trials, obtain regulatory approval or, if approved, commercialize evorpacept or any of our future product candidates, would materially harm our business, financial condition and results of operations. We are not permitted to market or promote evorpacept, or any other product candidate, before we receive marketing approval from the FDA and comparable foreign regulatory authorities, and we may never receive such marketing approvals. If we do not receive marketing approvals for evorpacept, we may not be able to continue our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The outcome of preclinical testing and early clinical trials may not be predictive of the success of later clinical trials, and the results of our clinical trials may not satisfy the requirements of the FDA or other comparable foreign regulatory authorities. The clinical trials of our product candidates may not produce positive results or demonstrate adequate safety, purity and efficacy and potency to the satisfaction of regulatory authorities.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Before obtaining marketing approval from regulatory authorities for the sale of our product candidates, we must complete preclinical development and then conduct extensive clinical trials to demonstrate the safety and efficacy/potency of our product candidates. Clinical testing is expensive, difficult to design and implement, can take many years to complete, and its ultimate outcome is uncertain. A failure of one or more clinical trials can occur at any stage of the process. The outcome of preclinical studies and early-stage clinical trials may not be predictive of the success of later clinical trials. Moreover, preclinical and clinical data are often susceptible to varying interpretations and analyses, and many companies that have believed their product candidates performed satisfactorily in preclinical studies and clinical trials have nonetheless failed to obtain approval of their drugs.</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Positive or timely results from preclinical or early-stage trials do not ensure positive or timely results in future clinical trials or registrational clinical trials because product candidates in later-stage clinical trials may fail to demonstrate sufficient safety, purity and efficacy and potency to the satisfaction of the FDA or comparable international regulatory authorities, despite having progressed through preclinical studies or initial clinical trials. In addition, the FDA or any comparable international regulatory authorities may conclude that the results from our clinical trials are insufficient to support any accelerated approval that we may seek with respect to evorpacept or any of our future product candidates in general or with respect to any specific indications. Product candidates that have shown promising results in early clinical trials may still suffer significant setbacks in subsequent clinical trials or registration clinical trials. For example, a number of companies in the pharmaceutical industry, including those with greater resources and experience than us, have suffered significant setbacks in advanced clinical trials, even after obtaining promising results in earlier clinical trials. Additionally, in March 2023, the FDA issued a draft guidance on clinical trial considerations for supporting accelerated approval of oncology therapeutics, noting that although single-arm trials have been commonly used to support accelerated approval, a randomized controlled trial is the preferred approach for providing a more robust efficacy and safety assessment, among other recommendations. To the extent the FDA requires us to collect additional data or to conduct additional clinical trials in accordance with the new guidance, our clinical timelines may be delayed.</w:t>
      </w:r>
    </w:p>
    <w:p>
      <w:pPr>
        <w:pStyle w:val="TextBody"/>
        <w:bidi w:val="0"/>
        <w:spacing w:before="120" w:after="283"/>
        <w:jc w:val="left"/>
        <w:rPr>
          <w:rFonts w:ascii="Times New Roman" w:hAnsi="Times New Roman"/>
          <w:sz w:val="20"/>
        </w:rPr>
      </w:pPr>
      <w:r>
        <w:rPr>
          <w:rFonts w:ascii="Times New Roman" w:hAnsi="Times New Roman"/>
          <w:b/>
          <w:i/>
          <w:color w:val="000000"/>
          <w:sz w:val="20"/>
        </w:rPr>
        <w:t>Clinical trials of our product candidates are expensive, time consuming and difficult to design and implement and may fail to demonstrate adequate safety, purity and efficacy and potency of our product candidates or provide the basis for marketing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Before obtaining marketing approval from regulatory authorities for the sale of our product candidates, we must conduct preclinical development and then extensive clinical trials (including initiation of a pediatric study) to demonstrate their safety, purity and efficacy and potency. Clinical trials are expensive and difficult to design and implement. Clinical trials can take many years to complete, and their ultimate outcome is uncertain. A failure of one or more clinical trials can occur at any stage of the process. We will be required to demonstrate with substantial evidence through well-controlled clinical trials that our product candidates are safe, pure and effective or potent for use in a diverse patient population before we can seek regulatory approvals for their commercial sale. Our clinical trials may produce negative or inconclusive results and we may decide, or regulators may require us, to conduct additional and expansive preclinical or clinical testing.</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do not know whether our future clinical trials will begin or enroll subjects on time or whether our ongoing and/or future clinical trials will be completed on schedule or at all. Clinical trials can be delayed for a variety of reasons, including delays related to:</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obtaining approval to commence a clinical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reaching agreement on acceptable terms with prospective CROs and clinical trial sites;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obtaining institutional review board approval at each clinical trial site;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adding necessary new clinical trial sites;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recruiting suitable subjects to participate in a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noncompliance with clinical trial protocols;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investigational site or trial subjects withdrawing or dropping out of clinical trials at a higher rate than anticipated;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manufacturing sufficient quantities of product candidate for use in clinical trials.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may experience numerous unforeseen events during, or as a result of, clinical trials that could delay or prevent receipt of marketing approval or our ability to commercialize our product candidates, including: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receipt of feedback from regulatory authorities that requires us to modify the design of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negative or inconclusive clinical trial results or interval changes to standards of care for the treatment of specific tumor types that may require us to conduct additional clinical trials or abandon certain drug development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number of subjects required for clinical trials is larger than anticipated, enrollment in these clinical trials is slower than anticipated or subjects dropping out of these clinical trials at a higher rate than anticipated;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delays in clinical trials due to outbreaks or public health crises, such as the COVID-19 pandemic, that impact both trial site operations, subject selection and participation;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third-party contractors failing to comply with regulatory requirements or meet their contractual obligations to us in a timely manner, or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suspension or termination of our clinical trials for various reasons, including non-compliance with regulatory requirements, a finding that our product candidates have undesirable side effects or other unexpected characteristics or risks;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cost of clinical trials of our product candidates are greater than anticipated;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supply or quality of our product candidates or other materials necessary to conduct clinical trials of our product candidates being insufficient or inadequate;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regulators revising the requirements for approving our product candidates.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As a result of any of these delays or other circumstances, we may incur unplanned costs, not obtain or be delayed in obtaining marketing approval, receive more limited or restrictive marketing approval, be subject to additional post-marketing testing requirements or have our drug removed from the market after obtaining marketing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do not know whether any clinical trials we may conduct will demonstrate consistent or adequate safety and efficacy sufficient to obtain marketing approval of our product candidates or to market our drugs after any such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If we experience delays or difficulties in the enrollment of subjects in clinical trials and/or retention of subjects in clinical trials, our regulatory submissions or receipt of necessary marketing approvals could be delayed or prevented.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may not be able to initiate or continue clinical trials for our product candidates if we are unable to locate and enroll a sufficient number of eligible subjects to participate in these trials as required by the FDA or comparable international regulatory authorities. Subject enrollment is a significant factor in the timing of clinical trials. In particular, because certain of our clinical trials of evorpacept are focused on indications with small patient populations, our ability to enroll eligible subjects may be limited or may result in slower enrollment than we anticipate.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the past, clinical trial enrollment and data collection has been adversely impacted by staff shortages, site closures, travel limitations and physical distancing requirements and personal safety concerns resulting from and associated with the COVID-19 pandemic. Going forward we expect to continue to experience some of these clinical trial enrollment difficulties associated with the pandemic. For example, subjects who enroll in our clinical trials and then become infected with the COVID-19 virus may complicate the clinical trial data, procedures and analysis, which could delay the anticipated readouts from our clinical trials and our regulatory submissions and increase the costs associated with clinical trials.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Subject enrollment may also be affected if new standards of care become widely available or our competitors have ongoing competing clinical trials for product candidates that are under development for the same indications as our product candidates, and patients who would otherwise be eligible for our clinical trials instead enroll in clinical trials of our competitors’ product candidates. In addition, regulatory requirements governing clinical trials have changed and may continue to change in the future. The timing of our clinical trials depends on our ability to recruit subjects to participate in our studies and changes to regulatory requirements, if any, governing clinical trials may impede our ability to enroll subjects. Subject enrollment may also be affected by other factors, including: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size and nature of the patient population;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severity of the disease under investigation;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availability and efficacy or potency of current or newly approved drugs for the disease under investigation and other changes in standard of care that could make our clinical trials less attractive, including the drugs or other product candidates we use in our combination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patient eligibility criteria for the trial in question;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perceived risks and benefits of the product candidate under study;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efforts to facilitate timely enrollment in clinical trials by us and the clinical trial sites;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patient referral practices of physicians;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ability to monitor subjects adequately during and after the clinical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proximity of clinical trial sites to prospective subjects;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risk of subjects enrolled in clinical trials dropping out before completion;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inability or delay in enrollment of subjects due to a variety of reasons, including outbreaks and public health crises, such as the COVID-19 pandemic;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an inability to appropriately enroll an ethnically and racially diverse patient population representative of the target patient population.</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inability to enroll a sufficient number of subjects in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 the sale of our drugs.</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Interim, topline and preliminary data from our clinical trials that we announce or publish from time to time may change as more subject data become available and are subject to audit and verification procedures that could result in material changes in the final data.</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From time to time, we may publicly disclose preliminary, interim or topline data from our clinical trials. These interim updates are based on a preliminary analysis of then-available data, and the results and related findings and conclusions are subject to change following a more comprehensive review of the data related to the particular study or trial. Further, interim, topline and preliminary data include certain assumptions, estimations, calculations and conclusions as part of our analyses of data available at that time, and we may not have received or had the opportunity to evaluate all data fully and carefully. As a result, the topline results that we report may differ from future results of the same trials,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Interim data from clinical trials that we may complete are subject to the risk that one or more of the clinical outcomes may materially change as subject enrollment continues and more subject data become available. Adverse changes between interim data and final data could significantly harm our business and prospects. Further, additional disclosure of interim data by us or by our competitors in the future could result in volatility in the price of our common stock. Some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preliminary or topline data that we report differ from late, final or actual results, or if others, including regulatory authorities, disagree with the conclusions reached, our ability to obtain approval for product candidates may be harmed, which could harm our business, financial condition, results of operations and prospects.</w:t>
      </w:r>
    </w:p>
    <w:p>
      <w:pPr>
        <w:pStyle w:val="TextBody"/>
        <w:bidi w:val="0"/>
        <w:spacing w:before="120" w:after="283"/>
        <w:jc w:val="left"/>
        <w:rPr>
          <w:rFonts w:ascii="Times New Roman" w:hAnsi="Times New Roman"/>
          <w:sz w:val="20"/>
        </w:rPr>
      </w:pPr>
      <w:r>
        <w:rPr>
          <w:rFonts w:ascii="Times New Roman" w:hAnsi="Times New Roman"/>
          <w:b/>
          <w:i/>
          <w:color w:val="000000"/>
          <w:sz w:val="20"/>
        </w:rPr>
        <w:t>Our product candidates may cause significant adverse events, toxicities or other undesirable side effects when used alone or in combination with other approved products or investigational new drugs that may result in a safety profile that could prevent regulatory approval, prevent market acceptance, limit their commercial potential or result in significant negative consequences.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If evorpacept or any of our other product candidates are associated with undesirable side effects or have unexpected characteristics in preclinical studies or clinical trials when used alone or in combination with other approved products or investigational new drugs we may need to interrupt, delay or abandon their development or limit development to more narrow uses or subpopulations in which the undesirable side effects or other characteristics are less prevalent, less severe or more acceptable from a risk-benefit perspective. For example, we have observed single-digit incident rates of treatment-related grade three and higher cytopenias across our clinical program in a heavily pre-treated group of subjects who are typical participants in early-stage cancer trials and are often hematologically fragile at baseline. Subjects in our evorpacept combination clinical trials experienced a number of treatment-related adverse events that were mostly low-grade and manageable, including fatigue, rash, aspartate aminotransferase, or AST, increase, platelets decrease, alanine aminotransferase, or ALT, increase, pruritus, pyrexia, decreased appetite, anemia, infusion reaction, neutropenia, nausea, alkaline phosphate increase, arthralgia, white blood cell decrease and myalgia. Treatment-related side effects could also affect subject recruitment or the ability of enrolled subjects to complete the trial or result in potential product liability claims. Any adverse events as a result of evorpacept or any of our future product candidates, including in combination with therapy, may prevent us from achieving or maintaining market acceptance of the affected product candidate and may harm our business, financial condition and prospects significantly.</w:t>
      </w:r>
    </w:p>
    <w:p>
      <w:pPr>
        <w:pStyle w:val="TextBody"/>
        <w:bidi w:val="0"/>
        <w:spacing w:before="120" w:after="283"/>
        <w:jc w:val="left"/>
        <w:rPr>
          <w:rFonts w:ascii="Times New Roman" w:hAnsi="Times New Roman"/>
          <w:sz w:val="20"/>
        </w:rPr>
      </w:pPr>
      <w:r>
        <w:rPr>
          <w:rFonts w:ascii="Times New Roman" w:hAnsi="Times New Roman"/>
          <w:b/>
          <w:i/>
          <w:color w:val="000000"/>
          <w:sz w:val="20"/>
        </w:rPr>
        <w:t>We face substantial competition which may result in others discovering, developing or commercializing products before or more successfully than we do.</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development and commercialization of new product candidates is highly competitive. We face competition with respect to evorpacept and will face competition with respect to any product candidates that we may seek to develop or commercialize in the future, from major pharmaceutical, specialty pharmaceutical and biotechnology companies among others. We compete in the segments of the pharmaceutical, biotechnology and other related markets that develop immuno-oncology therapies for the treatment of cancer. There are other companies working to develop immuno-oncology therapies for the treatment of cancer including divisions of large pharmaceutical and biotechnology companies of various sizes. The large pharmaceutical and biotechnology companies that have commercialized and/or are developing immuno-oncology treatments for cancer include AstraZeneca, Bristol Myers Squibb, Gilead Sciences, Merck, Novartis, Pfizer and Roche/Genentech. Newly approved therapeutics could change the treatment paradigm or standard of care, which could negatively impact the design of our clinical trials and the prospects of our product candidates.</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Some of these competitive products and therapies are based on scientific approaches that are the same as or similar to our approach, including with respect to the targeting of the CD47 pathway and others are based on entirely different approaches. We are aware that Adagene, Akesobio, Bio-Thera Solutions, Boehringer Ingelheim, Bristol Myers Squibb, Byondis, Centessa, Conjupro Biotherapeutics, CTTQ (SinoBiological), Daiichi Sankyo, Exelixis, GenSci, Gilead Sciences (through its acquisition of Forty Seven), Hanchor Bio, Hisun, Hutchmed, I-Mab, Ichnos, ImmuneOncia Therapeutics, ImmunceOnco Biopharma, Innovent, Kahr, LaNova, Lightchain Bioscience, Mabwell Therapeutics, Mabworks, Novimmune, OSE Immunotherapeutics, Pfizer (through its acquisition of Trillium Therapeutics), Phanes, Pyxis Oncology (through its acquisition of Apexigen), Shandong New Time, Shattuck Labs, Sorrento Therapeutics, Sumgen, SunHo Pharmaceutical, TG Therapeutics, Waterstone, and Zai Lab, among others, are developing drugs targeting the CD47 pathway that may have utility for the treatment of indications that we are targeting.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There are already a variety of available drug therapies marketed for cancer and some of the currently approved drug therapies are branded and subject to patent protection and others are available on a generic basis. Many of these approved drugs are well established therapies and are widely accepted by physicians, patients and third-party payors. Insurers and other third-party payors may also encourage the use of generic products. We expect that if evorpacept and any of our other future product candidates are approved, they will be priced at a significant premium over competitive generic products. This may make it difficult for us to achieve our business strategy of using our product candidates in combination with existing therapies or replacing existing therapies with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in establishing clinical trial sites and enrolling subjects for our clinical trials and in acquiring technologies complementary to, or necessary for, our programs.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could see a reduction or elimination of our commercial opportunity if our competitors develop and commercialize products that are safer, more effective, more convenient or less expensive than any products that we or our collaborators may develop. Our competitors also may obtain FDA or foreign regulatory approval for their products more rapidly than we may obtain approval for ours, which could result in our competitors establishing a strong market position before we are able to enter the market. The key competitive factors affecting the success of all our product candidates, if approved, are likely to be their efficacy, safety, convenience, price, the level of biosimilar or generic competition and the availability of reimbursement from government and other third-party payors. The inability to compete with existing or subsequently introduced drugs would harm our business, financial condition and results of operations.</w:t>
      </w:r>
    </w:p>
    <w:p>
      <w:pPr>
        <w:pStyle w:val="TextBody"/>
        <w:bidi w:val="0"/>
        <w:spacing w:before="120" w:after="283"/>
        <w:jc w:val="left"/>
        <w:rPr>
          <w:rFonts w:ascii="Times New Roman" w:hAnsi="Times New Roman"/>
          <w:sz w:val="20"/>
        </w:rPr>
      </w:pPr>
      <w:r>
        <w:rPr>
          <w:rFonts w:ascii="Times New Roman" w:hAnsi="Times New Roman"/>
          <w:b/>
          <w:i/>
          <w:color w:val="000000"/>
          <w:sz w:val="20"/>
        </w:rPr>
        <w:t>Even if our product candidates receive regulatory approval, they will be subject to significant post-marketing regulatory requirements and oversight.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 xml:space="preserve">Even after approval, our manufacturing processes, labeling, packaging, distribution, adverse event reporting, storage, advertising, promotion, import, export and recordkeeping for our approved products will be subject to extensive and ongoing regulatory requirements. These requirements include submissions of safety and other post-marketing information and reports, registration, as well as on-going compliance with current good manufacturing practices, or cGMPs, and current good clinical practices, or cGCPs, for any clinical trials that we conduct post-approval. Regulatory approvals may contain significant limitations related to use restrictions for specific target population subsets, </w:t>
      </w:r>
      <w:r>
        <w:rPr>
          <w:rFonts w:ascii="Times New Roman" w:hAnsi="Times New Roman"/>
          <w:b w:val="false"/>
          <w:i/>
          <w:color w:val="000000"/>
          <w:sz w:val="20"/>
        </w:rPr>
        <w:t>e.g.</w:t>
      </w:r>
      <w:r>
        <w:rPr>
          <w:rFonts w:ascii="Times New Roman" w:hAnsi="Times New Roman"/>
          <w:b w:val="false"/>
          <w:color w:val="000000"/>
          <w:sz w:val="20"/>
        </w:rPr>
        <w:t>, age groups, warnings, precautions or contraindications, or may include costly and burdensome post-approval study or risk management requirements and regulatory inspection. For example, the FDA may require a REMS as a condition for approval of our product candidates, which could entail requirements for a medication guide, physician training and communication plans or additional elements to ensure safe use, such as restricted distribution methods, patient registries and other risk mitigation tools.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addition, manufacturers of drug products and their facilities are subject to continual review and periodic, unannounced inspections by the FDA and other regulatory authorities for compliance with cGMP regulations and standards. If we or a regulatory agency discover previously unknown problems with a product, such as adverse events of unanticipated severity or frequency, or problems with a contract supplier, vendor, or facility where the product is manufactured or processed, a regulatory agency may impose restrictions on that product, the manufacturing facility or contractor, or us, including requiring recall or withdrawal of the product from the market or suspension of manufacturing. In addition, failure to comply with FDA, EMA and other comparable foreign regulatory requirements may subject our company to administrative or judicially imposed sanctions or enforcement actions, including: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delays in or the rejection of product approvals;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restrictions on our ability to conduct clinical trials, including full or partial clinical holds on ongoing or planned trials;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restrictions on the products, manufacturers or manufacturing process;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warning or untitled letters;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civil and criminal penalties;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injunctions;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suspension or withdrawal of regulatory approvals;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product seizures, detentions or import bans;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voluntary or mandatory product recalls and publicity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total or partial suspension of production;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imposition of restrictions on operations, including costly new manufacturing requirements.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occurrence of any of these sanctions, enforcement actions or penalties described above may inhibit our ability to commercialize our product candidates, even if approved, and generate revenue.</w:t>
      </w:r>
    </w:p>
    <w:p>
      <w:pPr>
        <w:pStyle w:val="TextBody"/>
        <w:bidi w:val="0"/>
        <w:spacing w:before="120" w:after="283"/>
        <w:jc w:val="left"/>
        <w:rPr>
          <w:rFonts w:ascii="Times New Roman" w:hAnsi="Times New Roman"/>
          <w:sz w:val="20"/>
        </w:rPr>
      </w:pPr>
      <w:r>
        <w:rPr>
          <w:rFonts w:ascii="Times New Roman" w:hAnsi="Times New Roman"/>
          <w:b/>
          <w:i/>
          <w:color w:val="000000"/>
          <w:sz w:val="20"/>
        </w:rPr>
        <w:t>We rely on Tallac Therapeutics, a third-party service provider, to conduct substantially all of our preclinical research activities for evorpacept. If Tallac Therapeutics does not successfully carry out its contractual duties or meet expected deadlines, there may be disruptions or delays to our evorpacept development pipeline and our business could be harmed.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have the ability to independently conduct our preclinical research activities but we rely on a third-party service provider to conduct all of our preclinical research activities for evorpacept. Effective as of July 1, 2020, we transferred our preclinical research capabilities at such time and nine of our employees, including our former Chief Scientific Officer, to Tallac Therapeutics, and entered into a research and development services agreement, or the Tallac Services Agreement, with Tallac Therapeutics. Under the terms of the Tallac Services Agreement, Tallac Therapeutics will provide preclinical research services to us for the cost of these services plus a mark-up equal to 10.0% of such costs.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If Tallac Therapeutics does not successfully carry out its contractual obligations or meet expected deadlines, if Tallac Therapeutics needs to be replaced, or if the quality or accuracy of the preclinical data Tallac Therapeutics obtains is compromised due to its failure to adhere to its or our preclinical protocols, regulatory requirements or for other reasons, our preclinical research efforts and studies may be extended or delayed, and there may be disruptions or delays to our evorpacept development pipeline. As a result, our evorpacept product candidate research and development efforts may be delayed or harmed, and our costs could increase and our future ability to generate revenues could be delayed.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Further, Tallac Therapeutics’ employees are not our employees, and we will not be able to control, other than by contract, the amount of resources, including time, that they devote to our evorpacept preclinical research efforts and studies. If Tallac Therapeutics fails to devote sufficient resources to the research and development of our evorpacept preclinical research programs and studies, or if its performance is substandard, there may be disruptions or delays to our evorpacept development pipeline. In addition, we must disclose our proprietary information to Tallac Therapeutics, which could increase the risk that this information will be misappropriated or that disputes related to our intellectual property with Tallac Therapeutics may occur, including the risks discussed below related to intellectual property matters.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If our relationship with Tallac Therapeutics terminates, hiring additional internal research and development employees will involve additional efforts and costs and could divert management’s time and focus. In addition, there is a natural transition period to train new employees. As a result, delays may occur, which can materially impact our ability to meet our desired preclinical timelines. Since Tallac Therapeutics is an early-stage company with a limited operating history, it may face challenges to its business and cease to operate, and we may need to hire employees on an accelerated timeline and on less favorable terms. There can be no assurance that we will not encounter similar challenges or delays in the future or that these delays or challenges will not have a material adverse impact on our business,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commercial success depends, in part, on our ability to conduct our research and develop our product pipeline without infringing the intellectual property and other proprietary rights of third parties. If we ever become involved in any dispute with Tallac Therapeutics over ownership of intellectual property or proprietary rights in the future because of the access that Tallac Therapeutics had to our intellectual property, including trade secrets, we may need to negotiate or engage in litigation to preserve our intellectual property rights, which may be time-consuming, expensive and ultimately unsuccessful. In addition, our former employees who are now employees of Tallac Therapeutics may possess our proprietary information. Although these former employees have signed confidentiality and invention assignment agreements with us, we cannot guarantee that they will not breach these agreements in the future. If these former employees disclose our proprietary information to Tallac Therapeutics or other third parties, we may not be able to obtain adequate remedies for such breaches.</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We contract with third parties for the manufacture of our product candidates for preclinical development and clinical trials, and we expect to continue to do so for commercialization. This reliance on third parties increases the risk that we will not have sufficient quantities of our product candidates or drugs or such quantities at an acceptable cost or quality, which could delay, prevent or impair our development or commercialization efforts.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do not currently own or operate, nor do we have any plans to establish in the future, any manufacturing facilities or personnel. We rely, and expect to continue to rely, on third parties for the manufacture of our product candidates for preclinical development and clinical testing, as well as for the commercial manufacture of our drugs if any of our product candidates receive marketing approval. No assurance can be given that long-term, scalable manufacturers can be identified or that they can make clinical and commercial supplies of our product candidates that meet the product specifications of previously manufactured batches, or are of a sufficient quality, or at an appropriate scale and cost to make it commercially feasible. Such third-party manufacturers may also be subject to delays due to circumstances outside of their control for a variety of reasons, including outbreaks and public health crises, such as the COVID-19 pandemic, that could shut down or cause limited staffing of their facilities. Our reliance on third parties increases the risk that we will not have sufficient quantities of our product candidates or drugs or such quantities at an acceptable cost or quality, which could delay, prevent or impair our development or commercialization efforts. If they are unable to do so, it could have a material adverse impact on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facilities used by contract manufacturers to manufacture our product candidates must be approved by the FDA or any applicable foreign regulatory authority pursuant to inspections that may be conducted after we submit our marketing applications to the FDA or any such foreign regulatory authority. We do not control the manufacturing process of, and will be completely dependent on, our contract manufacturers for compliance with cGMPs in connection with the manufacture of our product candidates. If our contract manufacturers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contract manufacturers to maintain adequate quality control, quality assurance and qualified personnel. If the FDA or any applicable foreign regulatory authority does not approve these facilities for the manufacture of our product candidates or if it withdraws any such approval in the future, we may need to find alternative manufacturing facilities, which would significantly impact, including causing substantial delay in, our ability to develop, obtain regulatory approval for or market our product candidates. 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drug candidates or drugs, operating restrictions and criminal prosecutions, any of which could significantly and adversely affect our business and supplies of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product candidates and any drugs that we may develop may compete with other product candidates and approved drugs for access to manufacturing facilities. There are a limited number of manufacturers that operate under cGMP regulations and that might be capable of manufacturing for us.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also expect to rely on other third parties to label, package, store and distribute product candidate supplies for our clinical trials. Any performance failure on the part of our distributors could delay clinical development or marketing approval of any future product candidates or commercialization of our products, producing additional losses and depriving us of potential drug revenue.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Any performance failure on the part of our existing or future manufacturers could delay clinical development, marketing approval or commercial drug supply after marketing approval. If our current contract manufacturers cannot perform as agreed, we may be required to replace such manufacturers causing additional costs and delays in identifying and qualifying any such replacement.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Material modifications in the methods of product candidate manufacturing or formulation may result in additional costs or delay.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manufacture of drugs is complex, and our third-party manufacturers may encounter difficulties in production. If any of our third-party manufacturers encounter such difficulties, our ability to provide adequate supply of our product candidates for clinical trials or our products for patients, if approved, could be delayed or prevented. Also, as product candidates progress through preclinical and clinical trials to marketing approval and commercialization, it is common that various aspects of the development program, such as manufacturing, suppliers and formulation, are altered in an effort to optimize yield and manufacturing batch size, minimize costs and achieve consistent quality and results. Any of these changes could cause our product candidates to perform differently and affect the results of planned clinical trials or other future clinical trials conducted with the modified manufacturing, materials or process. This could delay completion of clinical trials, require the conduct of additional clinical trials, such as bridging studies to demonstrate the product is substantially equivalent to product used during earlier clinical trials or the repetition of one or more clinical trials, increase clinical trial costs, delay approval of our product candidates and jeopardize our ability to commercialize our product candidates, if approved, and generate revenue.</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Development of product candidates in combination with other therapies could expose us to additional risks. Lack of third-party combination drugs may materially and adversely affect demand for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Even if any of our product candidates were to receive marketing approval or be commercialized for use in combination with other existing therapies, we would continue to be subject to the risks that the FDA, EMA or other comparable foreign regulatory authorities could revoke approval of the therapy used in combination with any of our product candidates, or safety, efficacy, manufacturing or supply issues could arise with these existing therapies. In addition, it is possible that existing therapies with which our product candidates are approved for use could themselves fall out of favor or be relegated to later lines of treatment. This could result in the need to identify other combination therapies for our product candidates or our own products being less successful commercially. We may also evaluate our product candidates in combination with one or more other cancer therapies that have not yet been approved for marketing by the FDA, EMA or comparable foreign regulatory authorities. We will not be able to market and sell any product candidate in combination with any such unapproved cancer therapies that do not ultimately obtain marketing approval. If the FDA, EMA or other comparable foreign regulatory authorities do not approve or revoke their approval of these other therapies, or if safety, efficacy, commercial adoption, manufacturing or supply issues arise with the therapies we choose to evaluate in combination with any other product candidate, we may be unable to obtain approval of or successfully market any one or all of the product candidates we develop.</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Further, to the extent the regulatory authorities require concurrent updates to the drug labeling of an approved drug product to include the combination use to allow approval of one of our product candidates, we will need to coordinate with the third-party manufacturer regarding such combination labeling changes, which could delay or impact the approval of our product candidate. Changes in standard of care and treatment paradigm can materially and adversely affect our business and results of operations, including the design of our clinical trials. Additionally, if the third-party providers of therapies or therapies in development used in combination with our product candidates are unable to produce sufficient quantities for clinical trials or for commercialization of our product candidates, or if the cost of combination therapies are prohibitive, our development and commercialization efforts would be impaired, which would have an adverse effect on our business, financial condition, results of operations and growth prospects.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product candidates may be administered in combination with drugs of other pharmaceutical companies as one regimen. In addition, we currently use, and plan to use in the future, third-party drugs in our development and clinical trials as controls for our studies, such as conducting Phase 2 and Phase 2/3 clinical trials of evorpacept in combination with pembrolizumab for HNSCC and trastuzumab for gastric/GEJ carcinoma, respectively. As a result, both the results of our clinical trials and the sales of our drugs may be affected by the availability of these third-party drugs. For instance, we entered into clinical trial collaboration and supply agreements with Merck, Eli Lilly and Jazz, pursuant to which our collaboration counterparties will supply doses of pembrolizumab, ramucirumab, and zanidatamab, respectively, for use in certain clinical trials. If the agreements with Merck and Eli Lilly are terminated before the trials are completed, we may need to find another source of pembrolizumab and ramucirumab, respectively, in order to continue our trials. Zanidatamab is not approved for commercial use by the FDA or any comparable regulatory authority, and as a result, no alternative source of zanidatamab exists. As such, if the agreement with Jazz is terminated before the trials are completed, our ability to continue the trials with zanidatamab would be limited.</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If other pharmaceutical companies discontinue these drugs for combination therapies in the future, regimens that use these combination drugs may no longer be prescribed, and we may not be able to introduce or find an alternative drug to be used in combination with our drugs at all or in a timely manner and on a cost-effective basis. Use of new combination drugs with our approved product candidates will require further regulatory approval before we can promote such new combination therapies. As a result, demand for our product candidates may be lowered, which would in turn materially and adversely affect our business and results of operations.</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not be able to obtain regulatory approval for our product candidates or commercialize any product candidates that may result from our development efforts, or may miss expected deadlines, if we are not able to maintain or secure agreements with the third parties that conduct the activities related to our clinical trials on acceptable terms, if these third parties do not perform their services as contractually required, or if these third parties fail to timely transfer any regulatory information held by them to us.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rely on entities outside of our control, which may include academic institutions, CROs, hospitals, clinics and other third-party strategic partners, to monitor, support, conduct and oversee preclinical studies and clinical trials of our current and future product candidates. As a result, we have less control over the timing and cost of these studies and the ability to recruit trial subjects than if we conducted these trials with our own personnel. If we are unable to maintain or enter into agreements with these third parties on acceptable terms, or if any such engagement is terminated prematurely, we may be unable to enroll subjects on a timely basis or otherwise conduct our clinical trials as planned. In addition, there is no guarantee that these third parties will devote adequate time and resources to our clinical trials or perform as required by our contract or in accordance with regulatory requirements, including maintenance of clinical trial information regarding our product candidates. For example, these third parties may be adversely impacted by the COVID-19 pandemic. If these third parties fail to meet expected deadlines, fail to transfer to us any regulatory information in a timely manner, fail to adhere to protocols or fail to act in accordance with regulatory requirements or our agreements with them, or if they otherwise perform in a substandard manner or in a way that compromises the quality or accuracy of their activities or the data they obtain, then clinical trials of our product candidates may be extended or delayed with additional costs incurred, or our data may be rejected by the FDA or other regulatory agencies. Ultimately, we are responsible for ensuring that each of our clinical trials is conducted in accordance with the applicable protocol, legal, regulatory and scientific standards, and our reliance on third parties does not relieve us of our regulatory responsibilities.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and our CROs are required to comply with cGCPs, regulations and guidelines enforced by the FDA and comparable foreign regulatory authorities for products in clinical development. Regulatory authorities enforce these cGCPs through periodic inspections of clinical trial sponsors, principal investigators and clinical trial sites. If we or any of our CROs fail to comply with applicable cGCPs, the clinical data generated in our clinical trials may be deemed unreliable and our submission of marketing applications may be delayed, or the FDA or foreign regulatory authority may require us to perform additional clinical trials before approving our marketing applications. Upon inspection, the FDA or foreign regulatory authority could determine that any of our clinical trials fail or have failed to comply with applicable cGCPs.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business also may be implicated if any of our CROs violates fraud and abuse or false claims laws and regulations or healthcare privacy and security laws.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If any of our third-party clinical trial sites terminate for any reason, we may experience the loss of follow-up information on subjects enrolled in our ongoing clinical trials unless we are able to transfer the care of those subjects to another qualified clinical trial site. Further, our CROs are not required to work indefinitely or exclusively with us. Our existing agreements with our CROs may be subject to termination by the counterparty upon the occurrence of certain circumstances. If any CRO terminates its agreement with us, the research and development of the relevant product candidate would be suspended, and our ability to research, develop and license future product candidates would be impaired. We may be required to devote additional resources to the development of our product candidates or seek a new CRO partner, and the terms of any additional arrangements that we establish may not be favorable to us. Switching or adding CROs or other service providers can involve substantial cost and require extensive management time and focus. In addition, there is a natural transition period when a new CRO or service provider commences work. As a result, delays may occur, which can materially impact our ability to meet our desired clinical development timelines. If we are required to seek alternative arrangements, the resulting delays and potential inability to find suitable replacements could materially and adversely impact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Even if we receive marketing approval for any of our product candidates, we may not achieve market acceptance, which would limit the revenue that we can generate from sales of any of our approved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Even if the FDA and applicable foreign regulatory authorities approve the marketing of any product candidates that we develop, physicians, patients, third-party payors or the medical community may not accept or use our product candidates. Efforts to educate the medical community and third-party payors on the benefits of our product candidates may require significant resources and may not be successful. Market acceptance of evorpacept and any other product candidates, if any are approved, will depend on a number of factors, including, among others:</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ability of evorpacept and our other product candidates to treat cancer or other applicable targeted diseases, as compared with other available drugs, treatments or therapies;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timing of market introduction of the product candidate as well as competitive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clinical indications for which a product candidate is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approval of other new therapies for the same indications;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prevalence and severity of any adverse side effects associated with evorpacept and our other product candidates;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limitations or warnings contained in the labeling approved for evorpacept or our other product candidates by the FDA or foreign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availability of alternative treatments and the potential and perceived advantages of our product candidates over alternative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size of the target patient population and the willingness of the target patient population to try new therapies and of physicians to prescribe these therapies;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strength and effectiveness of marketing and distribution support and timing of market introduction of competitive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publicity for our product candidates and competing products and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pricing and cost-effectiveness in relation to alternative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relative convenience and ease of administration;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ability to obtain sufficient third-party coverage or reimbursement, and the willingness of patients to pay out-of-pocket in the absence of third-party coverage;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likelihood that the FDA or any foreign regulatory authority may impose additional requirements that limit the promotion, advertising, distribution or sales of our product candidates.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Adverse events in clinical trials for our product candidates or in clinical trials of others developing similar products and the resulting publicity, as well as any other adverse events in the field of immuno-oncology that may occur in the future, could result in a decrease in demand for evorpacept or any other product candidate that we may develop. If public perception is influenced by claims that the use of cancer immunotherapies is unsafe, whether related to our therapies or those of our competitors, our products may not be accepted by the general public or the medical community. Future adverse events in immuno-oncology or the biopharmaceutical industry generally could also result in greater governmental regulation and stricter labeling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If any of our product candidates is approved but does not achieve an adequate level of acceptance by patients, physicians and third-party payors, we may not generate sufficient revenue to become or remain profitable and our business may be harmed.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have never commercialized a product candidate and we may lack the necessary expertise, personnel and resources to successfully commercialize any of our products that receive regulatory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currently have no marketing and sales organization and we have never commercialized a product candidate. To achieve commercial success of our product candidates, if any are approved, we will have to develop our own medical affairs, sales, marketing and supply capabilities or outsource these activities to a third party.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If any of our product candidates ultimately receives regulatory approval, we may choose to establish an internal marketing and sales organization with technical expertise and supporting distribution capabilities to commercialize each such product in major markets, which will be expensive and time consuming. We have no prior experience as a company in the marketing, sale and distribution of pharmaceutical products and there are significant risks involved in building and managing a sales organization. Factors that may affect our ability to commercialize our product candidates on our own include recruiting and retaining adequate numbers of effective sales and marketing personnel, obtaining access to or persuading adequate numbers of physicians to prescribe our product candidates and other unforeseen costs associated with creating an independent sales and marketing organization. Developing a sales and marketing organization requires significant investment, is time-consuming and could delay the launch of our product candidates. We may not be able to build an effective sales and marketing organization in the United States, the European Union or other key global markets. If we are unable to build our own distribution and marketing capabilities or to find suitable partners for the commercialization of our product candidates, we may have difficulties generating revenue from them.</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may also choose to collaborate with third parties that have direct sales forces and established distribution systems, either to augment our own sales force and distribution systems or in lieu of our own sales force and distribution systems. We may not be able to enter into collaborations or hire consultants or external service providers to assist us in sales, marketing and distribution functions on acceptable financial terms, or at all. In addition, our product revenue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are not successful in commercializing our products, either on our own or through arrangements with one or more third parties, we may not be able to generate any future product revenue and we would incur significant additional losses. We have no internal sales, marketing or distribution capabilities.</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The market opportunities for the product candidates we develop, if approved, may be limited to certain smaller patient subsets.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There is no guarantee that the product candidates we develop, even if approved, would be approved for the currently proposed indications. We may have to conduct additional clinical trials that may be costly, time-consuming and subject to risk. Regulators, like the FDA, may require us to narrow our indications to smaller patient subsets, and the number of patients in such subsets may turn out to be lower than expected.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Our current and future product candidates may have undesirable side effects that may delay or prevent marketing approval or, if approval is received, require them to be taken off the market, require them to include new safety warnings, contraindications or precautions, or otherwise limit their sales. No regulatory agency has made a determination that any of our product candidates are safe, pure, potent or effective for use by the target patient population for any indication.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lead product candidate, evorpacept, is at an early stage of clinical development and not all adverse effects can be predicted or anticipated. Unforeseen side effects from evorpacept or any of our future product candidates may arise at any time during clinical development or, if approved by regulatory authorities, after the approved drug product has been marketed. Any undesirable or unacceptable side effects of evorpacept or our future product candidates could interrupt, delay or halt clinical trials, and result in delay of, or failure to obtain, marketing approval from the FDA or comparable international regulatory authorities, or result in marketing approval from the FDA or comparable international regulatory authorities with restrictive label warnings or for limited patient populations. Ultimately, such side effects could result in product liability claims. No regulatory agency has made any determination that any of our product candidates or discovery programs is safe or effective for use by the general public for any indication.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Even if any of our product candidates receive marketing approval, if we or others later identify undesirable or unacceptable side effects caused by such products:</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regulatory authorities may require us to take our approved product off the market;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regulatory authorities may require the addition of labeling statements, specific warnings, contraindication, precaution or field alerts to physicians and pharmacies;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we may be required to change the way the product is administered, including changing the dose and/or schedule of administration, limit the patient population who can use the product or conduct additional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we may be subject to limitations on how we may promote the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sales of the product may decrease significantly;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we may be subject to litigation or product liability claims;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reputation may suffer.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Any of these events could prevent us from achieving or maintaining market acceptance of the affected product or could substantially increase commercialization costs and expenses, which in turn could delay or prevent us from generating revenue from the sale of any future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Failure to obtain or maintain adequate coverage and reimbursement for our product candidates, if approved, could limit our ability to market those products and decrease our ability to generate revenue.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availability and adequacy of coverage and reimbursement by governmental healthcare programs such as Medicare and Medicaid, private health insurers and other third-party payors are essential for most patients to be able to afford products such as our product candidates, if approved. Our ability to achieve acceptable levels of coverage and reimbursement for products by governmental authorities, private health insurers and other organizations will have an effect on our ability to successfully commercialize our product candidates. Coverage under certain government programs, such as Medicare, Medicaid and TRICARE, may not be available for certain of our product candidates. Assuming we obtain coverage for a given product by a third-party payor, the resulting reimbursement payment rates may not be adequate or may require co-payments that patients find unacceptably high. We cannot be sure that coverage and reimbursement in the United States, the European Union or elsewhere will be available for any product that we may develop, and any reimbursement that may become available may be decreased or eliminated in the future.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Third-party payors increasingly are challenging prices charged for pharmaceutical products and services, and many third-party payors may refuse to provide coverage and reimbursement for particular drugs when an equivalent generic drug, biosimilar or a less expensive therapy is available. It is possible that a third-party payor may consider our product candidates and other therapies as substitutable and only offer to reimburse patients for the less expensive product. Even if we show improved efficacy and potency or improved convenience of administration with our product candidates, pricing of existing drugs may limit the amount we will be able to charge for our product candidates. These payors may deny or revoke the reimbursement status of a given product or establish prices for new or existing marketed products at levels that are too low to enable us to realize an appropriate return on our investment in product development. If reimbursement is not available or is available only at limited levels, we may not be able to successfully commercialize our product candidates and may not be able to obtain a satisfactory financial return on products that we may develop.</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Obtaining and maintaining reimbursement status is time-consuming and costly. No uniform policy for coverage and reimbursement for products exists among third-party payors in the United States. Therefore, coverage and reimbursement for products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Furthermore, rules and regulations regarding reimbursement change frequently, in some cases at short notice, and we believe that changes in these rules and regulations are likely.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has become very intense. As a result, increasingly high barriers are being erected to the entry of new products. The continuing efforts of the government, insurance companies, managed care organizations and other payors of health care services to contain or reduce costs of health care may adversely affect:</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demand for any products for which we may obtain regulatory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ability to set a price that we believe is fair for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ability to obtain and maintain coverage and adequate reimbursement for a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ability to generate revenue and achieve or maintain profitability;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level of taxes that we are required to pay. </w:t>
      </w:r>
    </w:p>
    <w:p>
      <w:pPr>
        <w:pStyle w:val="TextBody"/>
        <w:bidi w:val="0"/>
        <w:spacing w:before="120" w:after="283"/>
        <w:jc w:val="left"/>
        <w:rPr>
          <w:rFonts w:ascii="Times New Roman" w:hAnsi="Times New Roman"/>
          <w:sz w:val="20"/>
        </w:rPr>
      </w:pPr>
      <w:r>
        <w:rPr>
          <w:rFonts w:ascii="Times New Roman" w:hAnsi="Times New Roman"/>
          <w:b/>
          <w:i/>
          <w:color w:val="000000"/>
          <w:sz w:val="20"/>
        </w:rPr>
        <w:t>The FDA and other regulatory agencies actively enforce the laws and regulations prohibiting the promotion of off-label uses.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FDA strictly regulates manufacturers’ promotional claims of drug products. In particular, a product may not be promoted for uses that are not approved by the FDA as reflected in the FDA-approved labeling. The FDA, the Department of Justice, the Inspector General of the Department of Health and Human Services, or HHS, among other government agencies, actively enforce the laws and regulations prohibiting the promotion of off-label uses, and a company that is found to have improperly promoted off-label uses may be subject to significant liability, including large civil and criminal fines, penalties and enforcement actions. The FDA has also imposed consent decrees or permanent injunctions under which specified promotional conduct is changed or curtailed for companies that engaged in such prohibited activities. If we cannot successfully manage the promotion of our approved product candidates, we could become subject to significant liability, which would materially adversely affect our business and financial condition.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Related to Government Regulation</w:t>
      </w:r>
    </w:p>
    <w:p>
      <w:pPr>
        <w:pStyle w:val="TextBody"/>
        <w:bidi w:val="0"/>
        <w:spacing w:before="120" w:after="283"/>
        <w:jc w:val="left"/>
        <w:rPr>
          <w:rFonts w:ascii="Times New Roman" w:hAnsi="Times New Roman"/>
          <w:sz w:val="20"/>
        </w:rPr>
      </w:pPr>
      <w:r>
        <w:rPr>
          <w:rFonts w:ascii="Times New Roman" w:hAnsi="Times New Roman"/>
          <w:b/>
          <w:i/>
          <w:color w:val="000000"/>
          <w:sz w:val="20"/>
        </w:rPr>
        <w:t>Even if we receive regulatory approval to commercialize any of our product candidates, we will be subject to ongoing regulatory obligations and continued regulatory review with respect to our drugs, which will result in significant additional expense.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Any regulatory approvals that we receive for our product candidates may be subject to limitations on the approved indicated uses for which the product may be marketed, or subject to certain conditions of approval and may contain requirements for potentially costly post-approval trials and surveillance to monitor the safety, purity and efficacy/potency of the marketed product. For any approved drug, we will be subject to ongoing regulatory obligations and extensive oversight by regulatory authorities, including with respect to manufacturing processes, labeling, packaging, distribution, adverse event reporting, storage, advertising, promotion and recordkeeping for the product. These requirements include submissions of safety and other post-approval information and reports, as well as continued compliance with cGMPs and cGCPs for any clinical trials that we conduct post-approval. Later discovery of previously unknown problems with a drug, including adverse events of unanticipated severity or frequency, or with third-party manufacturers or manufacturing processes, or failure to comply with regulatory requirements, may result in, among other things:</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restrictions on the marketing or manufacturing of the drug;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withdrawal of the drug from the market or voluntary or mandatory product recalls;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adverse publicity, fines, warning letters or holds on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refusal by the FDA or any other applicable regulatory authority to approve pending applications or supplements to approved applications filed by us, or suspension or revocation of product license approvals;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drug product seizure or detention, or refusal to permit the import or export of product candidates;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injunctions or the imposition of civil or criminal penalties.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occurrence of any of the foregoing could have a material and adverse effect on our business and results of operations. Further, the policies of the FDA or other comparable foreign regulatory authorities may change, and additional government regulations may be enacted that could prevent, limit or delay regulatory approval of our product candidates or impact any already approved drugs.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generate revenue or achieve or sustain profitability.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The regulatory approval processes of the FDA and comparable foreign regulatory authorities are lengthy, time-consuming and inherently unpredictable, which could lead to our inability to generate product revenue. Even if we obtain FDA approval of any of our product candidates, we may never obtain approval or commercialize such products outside of the United States, which would limit our ability to realize their full market potential.</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time required to obtain approval by the FDA and comparable foreign regulatory authorities is unpredictable, typically takes many years following the commencement of clinical trials and depends upon numerous factors, including the type, complexity and novelty of the product candidates involved. Seeking foreign regulatory approvals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our product candidates in those countries.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For example, the FDA’s Oncology Center of Excellence initiated Project Optimus to reform the dose optimization and dose selection paradigm in oncology drug development and Project FrontRunner to help develop and implement strategies to support approvals in the early clinical setting, among other goals. How the FDA plans to implement these goals and their impact on specific clinical programs and the industry are unclear. Regulatory authorities have substantial discretion in the approval process and may refuse to accept any application or may decide that our data are insufficient for approval and require additional preclinical, clinical or other data. Satisfying these and other regulatory requirements is costly, time consuming, uncertain and subject to unanticipated delays. Our failure to obtain regulatory approval in any country may delay or have negative effects on the process for regulatory approval in other countries. Even if we eventually complete clinical testing and receive approval of any regulatory filing for our product candidates, the FDA and comparable foreign regulatory authorities may approve our product candidates for a more limited indication or a narrower patient population than we originally requested. We have not submitted for or obtained regulatory approval for any product candidate and it is possible that we may never obtain regulatory approval for evorpacept, or any other product candidates we seek to develop in the future. If we fail to comply with regulatory requirements in international markets or to obtain and maintain required approvals, our target market will be reduced and our ability to realize the full market potential of our product candidates will be harmed.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Applications for our product candidates could fail to receive regulatory approval for many reasons, including but not limited to the following: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FDA or comparable international regulatory authorities may disagree with the design, implementation or results of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FDA or comparable international regulatory authorities may determine that our product candidates are not safe and effective, only moderately effective or have undesirable or unintended side effects, toxicities or other characteristics that preclude our obtaining marketing approval or prevent or limit commercial use;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population studied in the clinical program may not be sufficiently broad or representative to assure efficacy and potency and safety in the full population for which we seek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FDA or comparable international regulatory authorities may disagree with our interpretation of data from preclinical studies or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data collected from clinical trials of our product candidates may not be sufficient to support the submission of a Biologics License Application, New Drug Application or other submission or to obtain regulatory approval in the United States or elsewhere;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we may be unable to demonstrate to the FDA or comparable international regulatory authorities that a product candidate’s risk-benefit ratio for its proposed indication is acceptable;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FDA or comparable international regulatory authorities may fail to approve the manufacturing processes, test procedures and specifications or facilities of third-party manufacturers with which we contract for clinical and commercial supplies;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approval policies or regulations of the FDA or international foreign regulatory authorities may significantly change in a manner rendering our clinical data insufficient for approval.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order to market any product candidates outside of the United States, we must establish and comply with numerous and varying regulatory requirements of other countries regarding safety and efficacy and potency and approval standards. Clinical trials conducted in one country may not be accepted by regulatory authorities in other countries, and regulatory approval in one country does not mean that regulatory approval will be obtained in any other country.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ability of the FDA to review and approve new products can be affected by a variety of factors, including government budget and funding levels, ability to hire and retain key personnel and accept the payment of user fees, government shutdowns, including as a result of budget delays or other circumstances like the COVID-19 pandemic and statutory, regulatory and policy changes. Average review times at the agency have fluctuated in recent years as a result. This lengthy approval process, as well as the unpredictability of the results of clinical trials, may result in our failing to obtain regulatory approval to market any of our product candidates, which would significantly harm our business, results of operations and prospects.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While we have received certain FDA Fast Track designations, such Fast Track designations may not lead to a faster development or regulatory review or approval process, and do not increase the likelihood that the drug will receive marketing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FDA granted Fast Track designation for evorpacept in combination with pembrolizumab, platinum, and fluorouracil for the first-line treatment of adult patients with metastatic or unresectable, recurrent HNSCC in February 2020, for evorpacept in combination with trastuzumab, ramucirumab and paclitaxel for the treatment of patients with HER2-overexpressing advanced gastric or GEJ adenocarcinoma with disease progression on or after prior trastuzumab, and fluoropyrimidine or platinum-containing chemotherapy in January 2020, and for evorpacept in combination with pembrolizumab for first-line treatment of adult patients with metastatic or unresectable, recurrent HNSCC whose tumors express PD-L1 in July 2022. If a product candidate is intended for the treatment of a serious condition and preclinical or clinical data demonstrate the potential to address unmet medical need for such condition, a sponsor may apply for FDA Fast Track designation. Even though we received these Fast Track designations for evorpacept, Fast Track designation does not ensure that we will receive marketing approval or that approval will be granted within any particular timeframe. We may not experience a faster development or regulatory review or approval process with Fast Track designation compared to conventional FDA procedures. In addition, the FDA may withdraw Fast Track designation if it believes that the designation is no longer supported by data from our clinical development program. Fast Track designation alone does not guarantee qualification for the FDA’s priority review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While we have received certain orphan drug designations from the FDA and the European Commission, we may be unable to maintain the benefits associated with such orphan drug designation. If we decide to seek orphan drug designation for additional indications for our product candidates in the future, we may be unsuccessful.</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Under the Orphan Drug Act, the FDA may designate a product candidate as an orphan drug if it is a drug intended to treat a rare disease or condition, which is generally defined as a patient population of fewer than 200,000 individuals annually in the United States. In January 2022, the FDA’s Office of Orphan Products Development granted Orphan Drug Designation, ODD, to evorpacept for treatment for gastric/GEJ cancer. We may seek ODD for certain additional indications for our product candidates in the future. ODD neither shortens the development time or regulatory review time of a product candidate nor gives the product candidate any advantage in the regulatory review or approval process. Generally, if a product candidate with ODD subsequently receives the first marketing approval for the indication for which it has such designation, the drug is entitled to a period of marketing exclusivity that precludes the FDA from approving another marketing application for the same drug for the same indication for seven years. Therefore, if our competitors are able to obtain orphan product exclusivity for their product candidates in the same indications we are pursuing, we may not be able to have competing product candidates approved in those indications by the FDA for a significant period of time. There are also limited circumstances where the FDA may reduce the seven-year exclusivity for a product candidate with an orphan drug designation where other product candidates show clinical superiority to the product with orphan exclusivity or if the FDA finds that the holder of the orphan exclusivity has not shown that it can assure the availability of sufficient quantities of the orphan product to meet the needs of patients with the disease or condition for which the drug was designated. However, even if one of our product candidates receives orphan exclusivity, the FDA can still approve other drugs that have a different active ingredient for use in treating the same indication or disease. Furthermore, the FDA can waive orphan exclusivity if we are unable to manufacture a sufficient supply of our product.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June 2023, the European Commission granted ODD to evorpacept for the treatment of patients with gastric/GEJ cancer. In the European Union approved orphan medicines are granted 10 years of market exclusivity, which can be extended to 12 years if a pediatric investigation plan is completed. The market exclusivity period can be shortened if the approved orphan drug becomes commercially successful. An orphan designation can also be revoked if, for example, the prevalence of the condition increased to more than 5 per 10,000 individuals of the total population, if additional therapies are introduced after the initial designation and have improved the morbidity or mortality of a condition so that it is no longer chronically debilitating and/or life-threatening, or if we are unable to demonstrate significant benefit over existing authorized products. We can provide no assurance that we will be able to maintain all the benefits associated with the designation or that we will be successful in commercializing our product if approved.</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Current and future legislation may increase the difficulty and cost for us to commercialize our products, if approved, and affect the prices we may obtain. We may face difficulties from changes to current regulations and future legislation.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Third-party payors, whether domestic or foreign, or governmental or commercial, are developing increasingly sophisticated methods of controlling healthcare costs. In both the United States and certain foreign jurisdictions, there have been, and likely will continue to be, legislative and regulatory proposals at the foreign, federal and state levels directed at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demand for our drugs, if we obtain regulatory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ability to receive or set a price that we believe is fair for our drugs;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ability to generate revenue and achieve or maintain profitability;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level of taxes that we are required to pay;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availability of capital.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Patient Protection and Affordable Care Act, as amended by the Health Care and Education Reconciliation Act, or collectively ACA, was enacted in 2010 and includes measures that have significantly changed the way healthcare is financed by both governmental and private insurers. The ACA continues to impact the U.S. pharmaceutical industry. Since its enactment, there have been judicial, executive and Congressional challenges to certain aspects of the ACA. In June 2021, the United States Supreme Court held that Texas and other challengers had no legal standing to challenge the ACA, dismissing the case without specifically ruling on the constitutionality of the ACA. Accordingly, the ACA remains in effect in its current form. It is possible that the ACA will be subject to judicial or Congressional challenges in the future. It is unclear how additional challenges and healthcare reform measures of the Biden administration will impact the ACA. Complying with any new legislation or reversing changes implemented under the ACA could be time-intensive and expensive, resulting in a material adverse effect on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addition, other legislative changes have been proposed and adopted since the ACA was enacted. These changes include aggregate reductions to Medicare payments to providers of up to 2% per fiscal year pursuant to the Budget Control Act of 2011, which began in 2013 and will remain in effect through 2031, subject to certain exceptions. The Consolidated Appropriations Act, 2023, extends the 2% Medicare sequester for the first six months of FY 2032 and revises the sequester percentage up to 2% for FY 2030 and 2031.</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There also has recently been heightened governmental scrutiny over the manner in which drug manufacturers set prices for their drugs, which has resulted in several U.S.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For example, under the American Rescue Plan Act of 2021, effective January 1, 2024, the statutory cap on Medicaid Drug Rebate Programs rebates that manufacturers pay to state Medicaid programs will be eliminated. Elimination of this cap may require pharmaceutical manufacturers to pay more in rebates than it receives on the sale of products, which could have material impact on our business. Further, in July 2021, the Biden administration released an executive order, “Promoting Competition in the American Economy,” with multiple provisions aimed at increasing competition for prescription drugs. Congress is considering legislation that, if passed, could have significant impact on prices of prescription drugs covered by Medicare, including limitations on drug price increases. In August 2022, Congress passed the Inflation Reduction Act of 2022,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Various industry stakeholders, including the U.S. Chamber of Commerce, the National Infusion Center Association, the Global Colon Cancer Association, and the Pharmaceutical Research and Manufacturers of America, have initiated lawsuits against the federal government asserting that the price negotiation provisions of the Inflation Reduction Act are unconstitutional. The impact of these legislative, executive, and administrative actions and agency rules implemented by the government on us and the pharmaceutical industry as a whole is unclear. The implementation of cost containment measures or other healthcare reforms may prevent us from being able to generate revenue, attain profitability, or commercialize our product candidates if approved.</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a number of states are considering or have recently enacted state drug price transparency and reporting laws that could substantially increase our compliance burdens and expose us to greater liability under such state laws once we begin commercialization.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ACA, as well as other healthcare reform measures that may be adopted in the future, may result in additional reductions in Medicare and other healthcare funding, more rigorous coverage criteria, lower reimbursement and new payment methodologies. This could lower the price that we receive for any approved drug product. Any denial in coverage or reduction in reimbursement from Medicare or other government funded programs may result in a similar denial or reduction in payments from private payors, which may prevent us from being able to generate sufficient revenue, attain profitability or commercialize our product candidates, if approved.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the European Union, similar political, economic and regulatory developments may affect our ability to profitably commercialize our current or any future product candidates. In addition to continuing pressure on prices, price controls and cost containment measures, legislative developments at the European Union or member state level may result in significant additional requirements or obstacles that may increase our operating costs. In international markets, reimbursement and healthcare payment systems vary significantly by country, and many countries have instituted price ceilings on specific products and therapies. Our future product candidates, if any, might not be considered medically reasonable and necessary for a specific indication or cost-effective by third-party payors, an adequate level of reimbursement might not be available for such product candidates and third-party payors’ reimbursement policies might adversely affect our ability to sell any future product candidates profitably.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candidate in a particular country, but then be subject to price regulations that delay the commercial launch of the product candidate, possibly for lengthy time periods, and negatively impact the revenue that are generated from the sale of the product in that country. If reimbursement of such product candidates is unavailable or limited in scope or amount, or if pricing is set at unsatisfactory levels, or if there is competition from lower-priced cross-border sales, our profitability will be negatively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our product candidates may lose any marketing approval that may have been obtained and we may not achieve or sustain profitability, which would adversely affect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Our business operations and current and future relationships with investigators, health care professionals, consultants, third-party payors and customers will be subject, directly or indirectly, to federal and state healthcare fraud and abuse laws, false claims laws, health information privacy and security laws and other healthcare laws and regulations. If we are unable to comply, or have not fully complied, with such laws, we could face substantial penalties.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Although we do not currently have any products on the market, our operations may be directly, or indirectly through our prescribers, consultants, customers and third-party payors, subject to various U.S. federal and state healthcare laws and regulations, including, without limitation, the U.S. federal Anti-Kickback Statute, the U.S. federal civil and criminal false claims laws and the Physician Payments Sunshine Act and regulations. Healthcare providers and others play a primary role in the recommendation and prescription of any products for which we obtain marketing approval. These laws may impact, among other things, our current business operations, including our clinical research activities and proposed sales, marketing and education programs and constrain the business of financial arrangements and relationships with healthcare providers, physicians and other parties through which we market, sell and distribute our products for which we obtain marketing approval. In addition, we may be subject to patient data privacy and security regulation by both the U.S. federal government and the states in which we conduct our business. Finally, we may be subject to additional healthcare, statutory and regulatory requirements and enforcement by foreign regulatory authorities in jurisdictions in which we conduct our business. The laws that may affect our ability to operate are described in the following paragraphs:</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U.S. federal Anti-Kickback Statute prohibits, among other things, persons or entities from knowingly and willfully soliciting, offering, receiving or paying any remuneration (including any kickback, bribe or certain rebates), directly or indirectly, overtly or covertly, in cash or in kind, to induce or reward either the referral of an individual for, or the purchase, lease, order or recommendation of, any good, facility, item or service, for which payment may be made, in whole or in part, under U.S. federal and state healthcare programs such as Medicare and Medicaid. Moreover, the ACA provides that the government may assert that a violation of the federal Anti-Kickback Statute also constitutes a false or fraudulent claim for purposes of the civil False Claims Act, or FCA.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federal civil and criminal false claims, including the civil FCA, that can be enforced by private citizens through civil whistleblower or qui tam actions,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 No specific intent to defraud is required under the civil FCA. The criminal FCA provides for criminal penalties for submitting false claims, including imprisonment and criminal fines.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Civil Monetary Penalty Act of 1981 and implementing regulations impose penalties against any person or entity that, among other things, is determined to have presented or caused to be presented a claim to a federal healthcare program that the person knows or should know is for an item or service that was not provided as claimed or is false or fraudulent, or offering or transferring remuneration to a federal healthcare beneficiary that a person knows or should know is likely to influence the beneficiary’s decision to order or receive items or services reimbursable by the government from a particular provider or supplier.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Health Insurance Portability and Accountability Act, or HIPAA,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val="false"/>
          <w:color w:val="000000"/>
          <w:sz w:val="20"/>
        </w:rPr>
        <w:t xml:space="preserve">HIPAA, as amended by the Health Information Technology for Economic and Clinical Health Act of 2009, or HITECH, and its implementing regulations, as amended again by the Modifications to the HIPAA Privacy, Security, Enforcement and Breach Notification Rules Under HITECH and the Genetic Information Nondiscrimination Act and Other Modifications to the HIPAA Rules, commonly referred to as the Final HIPAA Omnibus Rule, published in January 2013, impose certain obligations, including mandatory contractual terms, on covered entities subject to the Final HIPAA Omnibus Rule, </w:t>
      </w:r>
      <w:r>
        <w:rPr>
          <w:rFonts w:ascii="Times New Roman" w:hAnsi="Times New Roman"/>
          <w:b w:val="false"/>
          <w:i/>
          <w:color w:val="000000"/>
          <w:sz w:val="20"/>
        </w:rPr>
        <w:t>i.e.</w:t>
      </w:r>
      <w:r>
        <w:rPr>
          <w:rFonts w:ascii="Times New Roman" w:hAnsi="Times New Roman"/>
          <w:b w:val="false"/>
          <w:color w:val="000000"/>
          <w:sz w:val="20"/>
        </w:rPr>
        <w:t xml:space="preserve">, health plans, healthcare clearinghouses and healthcare providers, and their business associates that perform certain services for or on their behalf involving the use or disclosure of individually identifiable health information as well as their covered subcontractors with respect to safeguarding the privacy, security and transmission of individually identifiable health information.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U.S. Federal Food, Drug and Cosmetic Act prohibits, among other things, the adulteration or misbranding of drugs, biologics and medical devices.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federal Physician Payments Sunshine Act requires applicable manufacturers of covered drugs, medical devices, biologics and medical supplies for which payment is available under Medicare, Medicaid or the Children’s Health Insurance Program, with specific exceptions, to annually report to Centers for Medicare &amp; Medicaid Services, or CMS, information regarding payments and other transfers of value made to covered recipients, including physicians (defined to include doctors, dentists, optometrists, podiatrists and chiropractors), certain non-physician healthcare professionals (such as physician assistants and nurse practitioners, among others), and teaching hospitals as well as information regarding ownership and investment interests held by physicians and their immediate family members.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distribution of pharmaceutical products is subject to additional requirements and regulations, including extensive record-keeping, licensing, price reporting, storage and security requirements intended to prevent the unauthorized sale of pharmaceutical products. Pricing and rebate programs must also comply with the Medicaid rebate requirements of the U.S. Omnibus Budget Reconciliation Act of 1990 and more recent requirements in the ACA. If products are made available to authorized users of the Federal Supply Schedule of the General Services Administration, additional laws and requirements apply. Manufacturing, sales, promotion and other activities also are potentially subject to federal and state consumer protection and unfair competition laws.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Analogous state laws and regulations impose additional obligations,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state laws and regulations that require drug manufacturers to file reports relating to pricing and marketing information, which requires tracking gifts and other remuneration and items of value provided to healthcare professionals and entities; state and local laws requiring the registration of pharmaceutical sales representatives; and state laws governing the privacy and security of health information in certain circumstances, many of which differ from each other in significant ways and often are not preempted by HIPAA, thus complicating compliance efforts.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European and other foreign law equivalents of each of the laws also impose legal requirements, including reporting requirements detailing interactions with and payments to healthcare providers.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U.S. government funded healthcare programs, such as Medicare and Medicaid, or similar programs in other countries or jurisdictions, disgorgement, imprisonment, contractual damages, reputational harm, diminished profits, additional reporting requirements and oversight, and the delay, reduction, termination or restructuring of our operations. Further, defending against any such actions can be costly and time-consuming,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is found not to be in compliance with applicable laws, they may be subject to significant criminal, civil or administrative sanctions, including exclusions from government funded healthcare programs and imprisonment. If any of the above occur, it could adversely affect our ability to operate our business and our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If we, our employees, independent contractors, principal investigators, consultants, vendors or agents acting on our behalf fail to comply with healthcare laws and regulatory requirements, we could be subject to fines, penalties or enforcement actions, or incur costs that could have a material adverse effect on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are exposed to the risk of employee fraud or other misconduct as well as risks of noncompliance by contractors or agents acting on our behalf. Misconduct by employees and independent contractors, such as principal investigators, consultants and vendors, could include intentional failures to comply with FDA regulations, to provide accurate information to the FDA, to comply with health care fraud and abuse laws, to report financial information or data accurately or to disclose unauthorized activities to us. In particular, research, sales, marketing and business arrangements in the health care industry are subject to extensive laws intended to prevent fraud, misconduct, kickbacks, self-dealing and other abusive practices. These laws may restrict or prohibit a wide range of research, pricing, discounting, marketing and promotion, sales commission, customer incentive programs and other business arrangements. Employee and independent contractor misconduct could also involve the improper use of information obtained in the course of clinical trials, which could result in regulatory sanctions and serious harm to our reputation. We have adopted a written code of business conduct and ethics, but it is not always possible to identify and deter employee or independent contractor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exclusion from participation in government-funded healthcare programs, or other sanctions.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If we do not comply with laws regulating the protection of the environment and health and human safety, our business could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are subject to numerous environmental, health and safety laws and regulations, including those governing laboratory procedures and the handling, use, storage, treatment and disposal of hazardous materials and wastes. Our research and development involve, and may in the future involve, the use of potentially hazardous materials and chemicals. Our operations may produce hazardous waste products. Although we believe that our safety procedures for handling and disposing of these materials comply with the standards mandated by local, state and federal laws and regulations, the risk of accidental contamination or injury from these materials cannot be eliminated. If an accident occurs, we could be held liable for resulting damages, which could be substantial. We are also subject to numerous environmental, health and workplace safety laws and regulations and fire and building codes, including those governing laboratory procedures, exposure to blood-borne pathogens, use and storage of flammable agents and the handling of biohazardous materials. Although we maintain workers’ compensation insurance as prescribed by the State of California to cover us for costs and expenses, we may incur costs and expenses due to injuries to our employees resulting from the use of these materials, as this insurance may not provide adequate coverage against potential liabilities. We do not maintain insurance for environmental liability or toxic tort claims that may be asserted against us. Additional laws and regulations affecting our operations may be adopted in the future. Current or future laws and regulations may impair our research, development or commercialization efforts. We may incur substantial costs to comply with, and substantial fines or penalties if we violate, any of these laws or regulations.</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Disruptions at the FDA, SEC and other government agencies caused by funding shortages or global health concerns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ability of the FDA to review and approve new products can be affected by a variety of factors, including government budget and funding levels and the ability to hire and retain key personnel.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 For example, the U.S. government has shut down in the past, forcing regulatory authorities such as the FDA and SEC to furlough employees, and in response to the COVD-19 pandemic, the FDA has postponed certain inspections. While the FDA has largely caught up with domestic preapproval inspections, it continues to work through its backlog of foreign inspections. On May 11, 2023, the federal government ended the COVID-19 public health emergency, which ended a number of temporary changes made to federally funded programs while some continue to be in effect. The full impact of this termination of the national emergency and the wind-down of the public health emergency on FDA and other regulatory policies and operations are unclear. If global health concerns continue to prevent the FDA or other regulatory authorities from conducting their regular inspections, reviews, or other regulatory activities, or if the FDA and other agencies experience other delays, backlogs or disruptions, it could significantly impact the ability of the FDA or other regulatory authorities to timely review and process our regulatory submissions, which could have a material adverse effect on our business.</w:t>
      </w:r>
    </w:p>
    <w:p>
      <w:pPr>
        <w:pStyle w:val="TextBody"/>
        <w:bidi w:val="0"/>
        <w:spacing w:before="120" w:after="283"/>
        <w:jc w:val="left"/>
        <w:rPr>
          <w:rFonts w:ascii="Times New Roman" w:hAnsi="Times New Roman"/>
          <w:sz w:val="20"/>
        </w:rPr>
      </w:pPr>
      <w:r>
        <w:rPr>
          <w:rFonts w:ascii="Times New Roman" w:hAnsi="Times New Roman"/>
          <w:b/>
          <w:i/>
          <w:color w:val="000000"/>
          <w:sz w:val="20"/>
        </w:rPr>
        <w:t>Our business activities may be subject to the Foreign Corrupt Practices Act and similar anti-bribery and anti-corruption laws, as well as U.S. and certain foreign export controls, trade sanctions and import laws and regulations, all of which can subject us to criminal liability and other serious consequences for violations.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business activities may be subject to the Foreign Corrupt Practices Act, or FCPA, and similar anti-bribery or anti-corruption laws, regulations or rules of other countries in which we operate. These laws generally prohibit companies and their employees and third party business partners, representatives and agents from engaging in corruption and bribery, including offering, promising, giving or authorizing the provision of anything of value, either directly or indirectly, to a government official or commercial party in order to influence official action, direct business to any person, gain any improper advantage, or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government officials, including officials of non-U.S. governments.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Additionally, in many countries, healthcare providers are employed by the government, and the purchasers of biopharmaceuticals are government entities. As a result, our dealings with these providers and purchasers are subject to regulation and such healthcare providers and employees of such purchasers may be considered “foreign officials” as defined in the FCPA. Recently, the SEC and Department of Justice have increased their FCPA enforcement activities with respect to biotechnology companies. In addition to our own employees, we leverage third parties to conduct our business abroad, such as obtaining government licenses and approvals. We and our third-party business partners, representatives and agents may have direct or indirect interactions with officials and employees of government agencies, state-owned or affiliated entities and we may be held liable for the corrupt or other illegal activities of our employees, our third-party business partners, representatives and agents, even if we do not explicitly authorize such activities. There is no certainty that our employees or the employees of our third-party business partners, representatives and agents will comply with all applicable laws and regulations, particularly given the high level of complexity of these laws. Violations of these laws and regulations could result in whistleblower complaints, adverse media coverage, investigations, loss of export privileges, debarment from U.S. government contracts, substantial diversion of management’s attention, significant legal fees and fines, severe criminal or civil sanctions against us, our officers or our employees, disgorgement and other penalties and remedial measures and prohibitions on the conduct of our business. Any such violations could include prohibitions on our ability to offer our products in one or more countries and could materially damage our reputation, our brand, our international expansion efforts, our ability to attract and retain employees, and our business, prospects, operating results, financial condition and stock price.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addition, our products may be subject to U.S. and foreign export controls, trade sanctions and import laws and regulations. Governmental regulation of the import or export of our products, or our failure to obtain any required import or export authorization for our products, when applicable, could harm our business. Furthermore, U.S. export control laws and economic sanctions prohibit the provision of certain products and services to countries, governments and persons targeted by U.S. sanctions. If we fail to comply with export and import regulations and such economic sanctions, penalties could be imposed, including fines and/or denial of certain export privileges.</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Data collection under European and U.S. laws is governed by restrictive regulations addressing the collection, use, processing and, in the case of Europe, cross-border transfer, of personal information (i.e., information that relates to an identified or identifiable individual).</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may collect, process, use or transfer personal information from individuals located in the European Economic Area, or EEA, Switzerland and the United Kingdom in connection with our business, including in connection with conducting clinical trials in these regions.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Additionally, if any of our product candidates are approved, we may seek to commercialize those products in the EEA or the United Kingdom or Switzerland. The collection and use of personal information (which includes health data) in the EEA is governed, in part, by the provisions of the General Data Protection Regulation (EU) 2016/679, or the GDPR, or its UK equivalent, the UK GDPR, or the new Swiss Federal Act on Data Protection, or FADP. These regulations impose requirements relating to having a legal basis for processing personal information and transferring such information outside of the EEA, the United Kingdom and Switzerland, respectively, as applicable, including to the United States, informing concerned individuals about the processing of their personal information, keeping personal information secure, having data processing agreements with third parties who process personal information on our behalf, responding to individuals’ requests to exercise their rights in respect of their personal information, reporting security breaches involving personal information to the competent national data protection authority and affected individuals, appointing data protection officers, conducting data protection impact assessments and record-keeping.</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Any actual or alleged failure to comply with the GDPR, UK GDPR, FADP, or related national data protection laws may result in regulatory inquiries and other proceedings, substantial fines, other administrative penalties and civil claims being brought against us, which could have a material adverse effect on our business, financial condition and results of operations.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GDPR, UK GDPR and FADP also restrict the transfer of personal information outside of the EEA, United Kingdom and Switzerland respectively, unless appropriate safeguards are in place.</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One of the primary safeguards, the Standard Contractual Clauses adopted by the European Commission, has been recently updated. With regard to data transfers outside of the EEA to the United States, in March 2022, the European Union and United States announced a political agreement on a new framework for personal information transfers, the EU-U.S. Data Privacy Framework, or the EU-U.S. DPF. On July 10, 2023, the European Commission adopted an adequacy decision relating to the EU-U.S. DPF. Additionally, a UK Extension to the EU-U.S. DPF became effective on October 12, 2023. We are evaluating whether to make use of the EU-U.S. DPF and the UK Extension to the EU-U.S. DPF to transfer personal information from the EEA to the United States.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Further, Brexit has created uncertainty with regard to data protection regulation in the United Kingdom. Although the European Commission granted “adequacy” status to the United Kingdom in June 2021, and personal information can flow from the European Union to the United Kingdom and back, the United Kingdom is expected to change its policy with respect to the export of personal information to third countries, such as the United States, and the European Commission’s adequacy determination for the United Kingdom requires renewal after four years and it may be modified or revoked in the interim. In addition, in February 2022, the United Kingdom’s Information Commissioner’s Office issued new Standard Contractual Clauses for the transfer of personal information outside of the United Kingdom. Any existing data transfer arrangement that relies on the previous version of the Standard Contractual Clauses needs to be updated by March 21, 2024, which could increase our costs.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may, therefore, incur liabilities, expenses, costs, and other operational losses under the GDPR, UK GDPR, the FADP and applicable laws and regulations of European Union member states in connection with any measures we take to comply with them.</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addition, U.S. states are adopting new laws or amending existing laws, requiring attention to frequently changing regulatory requirements related to personal information. For example, California enacted the California Consumer Privacy Act, or the CCPA, in 2018, which took effect on January 1, 2020 and has been dubbed the first “GDPR-like” law in the United States. The CCPA gives California residents expanded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which can include any of our current or future employees who may be California residents or any other California residents whose data we collect or process) and provide such residents new ways to opt out of certain sales of personal information. The CCPA provides for civil penalties for violations, as well as a private right of action for data breaches that is expected to increase data breach litigation.</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Additionally, a new privacy law, the California Privacy Rights Act, or the CPRA, was approved by California voters in November 2020. The CPRA modifies the CCPA significantly, potentially resulting in further uncertainty and requiring us to incur additional costs and expenses in an effort to comply. Other states are beginning to consider and pass similar laws, including laws enacted in Colorado, Connecticut, Delaware, Florida, Indiana, Iowa, Montana, Oregon, Tennessee, Texas, Utah, and Virginia. As we expand our operations, preclinical studies and clinical trials, these new state laws and other state laws and regulations relating to privacy and data security may increase our compliance costs and potential liability. Privacy and data security laws and regulations are not consistent across jurisdictions, and they may impose conflicting or uncertain obligations. Compliance with these and any other applicable privacy and data security laws and regulations is a rigorous, costly and time-intensive process, and we may be required to put in place additional mechanisms ensuring compliance with new and changing data protection obligations under these laws and regulations. Actual or alleged noncompliance with any such laws and regulations may lead to regulatory investigations, enforcement actions, claims and litigation, and if we fail to comply with any such laws or regulations, we may face significant fines and penalties. Any of these could adversely affect our business, financial condition and results of operations.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Related to Intellectual Property</w:t>
      </w:r>
    </w:p>
    <w:p>
      <w:pPr>
        <w:pStyle w:val="TextBody"/>
        <w:bidi w:val="0"/>
        <w:spacing w:before="120" w:after="283"/>
        <w:jc w:val="left"/>
        <w:rPr>
          <w:rFonts w:ascii="Times New Roman" w:hAnsi="Times New Roman"/>
          <w:sz w:val="20"/>
        </w:rPr>
      </w:pPr>
      <w:r>
        <w:rPr>
          <w:rFonts w:ascii="Times New Roman" w:hAnsi="Times New Roman"/>
          <w:b/>
          <w:i/>
          <w:color w:val="000000"/>
          <w:sz w:val="20"/>
        </w:rPr>
        <w:t>If we are unable to obtain, maintain and enforce patent protection for our product candidates and related technology, our business could be materially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strategy depends on our ability to identify, seek, obtain and maintain patent protection for our product candidates and other research and development discoveries. Our patent portfolio is relatively small compared to many large and more established pharmaceutical and biotechnology companies. As our patent portfolio grows, we expect patent protection will continue to be an important part of our strategy. The patent protection process is expensive and time-consuming, and we may not be able to file and prosecute all necessary or desirable patent applications or maintain and enforce any patents that may issue from such patent applications, at a reasonable cost or in a timely manner or in all jurisdictions where protection may be commercially advantageous. It is also possible that we will fail to identify patentable aspects of our research and development discoveries in a timely manner to obtain patent protection. Moreover, in some circumstances, we may not have the right to control the preparation, filing and prosecution of patent applications, or to maintain the patents, covering technology that we have licensed from third parties. Therefore, our in-licensed patents and patent applications may not be prosecuted and enforced in a manner consistent with the best interests of our business. Our patent applications cannot be enforced against third parties practicing the technology claimed in such applications unless, and until, patents issue from such applications, and then only to the extent the issued claims cover the technology. The patent applications that we own or in-license may fail to result in issued patents with claims that cover our current and future product candidates in the United States or in foreign countries or may fail to effectively prevent third parties from commercializing competitive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 xml:space="preserve">The patent position of biotechnology companies generally is highly uncertain, involves complex legal and factual questions, and has in recent years been the subject of much litigation. We may be subject to a third-party pre-issuance submission of prior art to the U.S. Patent and Trademark Office, or USPTO, and such prior art may affect the scope of any allowable claims or it may prevent our patent applications from issuing as patents. Further, the issuance of a patent does not ensure that it is valid or enforceable, nor is the issuance conclusive as to inventorship or the scope of any claims. Third parties may challenge the validity, enforceability or scope of our issued patents or claim that they should be inventors on such patents, and such patents may be narrowed, invalidated, circumvented or deemed unenforceable and such third parties may gain rights to such patents. We could also become involved in reexamination, </w:t>
      </w:r>
      <w:r>
        <w:rPr>
          <w:rFonts w:ascii="Times New Roman" w:hAnsi="Times New Roman"/>
          <w:b w:val="false"/>
          <w:i/>
          <w:color w:val="000000"/>
          <w:sz w:val="20"/>
        </w:rPr>
        <w:t>inter partes</w:t>
      </w:r>
      <w:r>
        <w:rPr>
          <w:rFonts w:ascii="Times New Roman" w:hAnsi="Times New Roman"/>
          <w:color w:val="000000"/>
          <w:sz w:val="20"/>
        </w:rPr>
        <w:t xml:space="preserve"> </w:t>
      </w:r>
      <w:r>
        <w:rPr>
          <w:rFonts w:ascii="Times New Roman" w:hAnsi="Times New Roman"/>
          <w:b w:val="false"/>
          <w:color w:val="000000"/>
          <w:sz w:val="20"/>
        </w:rPr>
        <w:t>review, post-grant review, opposition or derivation proceedings challenging our patent rights or the patent rights of others.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addition, changes in law may introduce uncertainty in the enforceability or scope of patents owned by us. If our patents are narrowed, invalidated or held unenforceable, third parties may be able to commercialize our technology or products and compete directly with us without payment to us. There is no assurance that all potentially relevant prior art relating to our patents and patent applications has been found, and such prior art could potentially invalidate one or more of our patents or prevent a patent from issuing from one or more of our pending patent applications. There is also no assurance that there is no prior art that may ultimately be found to affect the validity or enforceability of a claim. Furthermore, even if our patents are unchallenged, they may not adequately protect our intellectual property, provide exclusivity for our product candidates, prevent others from designing around our claims or provide us with a competitive advantage. The legal systems of certain countries do not favor the aggressive enforcement of patents, and the laws of foreign countries may not allow us to protect our inventions with patents to the same extent as the laws of the United States. Because patent applications in the United States and many foreign jurisdictions are typically not published until 18 months after filing, or in some cases not at all, and because publications of discoveries in scientific literature lag behind actual discoveries, we cannot be certain that we were the first to make the inventions claimed in our issued patents or pending patent applications, or that we were the first to file for protection of the inventions set forth in our patents or patent applications. As a result, we may not be able to obtain or maintain protection for certain inventions.</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For all of the foregoing reasons, the issuance, validity, enforceability, scope and commercial value of our patents in the United States and in foreign countries cannot be predicted with certainty and, as a result, any patents that we own or license may not provide sufficient protection against competitors. We may not be able to obtain or maintain patent protection from our pending patent applications, from those we may file in the future, or from those we may license from third parties. Moreover, even if we are able to obtain patent protection, such patent protection may be of insufficient scope to achieve our business objectives. In addition, the issuance of a patent does not give us the right to practice the patented invention. Third parties may have blocking patents that could prevent us from marketing our own patented product and practicing our own patented technology.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not be able to protect our intellectual property rights throughout the world.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to develop their own products in jurisdictions where we have not obtained patent protection and further, may export otherwise infringing products to territories where we have patent protection, but enforcement is not as strong as that in the United States. These products may compete with our current or future products, if any, and our patents or other intellectual property rights may not be valid or sufficient to prevent them from competing.</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In Europe, no earlier than October 1, 2022, European applications will soon have the option, upon grant of a patent, of becoming a Unitary Patent which will be subject to the jurisdiction of the Unitary Patent Court, or UPC. This will be a significant change in European patent practice. As the UPC is a new court system, there is no precedent for the court, increasing the uncertainty.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Geopolitical actions in the United States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United States and foreign government actions related to Russia’s invasion of Ukraine may limit or prevent filing, prosecution and maintenance of patent applications in Russia. Government actions may also prevent maintenance of issued patents in Russia, as well as maintenance of Eurasian patents in Russia. These actions could result in abandonment or lapse of our patents or patent applications, resulting in partial or complete loss of patent rights in Russia. Currently our portfolio includes two granted patents in Russia, one granted patent in Eurasia, and one pending application in Eurasia.</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Additionally, the requirements for patentability may differ in certain countries. For example, in certain countries, there is no link between regulatory approval of a drug and its patent status, and patenting of medical uses of a claimed drug are prohibited. In addition, certain countries in Europe and other countries, including China,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This could limit our potential revenue opportunities. Accordingly, our efforts to enforce intellectual property rights around the world may be inadequate to obtain a significant commercial advantage from the intellectual property that we own or license.</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Periodic maintenance fees, renewal fees, annuity fees and various other governmental fees on patents or applications will be due to the USPTO and various foreign patent offices at various points over the lifetime of our patents or applications. We have systems in place to remind us to pay these fees, and we rely on our outside patent annuity service to pay these fees automatically when due, but we must notify the provider of any new patents or applications. Additionally, the USPTO and various foreign patent offices require compliance with many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Changes in patent laws or patent jurisprudence could diminish the value of patents in general, thereby impairing our ability to protect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patent positions of biotechnology companies can be highly uncertain and involve complex legal and factual questions for which important legal principles remain unresolved. Changes in either the patent laws or in the interpretations of patent laws in the United States and other countries may diminish the value of our intellectual property. We cannot predict the breadth of claims that may be allowed or found to be enforceable in our patents or in third-party patents. The United States has enacted and implemented wide-ranging patent reform legislation. Further, recent U.S. Supreme Court rulings have either narrowed the scope of patent protection available in certain circumstances or weakened the rights of patent owners in certain situations. In addition to increasing uncertainty with regard to our ability to obtain patents in the future, this combination of events has created uncertainty with respect to the validity, scope and value of patents, once obtained.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For our U.S. patent applications containing a priority claim after March 16, 2013, there is a higher level of uncertainty in the patent law. In September 2011, the Leahy-Smith America Invents Act, also known as the America Invents Act, or AIA, was signed into law. The AIA includes a number of significant changes to U.S. patent law, including provisions that affect the way patent applications are prosecuted and may also affect patent litigation. The AIA and its implementation may increase the uncertainties and costs surrounding the prosecution of our patent applications and the enforcement or defense of our issued patents, all of which could have an adverse effect on our business. An important change introduced by the AIA is that, as of March 16, 2013, the United States transitioned to a “first-to-file” system for deciding which party should be granted a patent when two or more patent applications are filed by different parties disclosing or claiming the same invention. A third party that has filed, or does file a patent application in the USPTO after March 16, 2013 but before us, could be awarded a patent covering a given invention, even if we had made the invention before it was made by the third party. This requires us to be cognizant going forward of the time from invention to filing of a patent application.</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Among some of the other changes introduced by the AIA are changes that limit where a patentee may file a patent infringement suit and providing opportunities for third parties to file third party submissions of prior art to the USPTO during patent prosecution and to challenge any issued patent in the USPTO (</w:t>
      </w:r>
      <w:r>
        <w:rPr>
          <w:rFonts w:ascii="Times New Roman" w:hAnsi="Times New Roman"/>
          <w:b w:val="false"/>
          <w:i/>
          <w:color w:val="000000"/>
          <w:sz w:val="20"/>
        </w:rPr>
        <w:t>e.g.</w:t>
      </w:r>
      <w:r>
        <w:rPr>
          <w:rFonts w:ascii="Times New Roman" w:hAnsi="Times New Roman"/>
          <w:b w:val="false"/>
          <w:color w:val="000000"/>
          <w:sz w:val="20"/>
        </w:rPr>
        <w:t xml:space="preserve">, via post-grant reviews or </w:t>
      </w:r>
      <w:r>
        <w:rPr>
          <w:rFonts w:ascii="Times New Roman" w:hAnsi="Times New Roman"/>
          <w:b w:val="false"/>
          <w:i/>
          <w:color w:val="000000"/>
          <w:sz w:val="20"/>
        </w:rPr>
        <w:t>inter partes</w:t>
      </w:r>
      <w:r>
        <w:rPr>
          <w:rFonts w:ascii="Times New Roman" w:hAnsi="Times New Roman"/>
          <w:color w:val="000000"/>
          <w:sz w:val="20"/>
        </w:rPr>
        <w:t xml:space="preserve"> </w:t>
      </w:r>
      <w:r>
        <w:rPr>
          <w:rFonts w:ascii="Times New Roman" w:hAnsi="Times New Roman"/>
          <w:b w:val="false"/>
          <w:color w:val="000000"/>
          <w:sz w:val="20"/>
        </w:rPr>
        <w:t>reviews). Because of a lower evidentiary standard in USPTO proceedings compared to the evidentiary standard in U.S. federal court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Depending on decisions by the U.S. Congress, the U.S. federal courts, the USPTO or similar authorities in foreign jurisdictions, the laws and regulations governing patents could change in unpredictable ways that may weaken our and our licensors’ ability to obtain new patents or to enforce existing patents we and our licensors or partners may obtain in the future.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patents covering one or more of our product candidates could be found invalid or unenforceable if challenged.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Any of our intellectual property rights could be challenged or invalidated despite measures we take to obtain patent and other intellectual property protection with respect to our product candidates and proprietary technology. For example, if we were to initiate legal proceedings against a third party to enforce a patent covering one of our product candidates, the defendant could counterclaim that our patent is invalid and/or unenforceable. In patent litigation in the United States and in some other jurisdictions,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material information from the USPTO, or the applicable foreign counterpart, or made a misleading statement, during prosecution. A litigant or the USPTO itself could challenge our patents on this basis even if we believe that we have conducted our patent prosecution in accordance with the duty of candor and in good faith. The outcome following such a challenge is unpredictable.</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With respect to challenges to the validity of our patents, for example, there might be invalidating prior art, of which the patent examiner and we were unaware during prosecution. If a defendant were to prevail on a legal assertion of invalidity and/or unenforceability, we would lose at least part, and perhaps all, of the patent protection on a product candidate. Even if a defendant does not prevail on a legal assertion of invalidity and/or unenforceability, our patent claims may be construed in a manner that would limit our ability to enforce such claims against the defendant and others. The cost of defending such a challenge, particularly in a foreign jurisdiction, and any resulting loss of patent protection could have a material adverse impact on one or more of our product candidates and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Enforcing our intellectual property rights against third parties may also cause such third parties to file other counterclaims against us, which could be costly to defend, particularly in a foreign jurisdiction, and could require us to pay substantial damages, cease the sale of certain products or enter into a license agreement and pay royalties (which may not be possible on commercially reasonable terms or at all). Any efforts to enforce our intellectual property rights are also likely to be costly and may divert the efforts of our scientific and management personnel.</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Patent terms may be inadequate to protect our competitive position on our product candidates for an adequate amount of time.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including biosimilars.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Patent protection, prosecution, assertion and defense for some of our product candidates may be dependent on third parties.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There may be times in the future when certain patents that relate to our product candidates or any approved products are controlled by our licensees or licensors, such as with respect to our license agreements. Although we may, under such arrangements, have rights to consult with our strategic partners on actions taken as well as back-up rights of prosecution and enforcement, we have in the past and may in the future relinquish rights to prosecute and maintain patents and patent applications within our portfolio as well as the ability to assert such patents against infringers. If any current or future licensee or licensor with rights to prosecute, assert or defend patents related to our product candidates fails to appropriately prosecute and maintain patent protection for patents covering any of our product candidates, or if patents covering any of our product candidates are asserted against infringers or defended against claims of invalidity or unenforceability in a manner which adversely affects such coverage, our ability to develop and commercialize any such product candidate may be adversely affected and we may not be able to prevent competitors from making, using and selling competing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If we are unable to protect the confidentiality of our trade secrets and proprietary information or obtain proper assignment of such intellectual property, the value of our technology and products could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addition to patent protection, we also rely on other proprietary rights, including protection of trade secrets and other proprietary information. Trade secrets and know-how can be difficult to protect. Trade secrets and know-how can also in some instances be independently derived or reverse-engineered by a third party. We maintain the confidentiality of trade secrets and proprietary information in part by entering into confidentiality agreements with our employees, consultants, other service providers, including Tallac Therapeutics, strategic partners and others upon the commencement of their relationships with us. These agreements require that all confidential information developed by the individual or made known to the individual by us during the course of the individual’s relationship with us be kept confidential and not disclosed to third parties. Our agreements with employees and our personnel policies in addition to our service provider agreements, such as the Tallac Services Agreement, also provide that any inventions conceived by the individual in the course of rendering services to us shall be our exclusive property. However, we may not obtain these agreements in all circumstances, and even when we obtain these agreements, individuals with whom we have these agreements may not comply with their terms. Any of the parties to these agreements may breach such agreements and disclose our proprietary information, including our trade secrets, and we may not be able to obtain adequate remedies for such breaches. In the event of unauthorized use or disclosure of our trade secrets or proprietary information, these agreements, even if obtained, may not provide meaningful protection, particularly for our trade secrets or other confidential information. We may also become involved in inventorship disputes relating to inventions and patents developed by our employees, consultants, contractors and other service providers, such as Tallac Therapeutics, under such agreements. To the extent that our employees, consultants, contractors or other service providers use technology or know-how owned by third parties in their work for us, disputes may arise between us and those third parties as to the rights in related inventions. To the extent that an individual who is not obligated to assign rights in intellectual property to us is rightfully an inventor of intellectual property, we may need to obtain an assignment or a license to that intellectual property from that individual, or a third party or from that individual’s assignee. Such assignment or license may not be available on commercially reasonable terms or at all.</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Enforcing a claim that a party illegally disclosed or misappropriated a trade secret is difficult, expensive and time-consuming and the outcome is unpredictable. In addition, some courts in the United States and certain foreign jurisdictions are less willing or unwilling to protect trade secrets. The disclosure of our trade secrets would impair our competitive position and may materially harm our business, financial condition and results of operations. Costly and time-consuming litigation could be necessary to enforce and determine the scope of our proprietary rights, and failure to maintain trade secret protection could adversely affect our competitive business position. In addition, if any of our trade secrets were to be lawfully obtained or independently developed by a competitor, we would have no right to prevent such third party, or those to whom they communicate such technology or information, from using that technology or information to compete with us. If any of our trade secrets were to be disclosed to or independently developed by a competitor or if we otherwise lose protection for our trade secrets or proprietary know-how, the value of this information may be greatly reduced, and our business and competitive position could be harmed. Adequate remedies may not exist in the event of unauthorized use or disclosure of our proprietary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become involved in lawsuits to protect or enforce our patents and trade secrets, which could be expensive, time-consuming and unsuccessful.</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Third parties may seek approval to market their own products similar to or otherwise competitive with our product candidates or biosimilar versions of any approved product candidates. In these circumstances, we may need to defend or assert our patents, including by filing lawsuits alleging patent infringement. If we were to initiate legal proceedings against a third party to enforce a patent covering our product candidates, the defendant could counterclaim that the patent covering our product candidate is invalid and/or unenforceable. In patent litigation in the United States, defendant counterclaims alleging invalidity and/or unenforceability are commonplace. Grounds for an invalidity challenge could be an alleged failure to meet any of several statutory requirements, including lack of novelty, obviousness, written description or 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is unpredictable. In any of these types of proceedings, a court or agency with jurisdiction may find our patents invalid or unenforceable. Even if we have valid and enforceable patents, these patents still may not provide protection against competing products sufficient to achieve our business objectives.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Even after they have issued, our patents and any patents that we license may be challenged, narrowed, invalidated or circumvented. If our patents are invalidated or otherwise limited or will expire prior to the commercialization of our product candidates, other companies may be better able to develop products that compete with ours, which could adversely affect our competitive business position, business prospects and financial condition. In addition, if the breadth or strength of protection provided by our patents and patent applications is threatened, it could dissuade companies from collaborating with us to license, develop or commercialize current or future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following are examples of litigation and other adversarial proceedings or disputes that we could become a party to involving our patents or patents licensed to us:</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we may initiate litigation or other proceedings against third parties to enforce our patent and trade secret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third parties may initiate litigation or other proceedings seeking to invalidate patents owned by or licensed to us or to obtain a declaratory judgment that their product or technology does not infringe our patents or patents licensed to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third parties may initiate opposition or other proceedings challenging the validity or scope of our patent rights, requiring us and/or licensors to participate in such proceedings to defend the validity and scope of our patents;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there may be a challenge or dispute regarding inventorship or ownership of patents or trade secrets currently identified as being owned by or licensed to us, including disputes that may arise from our reliance on Tallac Therapeutics as the current sole provider of our preclinical research services and the intellectual property generated under the Tallac Services Agreement;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third parties may seek approval to market biosimilar versions of our future approved products prior to the expiration of relevant patents owned by or licensed to us under the Biologics Price Competition and Innovation Act of 2009, requiring us to defend our patents, including by filing lawsuits alleging patent infringement.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Any litigation or other proceedings would be costly and could affect our results of operations and divert the attention of our management and scientific personnel. Some of our competitors may be able to sustain the cost of such litigation and proceedings more effectively than we can because of their substantially greater resources. There is a risk that a court would decide that we are infringing the third party’s patents and would order us to stop the activities covered by the patents. In that event, we may not have a viable alternative to the technology protected by the patent and may need to halt work on the affected product candidate or cease commercialization of an approved drug. In addition, there is a risk that a court will order us to pay third party damages or some other monetary award, depending upon the jurisdiction. An adverse outcome in any litigation or other proceeding could subject us to significant liabilities to third parties, potentially including treble damages and attorneys’ fees if we are found to have willfully infringed, and we may be required to cease using the technology that is at issue or to license the technology from third parties. We may not be able to obtain any required licenses on commercially acceptable terms or at all. We may not be able to prevent, alone or with our licensors, infringement or misappropriation of our intellectual property rights, particularly in countries where the laws may not protect those rights as fully as in the United States. Any litigation or other proceedings to enforce our intellectual property rights may fail, and even if successful, may result in substantial costs and distract our management and other employees.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addition,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our common stock. In addition, any uncertainties resulting from the initiation and continuation of any litigation could have a material adverse effect on our ability to raise additional funds or on our business, results of operations, financial condition and prospects. Any of these outcomes could have a material adverse effect on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be subject to claims that we or our employees or consultants have wrongfully used or disclosed alleged trade secrets or other proprietary information of our employees’ or consultants’ former employers or their clients.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employ individuals who were previously or concurrently employed at research institutions and/or other biotechnology or pharmaceutical companies, including our competitors or potential competitors. We may be subject to claims that these employees, or we, have inadvertently or otherwise used or disclosed trade secrets or other proprietary information of their former employers, or that patents and applications we have filed to protect inventions of these employees, even those related to one or more of our product candidates, are rightfully owned by their former or concurrent employer. Litigation may be necessary to defend against these claims. If we fail in defending such claims, in addition to paying monetary damages, trade secrets or other proprietary information could be awarded to a third party, and we could be required to obtain a license from such third party to commercialize our technology or products. Such license may not be available on commercially reasonable terms or at all. A loss of key research personnel or their work product could limit our ability to commercialize, or prevent us from commercializing, our current or future technologies or product candidates, which could materially harm our business. Even if we are successful in defending against these claims, litigation would expose us to the risk described above under “We may become involved in lawsuits to protect or enforce our patents and trade secrets, which could be expensive, time-consuming and unsuccessful.”</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Our commercial success depends in part on our ability to operate without infringing the patents and other proprietary rights of third parties.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success will depend in part on our ability to operate without infringing the proprietary rights of third parties. Other entities may have or obtain patents or proprietary rights that could limit our ability to make, use, sell, offer for sale or import our future approved products or impair our competitive position. Our research, development and commercialization activities may be subject to claims that we infringe or otherwise violate patents or other intellectual property rights owned or controlled by third parties.</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are aware of third-party patents and patent applications containing claims in the immuno-oncology field based on scientific approaches that are the same as or similar to our approach, including with respect to the targeting of the CD47 and signal regulatory protein alpha, or SIRPα, pathways, and others that are based on entirely different approaches. These patents and applications could potentially be construed to cover our product candidates and their use. For example, we are aware of U.S. patent 10,907,209 and U.S. patent application 16/118,038 (and related applications in other jurisdictions) owned by University Health Network, or UHN, and The Hospital for Sick Children that may encompass certain therapies for the treatment of cancer using polypeptides comprising soluble human SIRPα. This patent and patent application relate to the treatment of cancer with polypeptides comprising soluble human SIRPα. Pfizer, through its acquisition of Trillium Therapeutics, has an exclusive license to the U.S. patent and application. The European counterpart patent (EP 2 429 574) was revoked by the European Patent Office and UHN and The Hospital for Sick Children have appealed the decision. On October 18, 2022, a hearing was held before the Board of Appeal of the European Patent Office, or Board of Appeal, at the conclusion of which the Board of Appeal ruled in favor of UHN with respect to the matter on appeal but remanded the case back to Opposition Division of the European Patent Office, or Opposition Division, for consideration of a separate issue bearing on the validity of European patent (EP 2 429 574). The hearing before the Opposition Division was initially scheduled for November 27, 2023, but has now been postponed to December 2023. The patent claims under review, if upheld by the Opposition Division, could potentially limit our ability to pursue evorpacept in certain indications in certain geographies in the future. The U.S. counterpart was recently granted as U.S. patent 10,907,209. However, we believe that we do not infringe claims listed in this U.S. patent. As the biotechnology industry expands and more patents are issued, the risk increases that we may be subject to claims of infringement of the patent rights of third parties. There is no assurance that there are not third-party patents or patent applications of which we are aware, but which we do not believe are relevant to our business, which may, nonetheless, ultimately be found to limit our ability to make, use, sell, offer for sale or import our future approved products or impair our competitive position.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Third parties may have or obtain valid and enforceable patents or proprietary rights that could block us from developing product candidates. These patents may not expire before we receive any marketing approval for our product candidates, and they could delay the commercial launch of one or more future product candidates. If our product candidates were to be found to infringe any such patents, and we were unable to invalidate those patents, or if licenses for them are not available on commercially reasonable terms or at all, our business, financial condition and results of operations could be materially harmed. Furthermore, even if a license is available, it may be non-exclusive, which could result in our competitors gaining access to the same intellectual property. Our failure to maintain a license to any technology that we require may also materially harm our business, financial condition and results of operations, and we would be exposed to a threat of litigation.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Any litigation resulting from claims of infringement or failure to license patents and proprietary rights of others would expose us to the risk described above under “We may become involved in lawsuits to protect or enforce our patents and trade secrets, which could be expensive, time consuming and unsuccessful.” Any of the aforementioned threats to our competitive advantage could have a material adverse effect on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Our intellectual property rights will not necessarily provide us with competitive advantages.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others may be able to make products that are similar to our product candidates but that are not covered by the claims of the patents that we own or have exclusively licensed;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others may independently develop similar or alternative technologies without infringing our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issued patents that we own or have exclusively licensed may not provide us with competitive advantages, or may be held invalid or unenforceable, as a result of legal challenges by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we may obtain patents for product candidates many years before we obtain marketing approval for such product candidates and because patents have a limited life, which may begin to run prior to the commercial sale of the related product, the commercial value of our patents may be limited;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competitors might conduct research and development activities in countries where we do not have patent rights and then use the information learned from such activities to develop competitive products for sale in our major commercial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we may fail to develop additional proprietary technologies that are patentable;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laws of certain foreign countries may not protect our intellectual property rights to the same extent as the laws of the United States, or we may fail to apply for or obtain adequate intellectual property protection in all the jurisdictions in which we operate; and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patents of others may have an adverse effect on our business, for example by preventing us from marketing one or more of our product candidates for one or more indications.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Any of the aforementioned threats to our competitive advantage could have a material adverse effect on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will need to obtain FDA approval for any proposed product candidate names, and any failure or delay associated with product candidate name approval may adversely affect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Any proprietary name or trademark we intend to use for our product candidates will require approval from the FDA regardless of whether we have secured a formal trademark registration from the USPTO. The FDA typically conducts a review of proposed product candidate names, including an evaluation of the potential for confusion with other product names and potential pharmacy dispensing errors. The FDA may also object to a product name if it believes the name inappropriately implies certain medical claims or contributes to an overstatement of efficacy. If the FDA objects to any product candidate names we propose, we may be required to adopt an alternative name for our product candidates. If we adopt an alternative name, we will lose the benefit of any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Our rights to develop and commercialize our product candidates may be subject, in part, to the terms and conditions of agreements with others.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current agreements do not, and future agreements we may enter into in the future may not, provide exclusive rights to use certain intellectual property and technology retained by a collaborator in all relevant fields of use and in all territories in which we may wish to develop or commercialize our technology and products in the future. As a result, we may not be able to prevent competitors or other third parties from developing and commercializing competitive products that utilize technology retained by such collaborators to the extent such products are not also covered by our 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may need to obtain additional intellectual property rights from others to advance our research or allow commercialization of product candidates we may develop. We may be unable to obtain additional intellectual property rights at a reasonable cost or on reasonable terms, if at all.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third-party patents do not exist which might be enforced against our current technology, manufacturing methods, product candidates or future methods or products resulting in either an injunction prohibiting our manufacture or future sales, or, with respect to our future sales, an obligation on our part to pay royalties and/or other forms of compensation to third parties, which could be significant.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Furthermore, our current or our future collaborators’ patents may be subject to a reservation of rights by one or more third parties. The U.S. government may have certain rights to resulting intellectual property. When new technologies are developed with U.S. government funding, the U.S. government generally obtains certain rights in any resulting patents, including a non-exclusive license authorizing the U.S. government to use the invention or to have others use the invention on its behalf. The U.S. government’s rights may also permit it to disclose the funded inventions and technology to third parties and to exercise march-in rights to use or allow third parties to use the technology developed using U.S. government funding. The U.S. government may exercise its march-in rights if it determines that action is necessary because we fail to achieve the practical application of the government funded technology, or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facilities in the United States in certain circumstances and if this requirement is not waived. Any exercise by the U.S. government of such rights or by any third-party of its reserved rights could have a material adverse effect on our competitive position, business, financial condition, results of operations and prospects.</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If we fail to comply with our obligations in agreements under which we option or license intellectual property rights from collaborators or licensors or otherwise experience disruptions to our business relationships with future collaborators or licensors, we could lose intellectual property rights that are important to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current agreements do and our future agreements may impose various economic, development, diligence, commercialization and other obligations on us. Such agreements may also require us to meet development timelines, or to exercise commercially reasonable efforts to develop and commercialize licensed products. It might be concluded that we have materially breached our obligations under such agreements and licensors or collaborators might therefore terminate or seek damages under the agreements, thereby removing or limiting our ability to develop and commercialize products and technology covered by these agreements. Termination of these agreements could cause us to lose the rights to certain patents or other intellectual property, or the underlying patents could fail to provide the intended exclusivity, and competitors or other third parties may have the freedom to seek regulatory approval of, and to market, products similar to or identical to ours and we may be required to cease our development and commercialization of certain of our product candidates. Any of the foregoing could have a material adverse effect on our competitive position, business, financial conditions, results of operations and growth prospects.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Moreover, disputes may arise regarding intellectual property subject to a collaboration agreement, including: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scope of the option or license rights granted under the agreement and other interpretation-related issues;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extent to which our technology and processes infringe on intellectual property of the collaborator that is not subject to the option or license rights granted under the agreement;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sublicensing of patent and other rights under our collaborative development relationships;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diligence obligations under the agreement and what activities satisfy those diligence obligations;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inventorship and ownership of inventions and know-how resulting from the joint creation or use of intellectual property by our collaborators and us and our other partners;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priority of invention of patented technology.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may enter into agreements to option or license intellectual property or technology from third parties that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growth prospects. Moreover, if disputes over intellectual property that we have optioned or licensed prevent or impair our ability to maintain such arrangements on commercially acceptable terms, we may be unable to successfully develop and commercialize the affected product candidates, which could have a material adverse effect on our business, financial conditions, results of operations and growth prospects.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Related to Our Operations</w:t>
      </w:r>
    </w:p>
    <w:p>
      <w:pPr>
        <w:pStyle w:val="TextBody"/>
        <w:bidi w:val="0"/>
        <w:spacing w:before="120" w:after="283"/>
        <w:jc w:val="left"/>
        <w:rPr>
          <w:rFonts w:ascii="Times New Roman" w:hAnsi="Times New Roman"/>
          <w:sz w:val="20"/>
        </w:rPr>
      </w:pPr>
      <w:r>
        <w:rPr>
          <w:rFonts w:ascii="Times New Roman" w:hAnsi="Times New Roman"/>
          <w:b/>
          <w:i/>
          <w:color w:val="000000"/>
          <w:sz w:val="20"/>
        </w:rPr>
        <w:t>In order to successfully implement our plans and strategies, we will need to grow the size of our organization, and we may experience difficulties in managing this growth.</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As of September 30, 2023, we had 71 employees, including 56 employees engaged in research and development. In order to successfully implement our development and commercialization plans and strategies, and as we continue to operate as a public company, we expect we will need additional managerial, scientific, technical, medical, operational, sales, marketing, financial and other personnel. Future growth may impose significant added responsibilities on members of management, including: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identifying, recruiting, integrating, retaining and motivating additional employees;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managing our internal development efforts effectively, including the clinical and FDA review process for evorpacept and any other future product candidates, while complying with applicable contractual obligations to contractors and other third parties;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maintaining and updating our operational, financial and management controls, reporting systems and procedures.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future financial performance and our ability to successfully develop and, if approved, commercialize evorpacept and any other future product candidates will depend, in part, on our ability to effectively manage any future growth, which may require our management team to divert its attention away from day-to-day activities of the business and devote a substantial amount of time to the added responsibilities associated with managing these growth activities.</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currently rely, and for the foreseeable future will continue to rely, in substantial part on specific independent organizations, advisors and consultants to provide certain services, including substantially all aspects of clinical management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third-party service providers is compromised for any reason, our clinical trials may be extended, delayed or terminated, and we may not be able to obtain marketing approval of evorpacept and any other future product candidates or otherwise advance our business. We cannot assure you that we will be able to manage our existing third-party service providers or find other qualified outside contractors and consultants on economically reasonable terms, or at all.</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If we are not able to effectively expand our organization by hiring new employees and/or engaging additional third-party service providers, we may not be able to successfully implement the tasks necessary to further develop and commercialize evorpacept and other future product candidates and, accordingly, may not achieve our research, development and commercialization goals.</w:t>
      </w:r>
    </w:p>
    <w:p>
      <w:pPr>
        <w:pStyle w:val="TextBody"/>
        <w:bidi w:val="0"/>
        <w:spacing w:before="120" w:after="283"/>
        <w:jc w:val="left"/>
        <w:rPr>
          <w:rFonts w:ascii="Times New Roman" w:hAnsi="Times New Roman"/>
          <w:sz w:val="20"/>
        </w:rPr>
      </w:pPr>
      <w:r>
        <w:rPr>
          <w:rFonts w:ascii="Times New Roman" w:hAnsi="Times New Roman"/>
          <w:b/>
          <w:i/>
          <w:color w:val="000000"/>
          <w:sz w:val="20"/>
        </w:rPr>
        <w:t>Our product candidates are based on a novel technology, which makes it difficult to predict the time and cost of product candidate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have concentrated our product research and development efforts on our novel immuno-oncology approach, and our future success depends on the successful development of our lead product candidate, evorpacept, and any future product candidates that we develop. There can be no assurance that any development problems we experience in the future related to our novel immuno-oncology approach will not cause significant delays or unanticipated costs or that such development problems can be solved. We may also experience delays in developing a sustainable, reproducible and scalable manufacturing process or transferring that process to commercial partners, which may prevent us from completing our clinical trials or commercializing our product candidates on a timely or profitable basis, if at all.</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are highly dependent on our key personnel, and if we are not successful in attracting, motivating and retaining highly qualified personnel, we may not be able to successfully implement our business strategy.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ability to compete in the highly competitive biotechnology and life science industries depends upon our ability to attract, motivate and retain highly qualified managerial, scientific and medical personnel. We are highly dependent on our management and our scientific, technical, business and medical personnel. The loss of the services provided by any of our executive officers, other key employees and other scientific and medical advisors, our inability to find suitable replacements, and the impacts of any executive officer changes, could result in delays in the development of our product candidates and harm our business. Additionally, layoffs or furloughs, pausing recruiting efforts, or employee attrition could also create delays in the development of our product candidates and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conduct our operations at our facility in the San Francisco Bay Area of California, a region that is headquarters to many other biopharmaceutical companies and many academic and research institutions. To succeed, we must recruit, retain, manage and motivate qualified clinical, scientific, manufacturing and sales and marketing personnel, and we face significant competition for experienced personnel. We expect that we may need to recruit talent from outside of our region and doing so may be costly and difficult. In addition, we will need to expand and effectively manage our managerial, operational, financial, development and other resources in order to successfully pursue our research, development and commercialization efforts for our existing and future product candidates. Furthermore, replacing executive officers and key employees may be difficult and may take an extended period of time because of the limited talent pool in our industry due to the breadth of skills and experience required to successfully develop, gain regulatory approval of and commercialize products. Competition for skilled personnel is intense and the turnover rate can be high, which may limit our ability to hire and retain highly qualified personnel on acceptable terms or at all. Additionally, the U.S. has recently experienced historically high levels of inflation and an acute workforce shortage generally, which has created a hyper-competitive wage environment that may increase our operating costs.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Many of the other biotechnology companies that we compete against for qualified personnel have considerably more financial and other resources, different risk profiles and a more extended history in the industry than we do. They also may provide more diverse opportunities and better prospects for career advancement. Some of these characteristics may be more appealing to high-quality candidates than what we can offer. We also experience competition for the hiring of scientific and clinical personnel from universities and research institutions. In addition to competition for personnel, the San Francisco Bay Area in particular is characterized by a high cost of living. We could in the future have difficulty attracting experienced personnel to our company and may be required to expend significant financial resources in our employee recruitment and retention efforts. To induce valuable employees to remain at our company, in addition to salary and cash incentives, we have provided equity grants that vest over time. The value to employees of these equity grants that vest over time may be significantly affected by movements in our stock price that are beyond our control and therefore any declining value in our equity grants could negatively impact our ability to successfully retain existing employees or effectively recruit new employees. Although we have employment agreements with our key employees, these employment agreements provide for at-will employment, which means that any of our employees could leave our employment at any time, with or without notice. If we are unable to attract and incentivize quality personnel on acceptable terms, or at all, it may cause our business and operating results to suffer.</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Our international operations may expose us to business, regulatory, political, operational, financial, pricing and reimbursement risks associated with doing business outside of the United States.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predecessor company, which after our internal reorganization is now our wholly-owned subsidiary, was an Irish private company limited by shares. Our business is subject to risks associated with conducting business internationally. Some of our subsidiaries and operations, in addition to suppliers, industry partners and clinical study centers, are located outside of the United States. Furthermore, our business strategy incorporates potential international expansion as we seek to obtain regulatory approval for, and commercialize, our product candidates in patient populations outside the United States. If approved, we expect to hire sales representatives and conduct physician and patient association outreach activities outside of the United States. Doing business internationally involves a number of risks and complexities, including but not limited to:</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multiple, conflicting and changing laws and regulations such as privacy regulations, tax laws, export and import restrictions, employment laws, regulatory requirements and other governmental approvals, permits and licenses, including within the European Union and in the United Kingdom as a result of Brexit;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failure by us to obtain and maintain regulatory approvals for the use of our products in various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rejection or qualification of foreign clinical trial data by the competent authorities of other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complexities and difficulties in obtaining, maintaining, protecting and enforcing our intellectual property, including as a result of potentially relevant third-party patent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difficulties in staffing and managing foreign operations;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complexities associated with managing multiple payor reimbursement regimes, government payors or patient self-pay systems;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limits in our ability to penetrate international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financial risks, such as longer payment cycles, difficulty collecting accounts receivable, the impact of local and regional financial crises on demand and payment for our drugs;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exposure to foreign currency exchange rate fluctuations;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political and economic instability, such as the geopolitical tensions and regional economic disruptions caused by Russia’s war with Ukraine, and war and instability in Israel and the surrounding region, and including wars, terrorism and political unrest, boycotts, curtailment of trade and other business restrictions;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natural disasters, such as a fire, an earthquake or a flood, or outbreaks or public health crises, such as the COVID-19 pandemic;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 cybersecurity breach or incident or a related breach of our information systems or data;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certain expenses including, among others, expenses for travel, translation and insurance;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regulatory and compliance risks that relate to anti-corruption compliance and record-keeping that may fall within the purview of the FCPA, its accounting provisions or its anti-bribery provisions, or provisions of anti-corruption or anti-bribery laws in other countries.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Any of these factors could harm our future international expansion and operations and, consequently, our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If any of the third parties that we rely on for various operational and administrative aspects of our business fail to provide timely, accurate and ongoing service or if the technology systems and infrastructure suffer outages that we are unable to mitigate, our business may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currently rely upon third-party consultants and contractors to provide specific operational and administrative services, including research and clinical consultation and management. The failure of any of these third parties to provide accurate and timely service may adversely impact our business operations. In addition, if such third-party service providers were to cease operations, temporarily or permanently, face financial distress or other business disruption, increase their fees or if our relationships with these providers deteriorate, we could suffer increased costs until an equivalent provider could be found, if at all, or we could develop internal capabilities, if ever. In addition, if we are unsuccessful in choosing or finding high-quality partners, if we fail to negotiate cost-effective relationships with them, or if we ineffectively manage these relationships, it could have an adverse impact on our business and financial performance.</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Further, our operations depend on the continuing and efficient operation of our information technology, communications systems and infrastructure, and on cloud-based platforms. Any of these systems and infrastructure are vulnerable to damage or interruption from earthquakes, vandalism, sabotage, terrorist attacks, floods, fires, power outages, telecommunications failures, computer viruses or other deliberate attempts to harm the systems. The occurrence of a natural or intentional disaster, any decision to close a facility we are using without adequate notice, or particularly an unanticipated problem at a cloud-based virtual server facility, could result in harmful interruptions in our service, resulting in adverse effects to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become exposed to costly and damaging product liability claims, either when testing our product candidates in the clinic or at the commercial stage, and our product liability insurance may not cover all damages from such claims.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are exposed to potential product liability and professional indemnity risks that are inherent in the research, development, manufacturing, marketing and use of pharmaceutical products. We currently have no products that have been approved for commercial sale. However, the current and future use of product candidates by us in clinical trials and the sale of any approved products in the future, may expose us to liability claims. These claims might be made by patients that use the product, healthcare providers, pharmaceutical companies or others selling such products. In addition, we have agreed to indemnify various counterparties related to our product candidates against certain liability claims and any agreements or collaborations in the future may include such indemnification obligations. Any claims against us, or with respect to which we are obligated to provide indemnification, regardless of their merit, could be difficult and costly to defend or settle and could compromise the market acceptance of our product candidates or any prospects for commercialization of our product candidates, if approved.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Although the clinical trial process is designed to identify and assess potential side effects, it is always possible that a drug, even after regulatory approval, may exhibit unforeseen side effects. If any of our product candidates were to cause adverse side effects during clinical trials or after approval of the product candidate, we may be exposed to substantial liabilities. Physicians and patients may not comply with any warnings that identify known potential adverse effects or that certain patients should not use our drugs for various reasons.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Although we maintain product liability insurance coverage, such insurance may not be adequate to cover all liabilities that we may incur. We may need to increase our insurance coverage each time we commence a clinical trial and if we successfully commercialize any product candidate. As the expense of insurance coverage is increasing, we may not be able to maintain insurance coverage at a reasonable cost or in an amount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expend our limited resources to pursue a particular product candidate or indication and fail to capitalize on product candidates or indications that may be more profitable or for which there is a greater likelihood of success.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Because we have limited financial and managerial resources, we focus on research programs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therapies or profitable market opportunities.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spending on current and future research and development programs, such as evorpacept,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 For example, we entered into clinical trial collaborations with our collaborators, including I-SPY, Sanofi, Jazz and the ISTs, to supply evorpacept for clinical trials to advance new combination therapies. We have limited control over the amount and timing of resources that our collaborators dedicate to the development of our products. Any termination or disruption of collaborations could result in delays in the development of products, increases in our costs to develop the products or the termination of development of a product.</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The COVID-19 pandemic could adversely impact our business including our ongoing and planned clinical trials and preclinical research.</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On May 11, 2023, the federal government ended the COVID-19 public health emergency, which ended a number of temporary changes made to federally funded programs while some continue to be in effect. The full impact of this termination of the national emergency and the wind-down of the public health emergency on the FDA and other regulatory policies and operations is unclear. To the extent the COVID-19 pandemic continues to pose a threat on our ability to conduct our business operations as planned, there can be no assurance that we will be able to avoid a material impact on our business from the pandemic or its consequences, including downturns in business sentiment generally or in our industry. Currently our employees are following a hybrid work model in our South San Francisco and Palo Alto offices with flexibility to work from home, as needed. We continue to closely monitor the pandemic and may adjust our current policies as appropriate based on relevant public health guidance and local conditions.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To the extent we experience any ongoing pandemic-related disruptions, including a resurgence of COVID-19 cases, or other public health emergency, potential disruptions or impacts to our business may include:</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delays or difficulties in enrolling and retaining subjects, particularly elderly subjects, who are at a higher risk of complications from COVID-19 or other public health outbreaks, in our ongoing clinical trials of evorpacept and our future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delays or difficulties in clinical site initiation, including difficulties in recruiting clinical site investigators and clinical site staff;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difficulties interpreting data from our clinical trials due to the possible effects of COVID-19 or other public health outbreaks on subjects;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diversion of healthcare resources away from the conduct of clinical trials, including the diversion of hospitals serving as our clinical trial sites and hospital staff supporting the conduct of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interruption of key clinical trial activities, such as clinical trial site monitoring, due to limitations on travel recommended by federal or state governments, employers and others;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limitations in resources, including our employees, that would otherwise be focused on the conduct of our business or our current or planned clinical trials or preclinical research, including because of sickness, the desire to avoid contact with large groups of people, or travel restrictions as a result of government-imposed or local regulation that may impact access to our facilities;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interruptions, difficulties or delays arising in our existing operations and company culture as a result of our hybrid working model;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delays in receiving approval from regulatory authorities to initiate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interruptions in preclinical studies due to restricted or limited operations at the CROs conducting such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interruptions or delays in the operations of the FDA or other domestic or foreign regulatory authorities, which may impact review and approval timelines;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delays in receiving the supplies, materials and services needed to conduct clinical trials and preclinical research;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changes in regulations as part of a response to the COVID-19 pandemic or other public health emergencies, which may require us to change the ways in which our clinical trials are conducted and result in unexpected costs or require us to discontinue the clinical trial altogether;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interruptions or delays to our development pipeline;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delays in necessary interactions with regulators, ethics committees and other important agencies and contractors due to limitations in employee resources or forced furlough of government or contractor personnel;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refusal of the FDA to accept data from clinical trials in affected geographies outside of the United States.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2020 and 2021, the FDA issued a number of COVID-19 related guidance documents for manufacturers and clinical trial sponsors, many of which have expired or were withdrawn with the expiration of the COVID-19 public health emergency declaration on May 11, 2023, although some COVID-19 related guidance documents continue in effect. Should the FDA issue additional guidance that mandate material changes to our clinical trials in response to a pandemic or other public health outbreak, the costs of such clinical trials may increase. To the extent another pandemic or other public health outbreak adversely affects our business, operations and financial condition in the future, it may also have the effect of heightening many of the risks described in this “Risk Factors” section.</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seek to enter into collaborations, including strategic collaborations, licenses and other similar arrangements related to our product candidates and may not be successful in doing so, and even if we are, we may not be able to maintain or realize the benefits of such relationships. If we are not able to establish future collaborations, we may have to alter some of our future development and commercialization plans and our business could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may seek to enter into collaborations, licenses and other similar arrangements for the development or commercialization of our product candidates, due to strategic advantages to partnering with third parties and capital costs required to develop or commercialize the product candidate in such markets. For instance, we entered into a collaboration agreement with Tallac Therapeutics pursuant to which we expect to jointly develop, manufacture, and commercialize a novel cancer immunotherapy. We may not be successful in our efforts to establish such collaborations for our product candidates because our product candidates may be deemed to be at too early of a stage of development for collaborative effort or third parties may not view our product candidates as having the requisite potential to demonstrate safety and efficacy or significant commercial opportunity. Further, any future collaboration agreements may restrict us from entering into additional agreements with potential collaborators. We cannot be certain that, following a strategic transaction or license, we will achieve an economic benefit that justifies such transaction.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Even if we are successful in our efforts to establish such collaborations, the terms that we agree upon may not be favorable to us, and we may not be able to maintain such collaborations if, for example, development of a product candidate is delayed, the safety of a product candidate is questioned or sales of an approved product are unsatisfactory. We also may not be able to realize the benefit of such collaborations if we are unable to successfully integrate them with our existing operations and company culture. In any such collaborations, we may likely have limited control over the amount and timing of resources that our collaborators dedicate to the development or commercialization of any product candidates we may seek to develop with them. We cannot predict the success of any collaboration that we may enter into.</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face significant competition in seeking appropriate collaborators and a number of more established companies may also be pursuing strategies to license or acquire third-party intellectual property rights that we may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foreign regulatory authorities, the potential market for the subject product candidate, the costs and complexities of manufacturing and delivering such product candidate to patients,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Collaborations are complex and time-consuming to negotiate and document. In addition, there have been a significant number of recent business combinations among large pharmaceutical companies that have resulted in a reduced number of potential future collaborators.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may not be able to negotiate further collaborations on a timely basis, on acceptable terms, or at all. We also may find that our programs require the use of proprietary rights held by third parties, and the growth of our business may depend in part on our ability to acquire, in-license or use these proprietary rights. Even if we are able to obtain a license to intellectual property of interest, we may not be able to secure exclusive rights, in which case others could use the same rights and compete with us. Our future collaboration partners may not prioritize our product candidates or otherwise not effectively pursue the development of our product candidates which may delay, reduce or terminate the development of such product candidate, reduce or delay its development program, or delay its potential commercialization. Further, if we are unable to successfully obtain rights to required third-party intellectual property rights or maintain the existing intellectual property rights we have, we may have to delay, reduce or terminate the development of such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Any of the foregoing factors would likely harm our ability to execute our business plans.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acquire businesses or assets and we may not realize the benefits of such acquisitions.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may acquire businesses or assets or create joint ventures with third parties that we believe may complement our existing product candidates. For example, in October 2021, we acquired ScalmiBio, Inc., or ScalmiBio, with plans to develop new anti-cancer drug candidates based on ScalmiBio’s platform and to enhance our internal research and development capabilities. In order to realize the benefits of the ScalmiBio acquisition, we will need to make a substantial investment of time and resources to support research and development efforts, including hiring additional skilled research personnel. Additionally, we may not be able to realize the benefit of acquiring such businesses or assets or joint ventures if we are not able to successfully integrate them with our existing operations and company culture. We may encounter difficulties in developing, manufacturing and marketing any new product candidates resulting from an acquisition, which may delay or prevent us from realizing their expected benefits.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Also, the anticipated benefit of any joint venture or acquisition may not materialize, and any potential or future joint venture or acquisition may be prohibited. Additionally, future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w:t>
      </w:r>
    </w:p>
    <w:p>
      <w:pPr>
        <w:pStyle w:val="TextBody"/>
        <w:bidi w:val="0"/>
        <w:spacing w:before="120" w:after="283"/>
        <w:jc w:val="left"/>
        <w:rPr>
          <w:rFonts w:ascii="Times New Roman" w:hAnsi="Times New Roman"/>
          <w:sz w:val="20"/>
        </w:rPr>
      </w:pPr>
      <w:r>
        <w:rPr>
          <w:rFonts w:ascii="Times New Roman" w:hAnsi="Times New Roman"/>
          <w:b/>
          <w:i/>
          <w:color w:val="000000"/>
          <w:sz w:val="20"/>
        </w:rPr>
        <w:t>Our ability to utilize our net operating loss carryforwards and certain other tax attributes may be limited.</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Under the U.S. Internal Revenue Code of 1986, as amended, if a corporation undergoes an “ownership change” (generally defined as a greater than 50 percentage points change (by value) in the ownership of its equity by its shareholders holding 5% or more over a rolling three-year period), the corporation’s ability to use its pre-change net operating loss carryforwards and other pre-change tax attributes to offset its post-change income and taxes may be limited. We may have experienced such ownership changes in the past, and we may experience ownership changes in the future, in either case as a result of shifts in our stock ownership, some of which are outside our control. As of December 31, 2022, we had net operating loss carryforwards of approximately $46.8 million and $69.0 million for U.S. federal and state income tax purposes, respectively. Our ability to utilize those net operating loss carryforwards could be limited by an “ownership change” as described above, which could result in increased tax liability to our company. The federal net operating losses carry forward indefinitely and may only offset 80% of taxable income in periods of future utilization. The state net operating loss will begin to expire beginning in 2038.</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As of December 31, 2022, we had Irish net operating loss carryforwards of approximately $4.6 million. These Irish net operating loss carryforwards do not expire but may not be fully utilized unless we generate sufficient income in Ireland. Under Irish law, where a company makes a loss in its trade, it can offset that loss against other income of the same accounting period or carry that loss forward to subsequent accounting periods and offset the loss against profits or gains of the same trade. The utilization of carried forward losses is disallowed where (i) the trade that gave rise to the losses is discontinued or (ii) within any period of three years, there is both a change in the ownership of a company and (whether earlier or later in that period or at the same time) a major change in the nature or conduct of a trade carried on by the company or (iii) at any time after the scale of the activities in a trade carried on by a company has become small or negligible and before any considerable revival of the trade, there is a change in ownership of the company. There are no legislative explanations of what constitutes a major change in the nature or conduct of a trade. Relevant case law indicates that there must be a difference in the kind of trade/goods (and not just a quantitative difference) or a major difference in client outlets or markets of the trade but whether there has been a major change in the nature or conduct of a trade is a qualitative matter, and one which is to be judged on the facts of any particular set of circumstances. We may experience ownership changes in the future as a result of subsequent movements in our share ownership, some of which are outside of our control. If we also experience a major change in the nature or conduct of our trade or our trade becomes small or negligible, we may be limited in the amount of loss carryforwards that we can use in the future to offset taxable income for Irish corporation tax purposes. Furthermore, in the event we incur net income in certain jurisdictions but incur losses (or have loss carryforwards) in other jurisdictions, we cannot offset the income from one jurisdiction with the loss from another, which could increase our effective tax rate.</w:t>
      </w:r>
    </w:p>
    <w:p>
      <w:pPr>
        <w:pStyle w:val="TextBody"/>
        <w:bidi w:val="0"/>
        <w:spacing w:before="120" w:after="283"/>
        <w:jc w:val="left"/>
        <w:rPr>
          <w:rFonts w:ascii="Times New Roman" w:hAnsi="Times New Roman"/>
          <w:sz w:val="20"/>
        </w:rPr>
      </w:pPr>
      <w:r>
        <w:rPr>
          <w:rFonts w:ascii="Times New Roman" w:hAnsi="Times New Roman"/>
          <w:b/>
          <w:i/>
          <w:color w:val="000000"/>
          <w:sz w:val="20"/>
        </w:rPr>
        <w:t>Changes in tax laws</w:t>
      </w:r>
      <w:r>
        <w:rPr>
          <w:rFonts w:ascii="Times New Roman" w:hAnsi="Times New Roman"/>
          <w:color w:val="000000"/>
          <w:sz w:val="20"/>
        </w:rPr>
        <w:t xml:space="preserve"> </w:t>
      </w:r>
      <w:r>
        <w:rPr>
          <w:rFonts w:ascii="Times New Roman" w:hAnsi="Times New Roman"/>
          <w:b/>
          <w:i/>
          <w:color w:val="000000"/>
          <w:sz w:val="20"/>
        </w:rPr>
        <w:t>or in their implementation or interpretation may adversely affect our business and financial condition.</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are or may become subject to income and non-income taxes in the United States under federal, state and local jurisdictions and in certain foreign jurisdictions in which we operate. Tax laws, regulations and administrative practices in these jurisdictions may be subject to significant change, with or without advance notice. For example, on January 1, 2022, a provision of the Tax Cuts and Jobs Act of 2017 went into effect that eliminates the option to deduct domestic research and development costs in the year incurred and instead requires taxpayers to amortize such costs over five years. The United States has also recently enacted the Inflation Reduction Act, which introduced, among other provisions, a 15% minimum tax on book income and a 1% excise tax on certain stock buybacks by U.S. publicly-traded corporations on or after January 1, 2023. The Organization for Economic Cooperation and Development has proposed implementing a global minimum tax of 15%, which has been agreed to by over 136 countries, and is expected to be implemented in European Union member countries by the end of 2023. Changes in tax laws, regulations, or rulings, changes in interpretations of existing laws and regulations, or changes in accounting principles could negatively and materially affect our financial position, cash flows, and results of operations.</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Related to Ownership of Our Common Stock</w:t>
      </w:r>
    </w:p>
    <w:p>
      <w:pPr>
        <w:pStyle w:val="TextBody"/>
        <w:bidi w:val="0"/>
        <w:spacing w:before="120" w:after="283"/>
        <w:jc w:val="left"/>
        <w:rPr>
          <w:rFonts w:ascii="Times New Roman" w:hAnsi="Times New Roman"/>
          <w:sz w:val="20"/>
        </w:rPr>
      </w:pPr>
      <w:r>
        <w:rPr>
          <w:rFonts w:ascii="Times New Roman" w:hAnsi="Times New Roman"/>
          <w:b/>
          <w:i/>
          <w:color w:val="000000"/>
          <w:sz w:val="20"/>
        </w:rPr>
        <w:t>We do not know whether an active, liquid and orderly trading market will be sustained for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Prior to our initial public offering, no market for shares of our common stock existed. Although our common stock is listed on the Nasdaq Global Select Market, the market for our shares has demonstrated varying levels of trading activity. It is possible that in one or more future periods our results of operations and progression of our product pipeline may not meet the expectations of public market analysts and investors, and, as a result of these and other factors, the price of our common stock may fall.</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sell shares of our common stock in future financings, stockholders may experience immediate dilution and, as a result, our stock price may decline.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may from time to time issue additional shares of common stock at a discount from the current trading price of our common stock. As a result, our stockholders would experience immediate dilution upon the purchase of any shares of our common stock sold at such discount. In addition, as opportunities present themselves, we may enter into financing or similar arrangements in the future, including the issuance of debt securities, preferred stock or common stock. For example, our amended Shelf Registration Statement, declared effective by the SEC on May 31, 2022, provides for aggregate offerings of up to $450.0 million of the Company’s securities inclusive of up to $150.0 million of shares of our common stock through at-the-market offerings. To date, we have not sold any shares under our at-the-market program. On October 10, 2023, we completed the October 2023 Offering for the issuance and sale of an aggregate of 8,663,793 shares of common stock and pre-funded warrants to purchase 1,250,000 shares of common stock at a public offering price of $6.38 per share and $6.379 per pre-funded warrant. Our stockholders may be further diluted by the exercise of the pre-funded warrants issued in the October 2023 Offering. If we issue common stock or securities convertible into common stock, our stockholders will experience additional dilution and our stock price may decline.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price of our stock may be volatile, and you could lose all or part of your investment.</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trading price of our common stock has been and may be highly volatile and subject to wide fluctuations in response to various factors, some of which are beyond our control. In addition to those discussed in this “Risk Factors” section and elsewhere in this Quarterly Report on Form 10-Q, the following factors may cause the market price of our common stock to fluctuate:</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results and timing of our preclinical studies and clinical trials and studies and trials of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failure or discontinuation of any of our development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issues in manufacturing our product candidates or any future approved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regulatory developments or enforcement in the United States and foreign countries with respect to our product candidates or our competitors’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competition from existing products or new products that may emerge;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actual or anticipated changes in our growth and development relative to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developments or disputes concerning patents or other proprietary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introduction of new product candidates or technological innovations by us or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announcements by us, our future strategic partners or our competitors of significant acquisitions, strategic partnerships, joint ventures or capital commitments;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actual or anticipated changes in estimates or recommendations by securities analysts, if any cover our common stock;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fluctuations in the valuation of companies perceived by investors to be comparable to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public concern over our product candidates or any future approved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future sales of our common stock by us, our insiders or our other stockholders including pursuant to the existing primary and secondary shelf registration statements that we have filed with the SEC;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expiration of market stand-off or lock-up agreements;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share price and volume fluctuations attributable to inconsistent trading volume levels of our shares;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additions or departures of key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changes in the structure of health care payment systems in the United States or overseas;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failure of any of our product candidates, if approved, to achieve commercial success;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macroeconomic conditions, such as inflation, economic downturns, disasters, and medical or public health crises, including the impact of recent bank failures, the ongoing geopolitical unrest related to Russia’s war with Ukraine, and war and instability in Israel and the surrounding region;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period-to-period fluctuations in our financial condition and results of operations, including the timing of payment or receipt of any future milestone or other payments under commercialization or licensing agreements;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announcements or expectations of additional financing efforts;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overall fluctuations in U.S. equity markets, general market conditions and market conditions for biotechnology stocks;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other factors that may be unanticipated or out of our control.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addition, the stock market has recently experienced significant volatility, particularly with respect to biotechnology and other life sciences company stocks. The volatility of biotechnology and other life sciences company stock often does not relate to the operating performance of the companies presented by the stock. In addition, in the past, when the market price of a stock has been volatile, holders of that stock have instituted securities class action litigation against the company that issued the stock. If any of our stockholders brought a lawsuit against us, we could incur substantial costs defending the lawsuit and divert the time and attention of our management, which could seriously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realization of any of the above risks or any of a broad range of other risks, including those described in this “Risk Factors” section, could have a dramatic and adverse impact on the market price of our common stock.</w:t>
      </w:r>
    </w:p>
    <w:p>
      <w:pPr>
        <w:pStyle w:val="TextBody"/>
        <w:bidi w:val="0"/>
        <w:spacing w:before="120" w:after="283"/>
        <w:jc w:val="left"/>
        <w:rPr>
          <w:rFonts w:ascii="Times New Roman" w:hAnsi="Times New Roman"/>
          <w:sz w:val="20"/>
        </w:rPr>
      </w:pPr>
      <w:r>
        <w:rPr>
          <w:rFonts w:ascii="Times New Roman" w:hAnsi="Times New Roman"/>
          <w:b/>
          <w:i/>
          <w:color w:val="000000"/>
          <w:sz w:val="20"/>
        </w:rPr>
        <w:t>Our operating results may fluctuate significantly, which makes our future operating results difficult to predict and could cause our operating results to fall below expectations or our guidance.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quarterly and annual operating results may fluctuate significantly in the future, which makes it difficult for us to predict our future operating results. From time to time, we may enter into license or collaboration agreements or strategic partnerships with other companies that include development funding and significant upfront and milestone payments and/or royalties, which may become an important source of our revenue. These upfront and milestone payments may vary significantly from period to period and any such variance could cause a significant fluctuation in our operating results from one period to the next.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addition, we measure compensation cost for stock-based awards made to employees at the grant date of the award, based on the fair value of the award as determined by our board of directors, and recognize the cost as an expense over the employee’s requisite service period. As the variables that we use as a basis for valuing these awards change over time, including our underlying stock price and stock price volatility, the magnitude of the expense that we must recognize may vary significantly.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Furthermore, our operating results may fluctuate due to a variety of other factors, many of which are outside of our control and may be difficult to predict, including the following: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timing and cost of, and level of investment in, research and development activities relating to our current product candidates and any future product candidates and research-stage programs, which will change from time to time. For example, inflationary pressures have increased and we expect will continue to increase costs for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ability to enroll subjects in clinical trials and the timing of enrollment;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cost of manufacturing our current product candidates and any future product candidates, which may vary depending on FDA, EMA or other comparable foreign regulatory authority guidelines and requirements, the quantity of production and the terms of our agreements with manufacturers;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expenditures that we will or may incur to acquire or develop additional product candidates and technologies or other assets;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timing and outcomes of clinical trials for evorpacept, and any of our other product candidates, or competing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need to conduct unanticipated clinical trials or trials that are larger or more complex than anticipated;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competition from existing and potential future products that compete with evorpacept and any of our other product candidates, and changes in the competitive landscape of our industry, including consolidation among our competitors or partners;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any delays in regulatory review or approval of evorpacept or any of our other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level of demand for evorpacept and any of our other product candidates, if approved, which may fluctuate significantly and be difficult to predict;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risk/benefit profile, cost and reimbursement policies with respect to our product candidates, if approved, and existing and potential future products that compete with evorpacept and any of our other product candidates;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ability to commercialize evorpacept and any of our other product candidates, if approved, inside and outside of the United States, either independently or working with third parties;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ability to establish and maintain collaborations, licensing or other arrangements;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ability to adequately support future growth;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any increase in interest expense due to an increase in the floating rate under the Loan Agreement as described elsewhere in this Quarterly Report on Form 10-Q;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potential unforeseen business disruptions that increase our costs or expenses;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future accounting pronouncements or changes in our accounting policies;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 weak or declining economy resulting from adverse macroeconomic conditions such as inflation, rising interest rates, uncertainty in the financial services industry, and any U.S. federal government debt default due to a failure to increase the debt ceiling;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impact of the COVID-19 pandemic, geopolitical unrest related to Russia’s conflict with Ukraine, war and instability in Israel and the surrounding region, and bank failures or instability in the financial services sector on the global economy.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cumulative effect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pStyle w:val="TextBody"/>
        <w:bidi w:val="0"/>
        <w:spacing w:before="120" w:after="283"/>
        <w:jc w:val="left"/>
        <w:rPr>
          <w:rFonts w:ascii="Times New Roman" w:hAnsi="Times New Roman"/>
          <w:sz w:val="20"/>
        </w:rPr>
      </w:pPr>
      <w:r>
        <w:rPr>
          <w:rFonts w:ascii="Times New Roman" w:hAnsi="Times New Roman"/>
          <w:b/>
          <w:i/>
          <w:color w:val="000000"/>
          <w:sz w:val="20"/>
        </w:rPr>
        <w:t>Sales of a substantial number of shares of our common stock in the public market could cause our stock price to fall.</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Sales of a substantial number of shares of our common stock in the public market could occur at any time. If our stockholders sell, or the market perceives that our stockholders intend to sell, a substantial amount of our common stock in the public market, the market price of our common stock could decline significantly.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Shares issued upon the exercise of stock options outstanding under our equity incentive plans or pursuant to future awards granted under those plans will become available for sale in the public market to the extent permitted by the provisions of applicable vesting schedules and Rule 144 and Rule 701 under the Securities Act of 1933, as amended, or the Securities Act.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 xml:space="preserve">On October 10, 2023, we completed the October 2023 Offering for </w:t>
      </w:r>
      <w:r>
        <w:rPr>
          <w:rFonts w:ascii="Times New Roman" w:hAnsi="Times New Roman"/>
          <w:b w:val="false"/>
          <w:color w:val="231F20"/>
          <w:sz w:val="20"/>
        </w:rPr>
        <w:t>the sale of</w:t>
      </w:r>
      <w:r>
        <w:rPr>
          <w:rFonts w:ascii="Times New Roman" w:hAnsi="Times New Roman"/>
          <w:color w:val="000000"/>
          <w:sz w:val="20"/>
        </w:rPr>
        <w:t xml:space="preserve"> </w:t>
      </w:r>
      <w:r>
        <w:rPr>
          <w:rFonts w:ascii="Times New Roman" w:hAnsi="Times New Roman"/>
          <w:b w:val="false"/>
          <w:color w:val="000000"/>
          <w:sz w:val="20"/>
        </w:rPr>
        <w:t>an aggregate of 8,663,793 shares of common stock and pre-funded warrants to purchase 1,250,000 shares of common stock at a public offering price of $6.38 per share and $6.379 per pre-funded warrant. Our stockholders may be further diluted by the exercise of the pre-funded warrants issued in the October 2023 Offering. Furthermore, we currently have an effective resale shelf registration statement which enables the selling stockholders thereunder, three of our largest stockholders, to sell shares in the public market which could cause our stock price to decline. In addition, any future sales of shares of common stock or other securities under our Shelf Registration Statement, including pursuant to our at-the-market facility, could put downward pressure on our stock price. Moreover, certain holders of our common stock have rights, subject to conditions, to require us to file registration statements covering their shares or to include their shares in registration statements that we may file for ourselves or other stockholders. Registration of these shares under the Securities Act would result in the shares becoming freely tradeable in the public market, subject to the restrictions of Rule 144 in the case of our affiliates. If any of these additional shares are sold, or if it is perceived that they will be sold, in the public market, the market price of our common stock could decline.</w:t>
      </w:r>
    </w:p>
    <w:p>
      <w:pPr>
        <w:pStyle w:val="TextBody"/>
        <w:bidi w:val="0"/>
        <w:spacing w:before="120" w:after="283"/>
        <w:jc w:val="left"/>
        <w:rPr>
          <w:rFonts w:ascii="Times New Roman" w:hAnsi="Times New Roman"/>
          <w:sz w:val="20"/>
        </w:rPr>
      </w:pPr>
      <w:r>
        <w:rPr>
          <w:rFonts w:ascii="Times New Roman" w:hAnsi="Times New Roman"/>
          <w:b/>
          <w:i/>
          <w:color w:val="000000"/>
          <w:sz w:val="20"/>
        </w:rPr>
        <w:t>If securities or industry analysts do not publish research or publish inaccurate or unfavorable research about our business, our share price and trading volume could decline.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trading market for our common stock depends on the research and reports that securities or industry analysts publish about us or our business. We do not have any control over these analysts. We cannot assure you that analysts will cover us or provide favorable coverage. If no or few securities or industry analysts commence coverage of us, the trading price for our stock would be negatively impacted. If one or more of the analysts who cover us downgrade our stock or change their opinion of our common stock, our share price would likely decline. If one or more of these analysts cease coverage of our company or fail to publish reports on us regularly, we could lose visibility in the financial markets, which could cause our share price or trading volume to decline.</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We have incurred and will continue to incur significant increased costs and management resources as a result of operating as a public company.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have incurred and will continue to incur significant legal, accounting, compliance and other expenses as a public company. Our management and other personnel need to devote a substantial amount of time and incur significant expense in connection with compliance initiatives. For example, as a public company, we must maintain additional internal controls and disclosure controls and procedures and have retained a transfer agent and adopted an insider trading policy. As a public company, we bear all of the internal and external costs of preparing and distributing periodic public reports in compliance with our obligations under the securities laws.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maintain an enterprise resource planning, or ERP, system, which is designed to combine and streamline the management of our financial, accounting, human resources, sales and marketing and other functions, enabling us to manage operations and track performance more effectively. The ERP system has and will continue to require the investment of significant financial and human resources in order to ensure effective use of the system. Additionally, in the future, we may be limited in our ability to convert any business that we acquire to the ERP. Any disruptions or difficulties in using an ERP system could adversely affect our internal controls and harm our business, including our ability to forecast or make sales and collect our receivables. Moreover, such disruption or difficulties could result in unanticipated costs and diversion of management attention.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addition, regulations and standards relating to corporate governance and public disclosure, including the Sarbanes-Oxley Act, or SOX, and the related rules and regulations implemented by the SEC and the Nasdaq Stock Market LLC, or Nasdaq, have and will continue to increase legal and financial compliance costs and make some compliance activities more time-consuming. We have invested and will continue to invest additional resources to comply with evolving laws, regulations and standards, and this investment will result in increased general and administrative expenses and may divert management’s time and attention from our other business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As a public company, we maintain directors’ and officers’ insurance coverage, which has significantly increased in recent years. In the future, it may be more expensive or more difficult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While we were a large accelerated filer for fiscal year 2022, we are a “non-accelerated filer” for fiscal year 2023 and will continue to be one in 2024. This status could make our common stock less attractive to investors.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Each year, we re-evaluate our SEC filing status. Accordingly, due to our public float as of June 30, 2022, we became a non-accelerated filer for fiscal year 2023, and due to our public float as of June 30, 2023, we will be a non-accelerated filer for fiscal year 2024. Pursuant to Section 404(a) of SOX, we are required to furnish a report by our management on our internal control over financial reporting. However, while we remain a non-accelerated filer, we will not be required to include an attestation report issued by our independent registered public accounting firm on the effectiveness of our internal control over financial reporting. We cannot predict if investors will find our common stock less attractive if we choose to rely on this exemption. If some investors find our common stock less attractive as a result of our non-accelerated filer status, there may be a less active trading market for our common stock and our stock price may be more volatile and may decline.</w:t>
      </w:r>
    </w:p>
    <w:p>
      <w:pPr>
        <w:pStyle w:val="TextBody"/>
        <w:bidi w:val="0"/>
        <w:spacing w:before="120" w:after="283"/>
        <w:jc w:val="left"/>
        <w:rPr>
          <w:rFonts w:ascii="Times New Roman" w:hAnsi="Times New Roman"/>
          <w:sz w:val="20"/>
        </w:rPr>
      </w:pPr>
      <w:r>
        <w:rPr>
          <w:rFonts w:ascii="Times New Roman" w:hAnsi="Times New Roman"/>
          <w:b/>
          <w:i/>
          <w:color w:val="000000"/>
          <w:sz w:val="20"/>
        </w:rPr>
        <w:t>Our principal stockholders and management own a significant percentage of our stock and will be able to exert significant control over matters subject to stockholder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As of September 30, 2023, our executive officers, directors, holders of 5% or more of our capital stock and their respective affiliates beneficially owned approximately 76.4% of our outstanding voting stock.</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Therefore, this group of stockholders, if they act together, will have the ability to control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material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Market conditions and changing circumstances could impair our ability to access our existing cash, cash equivalents and investments and to timely pay key vendors and others.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Market conditions and changing circumstances, some of which may be beyond our control, could impair our ability to access our existing cash, cash equivalents and investments and to timely pay key vendors and others. For example, in March 2023, SVB, where we maintain certain immaterial accounts, was placed into receivership with the FDIC, and all funds held at SVB were temporarily inaccessible to SVB’s customers. If other banks and financial institutions with whom we have banking relationships enter receivership or become insolvent in the future, we may be unable to access, or we may lose, some or all of our existing cash, cash equivalents and investments, to the extent those funds are not insured or otherwise protected by the FDIC. In addition, in such circumstances we might not be able to timely pay key vendors, employees, and others. We regularly maintain cash balances that are not insured or are in excess of the FDIC’s insurance limit. In addition, any U.S. federal government debt default due to a failure to increase the debt ceiling may lead to lack of access to our investments in U.S. treasury securities or losses or lower returns on such investments, in addition to broader macroeconomic risk that would follow any such default. Any delay in our ability to access our cash, cash equivalents and investments, or the loss of some or all of such funds, or inability to pay key vendors and others timely, could have a material adverse effect on our operations and cause us to seek additional capital sooner than planned.</w:t>
      </w:r>
    </w:p>
    <w:p>
      <w:pPr>
        <w:pStyle w:val="TextBody"/>
        <w:bidi w:val="0"/>
        <w:spacing w:before="120" w:after="283"/>
        <w:jc w:val="left"/>
        <w:rPr>
          <w:rFonts w:ascii="Times New Roman" w:hAnsi="Times New Roman"/>
          <w:sz w:val="20"/>
        </w:rPr>
      </w:pPr>
      <w:r>
        <w:rPr>
          <w:rFonts w:ascii="Times New Roman" w:hAnsi="Times New Roman"/>
          <w:b/>
          <w:i/>
          <w:color w:val="000000"/>
          <w:sz w:val="20"/>
        </w:rPr>
        <w:t>We do not anticipate paying cash dividends and, accordingly, stockholders must rely on share appreciation for any return on their investment.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have never paid any dividends on our capital stock. We currently intend to retain our future earnings, if any, to fund the development and growth of our businesses and do not anticipate that we will declare or pay any cash dividends on our capital stock in the foreseeable future. As a result, capital appreciation, if any, of our common stock will be your sole source of gain on your investment for the foreseeable future. Investors seeking cash dividends should not invest in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Raising additional capital may cause dilution to our stockholders, restrict our operations or require us to relinquish substantial rights.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To the extent that we raise additional capital through the sale of equity or convertible debt securities, your ownership interest will be diluted, and the terms of these new securities may include liquidation or other preferences that adversely affect your rights as a common stockholder. Sales of equity securities may be made under our Shelf Registration Statement and pursuant to our related at-the-market facility described therein. Additionally, our stockholders may be further diluted by the exercise of the pre-funded warrants issued in the follow-on public offering. Debt financing, if available, may involve fixed payment obligations or agreements that include covenants limiting or restricting our ability to take specific actions such as incurring additional debt, making capital expenditures or declaring dividends. Our Loan Agreement with the Lenders restricts our ability to incur additional indebtedness without the consent of the Lenders. If we raise additional funds through partnerships, collaborations, strategic alliances or licensing arrangements with third parties, we may have to relinquish valuable rights to our technologies, product candidates or future revenue streams, or grant licenses on terms that are not favorable to us. We cannot assure you that we will be able to obtain additional funding if and when necessary. If we are unable to obtain adequate financing on a timely basis, we could be required to delay, scale back or eliminate one or more of our clinical or discovery programs or grant rights to develop and market product candidates that we would otherwise prefer to develop and market ourselves. In addition, we may seek additional capital due to favorable market conditions or strategic considerations even if we believe we have sufficient funds for our current or future operating plans.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Delaware law and provisions in our amended and restated certificate of incorporation and bylaws might discourage, delay or prevent a change in control of our company or changes in our management and, therefore, depress the trading price of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Provisions in our amended and restated certificate of incorporation and bylaws may discourage, delay or prevent a merger, acquisition or other change in control that stockholders may consider favorable, including transactions in which you might otherwise receive a premium for your shares of our common stock. These provisions may also prevent or frustrate attempts by our stockholders to replace or remove our management. Therefore, these provisions could adversely affect the price of our common stock. Among other things, our charter documents:</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establish that our board of directors is divided into three classes, with each class serving staggered three-year terms;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provide that vacancies on our board of directors may be filled only by a majority of directors then in office, even though less than a quorum;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provide that our directors may only be removed for cause;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eliminate cumulative voting in the election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authorize our board of directors to issue shares of convertible preferred stock and determine the price and other terms of those shares, including preferences and voting rights, without stockholder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provide our board of directors with the exclusive right to elect a director to fill a vacancy or newly created directorship;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permit stockholders to only take actions at a duly called annual or special meeting and not by written consent;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prohibit stockholders from calling a special meeting of stockholders;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require that stockholders give advance notice to nominate directors or submit proposals for consideration at stockholder meetings;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authorize our board of directors to amend the bylaws;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require the affirmative vote of at least 66 2/3% or more of the outstanding shares of common stock to amend many of the provisions described above.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addition, Section 203 of the General Corporation Law of the State of Delaware prohibits a publicly-held Delaware corporation from engaging in a business combination with an interested stockholder, generally a person who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Any provision of our amended and restated certificate of incorporation, amended and restated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Our amended and restated bylaws provide that the Court of Chancery of the State of Delaware and the federal district courts of the United States will be the exclusive forums for substantially all disputes between us and our stockholders, which could limit our stockholders’ ability to obtain a favorable judicial forum for disputes with us or our directors, officers or employees.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amended and restated bylaws provide that the Court of Chancery of the State of Delaware (or, if the Court of Chancery does not have jurisdiction, another State court in Delaware or the federal district court for the District of Delaware) is the exclusive forum for the following (except for any claim as to which such court determines that there is an indispensable party not subject to the jurisdiction of such court (and the indispensable party does not consent to the personal jurisdiction of such court within ten days following such determination), which is vested in the exclusive jurisdiction of a court or forum other than such court or for which such court does not have subject matter jurisdiction):</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any derivative action or proceeding brought on behalf of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any action asserting a claim of breach of a fiduciary duty;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any action asserting a claim against us arising under the Delaware General Corporation Law, or DGCL, our amended and restated certificate of incorporation or our amended and restated bylaws, as either may be amended from time to time;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any action asserting a claim against us that is governed by the internal affairs doctrine.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This provision would not apply to suits brought to enforce a duty or liability created by the Securities Exchange Act of 1934, as amended, or Exchange Act, or any other claim for which the U.S. federal courts have exclusive jurisdiction.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amended and restated bylaws further provide that the federal district courts of the United States will be the exclusive forum for resolving any complaint asserting a cause of action arising under the Securities Act.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Any person or entity purchasing or otherwise acquiring any interest in any of our securities shall be deemed to have notice of and consented to these provisions. There is uncertainty as to whether a court would enforce such provisions, and the enforceability of similar choice of forum provisions in other companies’ charter documents has been challenged in legal proceedings. It is possible that a court could find these types of provisions to be inapplicable or unenforceable, and if a court were to find either exclusive-forum provision in our amended and restated bylaws to be inapplicable or unenforceable in an action, we may incur additional costs associated with resolving the dispute in other jurisdictions, which could seriously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In the past, we have identified material weaknesses in our internal control over financial reporting, and if we are unable to maintain effective internal control over financial reporting in the future, investors may lose confidence in the accuracy and completeness of our financial reports, and the market price of our common stock may be materially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the past, we and our independent registered public accounting firm identified two material weaknesses in our internal control over financial reporting, both of which have since been remediated. We did not identify any material weakness for the fiscal years ended December 31, 2022 and 2021.</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If in the future, we have a material weakness in our internal controls over financial reporting, we may not be able to prevent or detect errors on a timely basis and our consolidated financial statements may be materially misstated. We or our independent registered public accounting firm, if required, may not be able to conclude on an ongoing basis that we have effective internal control over financial reporting, which could harm our operating results, cause investors to lose confidence in our reported financial information and cause the trading price of our stock to fall. In addition, as a public company we are required to file accurate and timely quarterly and annual reports with the SEC under the Exchange Act. Any failure to report our financial results on an accurate and timely basis could result in sanctions, lawsuits, delisting of our shares from The Nasdaq Global Select Market or other adverse consequences that would materially harm our business. In addition, we could become subject to investigations by the stock exchange on which our securities are listed, the SEC, and other regulatory authorities, and become subject to litigation from investors and stockholders, which could harm our reputation and our financial condition, or divert financial and management resources from our core business.</w:t>
      </w:r>
    </w:p>
    <w:p>
      <w:pPr>
        <w:pStyle w:val="TextBody"/>
        <w:bidi w:val="0"/>
        <w:spacing w:before="120" w:after="283"/>
        <w:jc w:val="left"/>
        <w:rPr>
          <w:rFonts w:ascii="Times New Roman" w:hAnsi="Times New Roman"/>
          <w:sz w:val="20"/>
        </w:rPr>
      </w:pPr>
      <w:r>
        <w:rPr>
          <w:rFonts w:ascii="Times New Roman" w:hAnsi="Times New Roman"/>
          <w:b/>
          <w:i/>
          <w:color w:val="000000"/>
          <w:sz w:val="20"/>
        </w:rPr>
        <w:t>If we fail to maintain an effective system of internal control over financial reporting, we may not be able to accurately report our financial results or prevent fraud, which would harm our business and the trading price of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our independent registered public accounting firm in connection with Section 404(b) of SOX, as long as such attestation report is required pursuant to such section by our independent registered public accounting firm, may reveal deficiencies in our internal controls over financial reporting that are deemed to be significant deficiencies or material weaknesses or that may require prospective or retroactive changes to our consolidated financial statements or identify other areas for further attention or improvement. As discussed above, we have identified material weaknesses in the past which have since been remediated. However, our remediation of previous material weaknesses may not prevent any future deficiency in our internal control over financial reporting. Inferior internal controls could also cause investors to lose confidence in our reported financial information, which could have a negative effect on the trading price of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Any failure to maintain effective internal control over financial reporting could have a material adverse effect on our business, financial condition and results of operations and the trading price of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are required to disclose material changes made in our internal controls over financing reporting and procedures on a quarterly basis and our management are required to assess the effectiveness of these controls annually. We were no longer an “emerging growth company” as of December 31, 2021 and as such, pursuant to Section 404(b) of SOX, our independent registered public accounting firm attested to the effectiveness of our internal control over financial reporting as of December 31, 2021. However, we became a “non-accelerated filer” for fiscal year 2023. While we remain a non-accelerated filer, we will not be required to include an attestation report issued by our independent registered public accounting firm on the effectiveness of our internal control over financial reporting. An independent assessment of the effectiveness of our internal controls could detect problems that our management’s assessment might not and therefore we may be less likely to detect deficiencies in our internal controls over financial reporting in the future and during any fiscal year for which we remain a non-accelerated filer.</w:t>
      </w:r>
    </w:p>
    <w:p>
      <w:pPr>
        <w:pStyle w:val="TextBody"/>
        <w:bidi w:val="0"/>
        <w:spacing w:before="120" w:after="283"/>
        <w:jc w:val="left"/>
        <w:rPr>
          <w:rFonts w:ascii="Times New Roman" w:hAnsi="Times New Roman"/>
          <w:sz w:val="20"/>
        </w:rPr>
      </w:pPr>
      <w:r>
        <w:rPr>
          <w:rFonts w:ascii="Times New Roman" w:hAnsi="Times New Roman"/>
          <w:b/>
          <w:i/>
          <w:color w:val="000000"/>
          <w:sz w:val="20"/>
        </w:rPr>
        <w:t>We are organized in a holding company structure and we are, and will be, dependent upon the results of operations and cash flows of our subsidiaries and distributions we receive from our subsidiaries.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ALX Oncology Holdings Inc. is a holding company that currently has no material assets other than cash and our ownership of all of the equity issued by ALX Oncology Limited. As such, ALX Oncology Holdings Inc. will have no independent means of generating revenue or cash flow, and our ability to pay our taxes and operating expenses or declare and pay dividends in the future, if any, will be dependent upon the results of operations and cash flows of ALX Oncology Limited and its consolidated subsidiaries, including any distributions we receive from ALX Oncology Limited. There can be no assurance that our direct and indirect subsidiaries will generate sufficient cash flow to distribute funds to us or that applicable law and contractual restrictions, such as negative covenants in any debt instruments, will permit such distributions. In addition, in the event that the board of directors and stockholders of ALX Oncology Holdings Inc. were to approve a sale of all of our equity in ALX Oncology Limited or any of our other indirect subsidiaries, your equity interest would be in a holding company with no material assets other than those assets and other consideration received in such transaction.</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General Risks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Business disruptions could seriously harm our future revenue and financial condition and increase our costs and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operations, and those of our service providers and suppliers and other contractors and consultants, could be subject to earthquakes, power shortages, telecommunications failures, water shortages, floods, hurricanes, typhoons, fires, extreme weather conditions, medical or public health crises, such as the COVID-19 pandemic, and other natural or man-made disasters such as the ongoing geopolitical unrest related to Russia’s war with Ukraine, war and instability in Israel and the surrounding region, or business interruptions, for which we are partly uninsured. The occurrence of any of these business disruptions could seriously harm our operations and financial condition and increase our costs and expenses. We rely on third-party manufacturers to produce and process our product candidates. Our ability to obtain clinical supplies of our product candidates could be disrupted if the operations of these suppliers are affected by a man-made or natural disaster or other business interruption.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majority of our operations including our corporate headquarters are located in the San Francisco Bay Area in California. Damage or extended periods of interruption to our corporate, development or research facilities due to fire, natural disaster, power loss, communications failure, unauthorized entry or other events could cause us to cease or delay development of some or all of our product candidates. Although we maintain property damage and business interruption insurance coverage on these facilities, our insurance might not cover all losses under such circumstances and our business may be seriously harmed by such delays and interruption.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experience disruptions and delays or incur financial damages as a result of system failures or security breaches or incidents.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Despite our implementation of security measures, any of the internal computer systems and networks belonging to or used by us or our employees and our CROs and other third-party service providers are vulnerable to damage and disruption from computer viruses, ransomware and other malicious code, unauthorized access, natural disasters, terrorism, war and telecommunication and electrical failure, as well as security breaches and incidents from inadvertent or intentional actions, or from cyber-attacks by malicious third parties (including supply chain cyber-attacks, denial-of-service attacks, social engineering and other means to affect service reliability and threaten the confidentiality, integrity and availability of information), which may compromise system infrastructure or lead to the loss, destruction, alteration, prevention of access to, disclosure, or dissemination of, or damage or unauthorized access to, our data (including trade secrets or other confidential information, intellectual property, proprietary business information, and personal information) or data that is processed or maintained on our behalf, or other assets, which could result in financial, legal, business and reputational harm to us. Any system failure, accident or security breach or incident that causes interruptions in our own or in our CROs’ and other third-party service providers’ operations could result in a material disruption of our drug discovery and development programs or other aspects of our operations. We may be more susceptible to security breaches and other security incidents while many of our employees and employees of our third-party service providers continue to work remotely for some portion of time in response to the COVID-19 pandemic, because we and our service providers have less capability to implement, monitor and enforce our information security and data protection policies for those employees. Also, Russia’s war with Ukraine may subject us and our CROs and other third-party service providers to heightened risks of cybersecurity incidents and security and privacy breaches, including attacks that could materially disrupt our drug discovery and development programs or other aspects of our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 system failure or security breach or incident that causes the loss, corruption or unavailability of clinical trial data from completed or future clinical trials could result in delays in our regulatory approval efforts and significantly increase our costs in order to recover or reproduce the lost, corrupted, or unavailable data. In addition, if any disruption or security breach or incident results in loss, destruction, alteration, or unavailability of, or damage or unauthorized access to, our data or applications or unauthorized access to, disclosure, dissemination or other processing of confidential or proprietary information that we or our third-party service providers process, including personal information related to the subjects in our clinical trials, we may incur liability as a result, our drug discovery programs and competitive position may be adversely affected and further development of our product candidates may be delayed. Any such disruption, failure or security breach or incident could also cause us to incur additional costs to remedy the damages that arise from such disruption, failure or security breach or incident. Additionally, in the event of any such disruption, failure or security breach or incident, or any perception that one has occurred, we could be exposed to claims, demands, and litigation and governmental investigations and other proceedings, the further development and commercialization of our product candidates could be delayed, and we could be subject to significant fines or penalties for any noncompliance with certain state, federal and/or international privacy and security laws. We expect to incur significant costs in an effort to detect and prevent security breaches and incidents, and we may face increased costs and requirements to expend substantial resources in the event of an actual or perceived security breach or incident.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insurance policies may not be adequate to compensate us for the potential losses arising from any such disruption, failure or security breach or incident.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Our disclosure controls and procedures may not prevent or detect all errors or acts of fraud.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by SEC rules and regulations. We believe that any disclosure controls and procedures or internal controls and procedures, no matter how well-conceived and operated, can provide only reasonable, not absolute, assurance that the objectives of the control system are met.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These inherent limitations include the facts that judgments in decision-making can be faulty and that breakdowns can occur because of simple error or mistake. Additionally, controls can be circumvented by the individual acts of some persons, by the collusion of two or more people or by an unauthorized override of the controls. Accordingly, because of the inherent limitations in our control system, misstatements due to error or fraud may occur and not be detected.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be subject to securities litigation, which is expensive and could divert management attention.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market price of our common stock has experienced significant fluctuations in the past year and may be volatile in the future.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management’s attention from the business, which could seriously harm our business.</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7" w:name="part2_item2_unreg"/>
      <w:bookmarkEnd w:id="17"/>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Use of Proceeds from Initial Public Offering of Common Stock</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There has been no material change in the planned use of proceeds from our initial public offering as described in our final prospectus filed with the SEC on July 17, 2020 pursuant to Rule 424(b)(4). We invested the funds received in accordance with our investment policy. None of such payments were direct or indirect payments to any of our directors or officers (or their associates), to persons owning ten percent or more of our common stock or to any other affiliates.</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Unregistered Sales of Equity Securities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None.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Issuer Purchases of Equity Securities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None.</w:t>
      </w:r>
    </w:p>
    <w:p>
      <w:pPr>
        <w:pStyle w:val="TextBody"/>
        <w:bidi w:val="0"/>
        <w:spacing w:before="360" w:after="283"/>
        <w:jc w:val="left"/>
        <w:rPr>
          <w:rFonts w:ascii="Times New Roman" w:hAnsi="Times New Roman"/>
          <w:b/>
          <w:color w:val="000000"/>
          <w:sz w:val="20"/>
        </w:rPr>
      </w:pPr>
      <w:bookmarkStart w:id="18" w:name="part2_item3_defaults"/>
      <w:bookmarkEnd w:id="18"/>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Not applicable.</w:t>
      </w:r>
    </w:p>
    <w:p>
      <w:pPr>
        <w:pStyle w:val="TextBody"/>
        <w:bidi w:val="0"/>
        <w:spacing w:before="360" w:after="283"/>
        <w:jc w:val="left"/>
        <w:rPr>
          <w:rFonts w:ascii="Times New Roman" w:hAnsi="Times New Roman"/>
          <w:b/>
          <w:color w:val="000000"/>
          <w:sz w:val="20"/>
        </w:rPr>
      </w:pPr>
      <w:bookmarkStart w:id="19" w:name="part2_item4_mine"/>
      <w:bookmarkEnd w:id="19"/>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Not applicable.</w:t>
      </w:r>
      <w:r>
        <w:rPr>
          <w:rFonts w:ascii="Times New Roman" w:hAnsi="Times New Roman"/>
          <w:color w:val="000000"/>
          <w:sz w:val="20"/>
        </w:rPr>
        <w:t xml:space="preserve"> </w:t>
      </w:r>
    </w:p>
    <w:p>
      <w:pPr>
        <w:pStyle w:val="TextBody"/>
        <w:bidi w:val="0"/>
        <w:spacing w:before="360" w:after="283"/>
        <w:jc w:val="left"/>
        <w:rPr>
          <w:rFonts w:ascii="Times New Roman" w:hAnsi="Times New Roman"/>
          <w:b/>
          <w:color w:val="000000"/>
          <w:sz w:val="20"/>
        </w:rPr>
      </w:pPr>
      <w:bookmarkStart w:id="20" w:name="part2_item5_other"/>
      <w:bookmarkEnd w:id="20"/>
      <w:r>
        <w:rPr>
          <w:rFonts w:ascii="Times New Roman" w:hAnsi="Times New Roman"/>
          <w:b/>
          <w:color w:val="000000"/>
          <w:sz w:val="20"/>
        </w:rPr>
        <w:t>Item 5. Other Information</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None.</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21" w:name="part2_item6_exhibits"/>
      <w:bookmarkEnd w:id="21"/>
      <w:r>
        <w:rPr>
          <w:rFonts w:ascii="Times New Roman" w:hAnsi="Times New Roman"/>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846"/>
        <w:gridCol w:w="146"/>
        <w:gridCol w:w="4203"/>
        <w:gridCol w:w="146"/>
        <w:gridCol w:w="616"/>
        <w:gridCol w:w="146"/>
        <w:gridCol w:w="701"/>
        <w:gridCol w:w="146"/>
        <w:gridCol w:w="796"/>
        <w:gridCol w:w="146"/>
        <w:gridCol w:w="1084"/>
        <w:gridCol w:w="146"/>
        <w:gridCol w:w="1083"/>
      </w:tblGrid>
      <w:tr>
        <w:trPr/>
        <w:tc>
          <w:tcPr>
            <w:tcW w:w="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r>
      <w:tr>
        <w:trPr/>
        <w:tc>
          <w:tcPr>
            <w:tcW w:w="84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203"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3635" w:type="dxa"/>
            <w:gridSpan w:val="7"/>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083" w:type="dxa"/>
            <w:tcBorders/>
            <w:vAlign w:val="center"/>
          </w:tcPr>
          <w:p>
            <w:pPr>
              <w:pStyle w:val="TableContents"/>
              <w:bidi w:val="0"/>
              <w:spacing w:before="0" w:after="283"/>
              <w:jc w:val="center"/>
              <w:rPr/>
            </w:pPr>
            <w:r>
              <w:rPr/>
              <w:t> </w:t>
            </w:r>
          </w:p>
        </w:tc>
      </w:tr>
      <w:tr>
        <w:trPr/>
        <w:tc>
          <w:tcPr>
            <w:tcW w:w="84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20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TITLE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01"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146" w:type="dxa"/>
            <w:tcBorders/>
            <w:vAlign w:val="center"/>
          </w:tcPr>
          <w:p>
            <w:pPr>
              <w:pStyle w:val="TableContents"/>
              <w:bidi w:val="0"/>
              <w:spacing w:before="0" w:after="283"/>
              <w:jc w:val="center"/>
              <w:rPr/>
            </w:pPr>
            <w:r>
              <w:rPr/>
              <w:t> </w:t>
            </w:r>
          </w:p>
        </w:tc>
        <w:tc>
          <w:tcPr>
            <w:tcW w:w="1084"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w:t>
              <w:br/>
              <w:t>DATE</w:t>
            </w:r>
          </w:p>
        </w:tc>
        <w:tc>
          <w:tcPr>
            <w:tcW w:w="146" w:type="dxa"/>
            <w:tcBorders/>
            <w:vAlign w:val="center"/>
          </w:tcPr>
          <w:p>
            <w:pPr>
              <w:pStyle w:val="TableContents"/>
              <w:bidi w:val="0"/>
              <w:spacing w:before="0" w:after="283"/>
              <w:jc w:val="center"/>
              <w:rPr/>
            </w:pPr>
            <w:r>
              <w:rPr/>
              <w:t> </w:t>
            </w:r>
          </w:p>
        </w:tc>
        <w:tc>
          <w:tcPr>
            <w:tcW w:w="108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FILED</w:t>
              <w:br/>
              <w:t>HEREWITH</w:t>
            </w:r>
          </w:p>
        </w:tc>
      </w:tr>
      <w:tr>
        <w:trPr/>
        <w:tc>
          <w:tcPr>
            <w:tcW w:w="8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20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01"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796"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1084"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1083" w:type="dxa"/>
            <w:tcBorders/>
            <w:vAlign w:val="center"/>
          </w:tcPr>
          <w:p>
            <w:pPr>
              <w:pStyle w:val="TableContents"/>
              <w:bidi w:val="0"/>
              <w:spacing w:before="0" w:after="283"/>
              <w:jc w:val="center"/>
              <w:rPr/>
            </w:pPr>
            <w:r>
              <w:rPr/>
              <w:t> </w:t>
            </w:r>
          </w:p>
        </w:tc>
      </w:tr>
      <w:tr>
        <w:trPr/>
        <w:tc>
          <w:tcPr>
            <w:tcW w:w="84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4.1</w:t>
            </w:r>
          </w:p>
        </w:tc>
        <w:tc>
          <w:tcPr>
            <w:tcW w:w="146" w:type="dxa"/>
            <w:tcBorders/>
            <w:vAlign w:val="center"/>
          </w:tcPr>
          <w:p>
            <w:pPr>
              <w:pStyle w:val="TableContents"/>
              <w:bidi w:val="0"/>
              <w:spacing w:before="0" w:after="283"/>
              <w:jc w:val="left"/>
              <w:rPr/>
            </w:pPr>
            <w:r>
              <w:rPr/>
              <w:t> </w:t>
            </w:r>
          </w:p>
        </w:tc>
        <w:tc>
          <w:tcPr>
            <w:tcW w:w="4203" w:type="dxa"/>
            <w:tcBorders/>
            <w:vAlign w:val="center"/>
          </w:tcPr>
          <w:p>
            <w:pPr>
              <w:pStyle w:val="TableContents"/>
              <w:bidi w:val="0"/>
              <w:spacing w:before="0" w:after="283"/>
              <w:jc w:val="left"/>
              <w:rPr/>
            </w:pPr>
            <w:hyperlink r:id="rId2">
              <w:r>
                <w:rPr>
                  <w:rStyle w:val="InternetLink"/>
                  <w:rFonts w:ascii="Times New Roman" w:hAnsi="Times New Roman"/>
                  <w:b w:val="false"/>
                  <w:color w:val="0000FF"/>
                  <w:sz w:val="20"/>
                  <w:u w:val="single"/>
                </w:rPr>
                <w:t>Form of Pre-Funded Warrant.</w:t>
              </w:r>
            </w:hyperlink>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8-K</w:t>
            </w:r>
          </w:p>
        </w:tc>
        <w:tc>
          <w:tcPr>
            <w:tcW w:w="146" w:type="dxa"/>
            <w:tcBorders/>
            <w:vAlign w:val="center"/>
          </w:tcPr>
          <w:p>
            <w:pPr>
              <w:pStyle w:val="TableContents"/>
              <w:bidi w:val="0"/>
              <w:spacing w:before="0" w:after="283"/>
              <w:jc w:val="center"/>
              <w:rPr/>
            </w:pPr>
            <w:r>
              <w:rPr/>
              <w:t> </w:t>
            </w:r>
          </w:p>
        </w:tc>
        <w:tc>
          <w:tcPr>
            <w:tcW w:w="701"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001-39386</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4.1</w:t>
            </w:r>
          </w:p>
        </w:tc>
        <w:tc>
          <w:tcPr>
            <w:tcW w:w="146" w:type="dxa"/>
            <w:tcBorders/>
            <w:vAlign w:val="center"/>
          </w:tcPr>
          <w:p>
            <w:pPr>
              <w:pStyle w:val="TableContents"/>
              <w:bidi w:val="0"/>
              <w:spacing w:before="0" w:after="283"/>
              <w:jc w:val="center"/>
              <w:rPr/>
            </w:pPr>
            <w:r>
              <w:rPr/>
              <w:t> </w:t>
            </w:r>
          </w:p>
        </w:tc>
        <w:tc>
          <w:tcPr>
            <w:tcW w:w="1084"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October 6, 2023</w:t>
            </w:r>
          </w:p>
        </w:tc>
        <w:tc>
          <w:tcPr>
            <w:tcW w:w="146" w:type="dxa"/>
            <w:tcBorders/>
            <w:vAlign w:val="center"/>
          </w:tcPr>
          <w:p>
            <w:pPr>
              <w:pStyle w:val="TableContents"/>
              <w:bidi w:val="0"/>
              <w:spacing w:before="0" w:after="283"/>
              <w:jc w:val="center"/>
              <w:rPr/>
            </w:pPr>
            <w:r>
              <w:rPr/>
              <w:t> </w:t>
            </w:r>
          </w:p>
        </w:tc>
        <w:tc>
          <w:tcPr>
            <w:tcW w:w="1083" w:type="dxa"/>
            <w:tcBorders/>
            <w:vAlign w:val="center"/>
          </w:tcPr>
          <w:p>
            <w:pPr>
              <w:pStyle w:val="TableContents"/>
              <w:bidi w:val="0"/>
              <w:spacing w:before="0" w:after="283"/>
              <w:jc w:val="center"/>
              <w:rPr/>
            </w:pPr>
            <w:r>
              <w:rPr/>
              <w:t> </w:t>
            </w:r>
          </w:p>
        </w:tc>
      </w:tr>
      <w:tr>
        <w:trPr/>
        <w:tc>
          <w:tcPr>
            <w:tcW w:w="8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20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0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3" w:type="dxa"/>
            <w:tcBorders/>
            <w:vAlign w:val="center"/>
          </w:tcPr>
          <w:p>
            <w:pPr>
              <w:pStyle w:val="TableContents"/>
              <w:bidi w:val="0"/>
              <w:spacing w:before="0" w:after="283"/>
              <w:jc w:val="center"/>
              <w:rPr/>
            </w:pPr>
            <w:r>
              <w:rPr/>
              <w:t> </w:t>
            </w:r>
          </w:p>
        </w:tc>
      </w:tr>
      <w:tr>
        <w:trPr/>
        <w:tc>
          <w:tcPr>
            <w:tcW w:w="84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w:t>
            </w:r>
          </w:p>
        </w:tc>
        <w:tc>
          <w:tcPr>
            <w:tcW w:w="146" w:type="dxa"/>
            <w:tcBorders/>
            <w:vAlign w:val="center"/>
          </w:tcPr>
          <w:p>
            <w:pPr>
              <w:pStyle w:val="TableContents"/>
              <w:bidi w:val="0"/>
              <w:spacing w:before="0" w:after="283"/>
              <w:jc w:val="left"/>
              <w:rPr/>
            </w:pPr>
            <w:r>
              <w:rPr/>
              <w:t> </w:t>
            </w:r>
          </w:p>
        </w:tc>
        <w:tc>
          <w:tcPr>
            <w:tcW w:w="4203" w:type="dxa"/>
            <w:tcBorders/>
            <w:vAlign w:val="center"/>
          </w:tcPr>
          <w:p>
            <w:pPr>
              <w:pStyle w:val="TableContents"/>
              <w:bidi w:val="0"/>
              <w:spacing w:before="0" w:after="283"/>
              <w:jc w:val="left"/>
              <w:rPr/>
            </w:pPr>
            <w:hyperlink w:anchor="alxo-ex10_1.htm">
              <w:r>
                <w:rPr>
                  <w:rStyle w:val="InternetLink"/>
                  <w:rFonts w:ascii="Times New Roman" w:hAnsi="Times New Roman"/>
                  <w:b w:val="false"/>
                  <w:color w:val="0000FF"/>
                  <w:sz w:val="20"/>
                  <w:u w:val="single"/>
                </w:rPr>
                <w:t>Amendment No. 1 to the Sales Agreement with Cantor and Credit Suisse, dated August 25, 2023</w:t>
              </w:r>
            </w:hyperlink>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0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3"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X</w:t>
            </w:r>
          </w:p>
        </w:tc>
      </w:tr>
      <w:tr>
        <w:trPr/>
        <w:tc>
          <w:tcPr>
            <w:tcW w:w="8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20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0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3" w:type="dxa"/>
            <w:tcBorders/>
            <w:vAlign w:val="center"/>
          </w:tcPr>
          <w:p>
            <w:pPr>
              <w:pStyle w:val="TableContents"/>
              <w:bidi w:val="0"/>
              <w:spacing w:before="0" w:after="283"/>
              <w:jc w:val="center"/>
              <w:rPr/>
            </w:pPr>
            <w:r>
              <w:rPr/>
              <w:t> </w:t>
            </w:r>
          </w:p>
        </w:tc>
      </w:tr>
      <w:tr>
        <w:trPr/>
        <w:tc>
          <w:tcPr>
            <w:tcW w:w="84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10.2+</w:t>
            </w:r>
          </w:p>
        </w:tc>
        <w:tc>
          <w:tcPr>
            <w:tcW w:w="146" w:type="dxa"/>
            <w:tcBorders/>
            <w:vAlign w:val="center"/>
          </w:tcPr>
          <w:p>
            <w:pPr>
              <w:pStyle w:val="TableContents"/>
              <w:bidi w:val="0"/>
              <w:spacing w:before="0" w:after="283"/>
              <w:jc w:val="left"/>
              <w:rPr/>
            </w:pPr>
            <w:r>
              <w:rPr/>
              <w:t> </w:t>
            </w:r>
          </w:p>
        </w:tc>
        <w:tc>
          <w:tcPr>
            <w:tcW w:w="4203" w:type="dxa"/>
            <w:tcBorders/>
            <w:vAlign w:val="center"/>
          </w:tcPr>
          <w:p>
            <w:pPr>
              <w:pStyle w:val="TableContents"/>
              <w:bidi w:val="0"/>
              <w:spacing w:before="0" w:after="283"/>
              <w:jc w:val="left"/>
              <w:rPr/>
            </w:pPr>
            <w:hyperlink r:id="rId3">
              <w:r>
                <w:rPr>
                  <w:rStyle w:val="InternetLink"/>
                  <w:rFonts w:ascii="Times New Roman" w:hAnsi="Times New Roman"/>
                  <w:b w:val="false"/>
                  <w:color w:val="0000FF"/>
                  <w:sz w:val="20"/>
                  <w:u w:val="single"/>
                </w:rPr>
                <w:t>Confirmatory Employment Letter between the Company and Jason Lettmann, dated September 5, 2023.</w:t>
              </w:r>
            </w:hyperlink>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8-K</w:t>
            </w:r>
          </w:p>
        </w:tc>
        <w:tc>
          <w:tcPr>
            <w:tcW w:w="146" w:type="dxa"/>
            <w:tcBorders/>
            <w:vAlign w:val="center"/>
          </w:tcPr>
          <w:p>
            <w:pPr>
              <w:pStyle w:val="TableContents"/>
              <w:bidi w:val="0"/>
              <w:spacing w:before="0" w:after="283"/>
              <w:jc w:val="center"/>
              <w:rPr/>
            </w:pPr>
            <w:r>
              <w:rPr/>
              <w:t> </w:t>
            </w:r>
          </w:p>
        </w:tc>
        <w:tc>
          <w:tcPr>
            <w:tcW w:w="701"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001-39386</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10.1</w:t>
            </w:r>
          </w:p>
        </w:tc>
        <w:tc>
          <w:tcPr>
            <w:tcW w:w="146" w:type="dxa"/>
            <w:tcBorders/>
            <w:vAlign w:val="center"/>
          </w:tcPr>
          <w:p>
            <w:pPr>
              <w:pStyle w:val="TableContents"/>
              <w:bidi w:val="0"/>
              <w:spacing w:before="0" w:after="283"/>
              <w:jc w:val="center"/>
              <w:rPr/>
            </w:pPr>
            <w:r>
              <w:rPr/>
              <w:t> </w:t>
            </w:r>
          </w:p>
        </w:tc>
        <w:tc>
          <w:tcPr>
            <w:tcW w:w="1084"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September 6, 2023</w:t>
            </w:r>
          </w:p>
        </w:tc>
        <w:tc>
          <w:tcPr>
            <w:tcW w:w="146" w:type="dxa"/>
            <w:tcBorders/>
            <w:vAlign w:val="center"/>
          </w:tcPr>
          <w:p>
            <w:pPr>
              <w:pStyle w:val="TableContents"/>
              <w:bidi w:val="0"/>
              <w:spacing w:before="0" w:after="283"/>
              <w:jc w:val="center"/>
              <w:rPr/>
            </w:pPr>
            <w:r>
              <w:rPr/>
              <w:t> </w:t>
            </w:r>
          </w:p>
        </w:tc>
        <w:tc>
          <w:tcPr>
            <w:tcW w:w="1083" w:type="dxa"/>
            <w:tcBorders/>
            <w:vAlign w:val="center"/>
          </w:tcPr>
          <w:p>
            <w:pPr>
              <w:pStyle w:val="TableContents"/>
              <w:bidi w:val="0"/>
              <w:spacing w:before="0" w:after="283"/>
              <w:jc w:val="center"/>
              <w:rPr/>
            </w:pPr>
            <w:r>
              <w:rPr/>
              <w:t> </w:t>
            </w:r>
          </w:p>
        </w:tc>
      </w:tr>
      <w:tr>
        <w:trPr/>
        <w:tc>
          <w:tcPr>
            <w:tcW w:w="8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20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0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3" w:type="dxa"/>
            <w:tcBorders/>
            <w:vAlign w:val="center"/>
          </w:tcPr>
          <w:p>
            <w:pPr>
              <w:pStyle w:val="TableContents"/>
              <w:bidi w:val="0"/>
              <w:spacing w:before="0" w:after="283"/>
              <w:jc w:val="center"/>
              <w:rPr/>
            </w:pPr>
            <w:r>
              <w:rPr/>
              <w:t> </w:t>
            </w:r>
          </w:p>
        </w:tc>
      </w:tr>
      <w:tr>
        <w:trPr/>
        <w:tc>
          <w:tcPr>
            <w:tcW w:w="84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10.3+</w:t>
            </w:r>
          </w:p>
        </w:tc>
        <w:tc>
          <w:tcPr>
            <w:tcW w:w="146" w:type="dxa"/>
            <w:tcBorders/>
            <w:vAlign w:val="center"/>
          </w:tcPr>
          <w:p>
            <w:pPr>
              <w:pStyle w:val="TableContents"/>
              <w:bidi w:val="0"/>
              <w:spacing w:before="0" w:after="283"/>
              <w:jc w:val="left"/>
              <w:rPr/>
            </w:pPr>
            <w:r>
              <w:rPr/>
              <w:t> </w:t>
            </w:r>
          </w:p>
        </w:tc>
        <w:tc>
          <w:tcPr>
            <w:tcW w:w="4203" w:type="dxa"/>
            <w:tcBorders/>
            <w:vAlign w:val="center"/>
          </w:tcPr>
          <w:p>
            <w:pPr>
              <w:pStyle w:val="TableContents"/>
              <w:bidi w:val="0"/>
              <w:spacing w:before="0" w:after="283"/>
              <w:jc w:val="left"/>
              <w:rPr/>
            </w:pPr>
            <w:hyperlink r:id="rId4">
              <w:r>
                <w:rPr>
                  <w:rStyle w:val="InternetLink"/>
                  <w:rFonts w:ascii="Times New Roman" w:hAnsi="Times New Roman"/>
                  <w:b w:val="false"/>
                  <w:color w:val="0000FF"/>
                  <w:sz w:val="20"/>
                  <w:u w:val="single"/>
                </w:rPr>
                <w:t>Confirmatory Employment Letter between the Company and Jaume Pons, dated September 5, 2023.</w:t>
              </w:r>
            </w:hyperlink>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8-K</w:t>
            </w:r>
          </w:p>
        </w:tc>
        <w:tc>
          <w:tcPr>
            <w:tcW w:w="146" w:type="dxa"/>
            <w:tcBorders/>
            <w:vAlign w:val="center"/>
          </w:tcPr>
          <w:p>
            <w:pPr>
              <w:pStyle w:val="TableContents"/>
              <w:bidi w:val="0"/>
              <w:spacing w:before="0" w:after="283"/>
              <w:jc w:val="center"/>
              <w:rPr/>
            </w:pPr>
            <w:r>
              <w:rPr/>
              <w:t> </w:t>
            </w:r>
          </w:p>
        </w:tc>
        <w:tc>
          <w:tcPr>
            <w:tcW w:w="701"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001-39386</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10.2</w:t>
            </w:r>
          </w:p>
        </w:tc>
        <w:tc>
          <w:tcPr>
            <w:tcW w:w="146" w:type="dxa"/>
            <w:tcBorders/>
            <w:vAlign w:val="center"/>
          </w:tcPr>
          <w:p>
            <w:pPr>
              <w:pStyle w:val="TableContents"/>
              <w:bidi w:val="0"/>
              <w:spacing w:before="0" w:after="283"/>
              <w:jc w:val="center"/>
              <w:rPr/>
            </w:pPr>
            <w:r>
              <w:rPr/>
              <w:t> </w:t>
            </w:r>
          </w:p>
        </w:tc>
        <w:tc>
          <w:tcPr>
            <w:tcW w:w="1084"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September 6, 2023</w:t>
            </w:r>
          </w:p>
        </w:tc>
        <w:tc>
          <w:tcPr>
            <w:tcW w:w="146" w:type="dxa"/>
            <w:tcBorders/>
            <w:vAlign w:val="center"/>
          </w:tcPr>
          <w:p>
            <w:pPr>
              <w:pStyle w:val="TableContents"/>
              <w:bidi w:val="0"/>
              <w:spacing w:before="0" w:after="283"/>
              <w:jc w:val="center"/>
              <w:rPr/>
            </w:pPr>
            <w:r>
              <w:rPr/>
              <w:t> </w:t>
            </w:r>
          </w:p>
        </w:tc>
        <w:tc>
          <w:tcPr>
            <w:tcW w:w="1083" w:type="dxa"/>
            <w:tcBorders/>
            <w:vAlign w:val="center"/>
          </w:tcPr>
          <w:p>
            <w:pPr>
              <w:pStyle w:val="TableContents"/>
              <w:bidi w:val="0"/>
              <w:spacing w:before="0" w:after="283"/>
              <w:jc w:val="center"/>
              <w:rPr/>
            </w:pPr>
            <w:r>
              <w:rPr/>
              <w:t> </w:t>
            </w:r>
          </w:p>
        </w:tc>
      </w:tr>
      <w:tr>
        <w:trPr/>
        <w:tc>
          <w:tcPr>
            <w:tcW w:w="8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20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0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3" w:type="dxa"/>
            <w:tcBorders/>
            <w:vAlign w:val="center"/>
          </w:tcPr>
          <w:p>
            <w:pPr>
              <w:pStyle w:val="TableContents"/>
              <w:bidi w:val="0"/>
              <w:spacing w:before="0" w:after="283"/>
              <w:jc w:val="center"/>
              <w:rPr/>
            </w:pPr>
            <w:r>
              <w:rPr/>
              <w:t> </w:t>
            </w:r>
          </w:p>
        </w:tc>
      </w:tr>
      <w:tr>
        <w:trPr/>
        <w:tc>
          <w:tcPr>
            <w:tcW w:w="84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31.1</w:t>
            </w:r>
          </w:p>
        </w:tc>
        <w:tc>
          <w:tcPr>
            <w:tcW w:w="146" w:type="dxa"/>
            <w:tcBorders/>
            <w:vAlign w:val="center"/>
          </w:tcPr>
          <w:p>
            <w:pPr>
              <w:pStyle w:val="TableContents"/>
              <w:bidi w:val="0"/>
              <w:spacing w:before="0" w:after="283"/>
              <w:jc w:val="left"/>
              <w:rPr/>
            </w:pPr>
            <w:r>
              <w:rPr/>
              <w:t> </w:t>
            </w:r>
          </w:p>
        </w:tc>
        <w:tc>
          <w:tcPr>
            <w:tcW w:w="4203" w:type="dxa"/>
            <w:tcBorders/>
            <w:vAlign w:val="center"/>
          </w:tcPr>
          <w:p>
            <w:pPr>
              <w:pStyle w:val="TableContents"/>
              <w:bidi w:val="0"/>
              <w:spacing w:before="0" w:after="283"/>
              <w:jc w:val="left"/>
              <w:rPr/>
            </w:pPr>
            <w:hyperlink w:anchor="alxo-ex31_1.htm">
              <w:r>
                <w:rPr>
                  <w:rStyle w:val="InternetLink"/>
                  <w:rFonts w:ascii="Times New Roman" w:hAnsi="Times New Roman"/>
                  <w:b w:val="false"/>
                  <w:color w:val="0000EE"/>
                  <w:sz w:val="20"/>
                  <w:u w:val="single"/>
                </w:rPr>
                <w:t>Certification of Principal Executive Officer Pursuant to Rules 13a-14(a) and 15d-14(a) under the Securities Exchange Act of 1934, as Adopted Pursuant to Section 302 of the Sarbanes-Oxley Act of 2002.</w:t>
              </w:r>
            </w:hyperlink>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0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3"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X</w:t>
            </w:r>
          </w:p>
        </w:tc>
      </w:tr>
      <w:tr>
        <w:trPr/>
        <w:tc>
          <w:tcPr>
            <w:tcW w:w="8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20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0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3" w:type="dxa"/>
            <w:tcBorders/>
            <w:vAlign w:val="center"/>
          </w:tcPr>
          <w:p>
            <w:pPr>
              <w:pStyle w:val="TableContents"/>
              <w:bidi w:val="0"/>
              <w:spacing w:before="0" w:after="283"/>
              <w:jc w:val="center"/>
              <w:rPr/>
            </w:pPr>
            <w:r>
              <w:rPr/>
              <w:t> </w:t>
            </w:r>
          </w:p>
        </w:tc>
      </w:tr>
      <w:tr>
        <w:trPr/>
        <w:tc>
          <w:tcPr>
            <w:tcW w:w="84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31.2</w:t>
            </w:r>
          </w:p>
        </w:tc>
        <w:tc>
          <w:tcPr>
            <w:tcW w:w="146" w:type="dxa"/>
            <w:tcBorders/>
            <w:vAlign w:val="center"/>
          </w:tcPr>
          <w:p>
            <w:pPr>
              <w:pStyle w:val="TableContents"/>
              <w:bidi w:val="0"/>
              <w:spacing w:before="0" w:after="283"/>
              <w:jc w:val="left"/>
              <w:rPr/>
            </w:pPr>
            <w:r>
              <w:rPr/>
              <w:t> </w:t>
            </w:r>
          </w:p>
        </w:tc>
        <w:tc>
          <w:tcPr>
            <w:tcW w:w="4203" w:type="dxa"/>
            <w:tcBorders/>
            <w:vAlign w:val="center"/>
          </w:tcPr>
          <w:p>
            <w:pPr>
              <w:pStyle w:val="TableContents"/>
              <w:bidi w:val="0"/>
              <w:spacing w:before="0" w:after="283"/>
              <w:jc w:val="left"/>
              <w:rPr/>
            </w:pPr>
            <w:hyperlink w:anchor="alxo-ex31_2.htm">
              <w:r>
                <w:rPr>
                  <w:rStyle w:val="InternetLink"/>
                  <w:rFonts w:ascii="Times New Roman" w:hAnsi="Times New Roman"/>
                  <w:b w:val="false"/>
                  <w:color w:val="0000EE"/>
                  <w:sz w:val="20"/>
                  <w:u w:val="single"/>
                </w:rPr>
                <w:t>Certification of Principal Financial Officer Pursuant to Rules 13a-14(a) and 15d-14(a) under the Securities Exchange Act of 1934, as Adopted Pursuant to Section 302 of the Sarbanes-Oxley Act of 2002.</w:t>
              </w:r>
            </w:hyperlink>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0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3"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X</w:t>
            </w:r>
          </w:p>
        </w:tc>
      </w:tr>
      <w:tr>
        <w:trPr/>
        <w:tc>
          <w:tcPr>
            <w:tcW w:w="8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20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0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3" w:type="dxa"/>
            <w:tcBorders/>
            <w:vAlign w:val="center"/>
          </w:tcPr>
          <w:p>
            <w:pPr>
              <w:pStyle w:val="TableContents"/>
              <w:bidi w:val="0"/>
              <w:spacing w:before="0" w:after="283"/>
              <w:jc w:val="center"/>
              <w:rPr/>
            </w:pPr>
            <w:r>
              <w:rPr/>
              <w:t> </w:t>
            </w:r>
          </w:p>
        </w:tc>
      </w:tr>
      <w:tr>
        <w:trPr/>
        <w:tc>
          <w:tcPr>
            <w:tcW w:w="84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32.1*</w:t>
            </w:r>
          </w:p>
        </w:tc>
        <w:tc>
          <w:tcPr>
            <w:tcW w:w="146" w:type="dxa"/>
            <w:tcBorders/>
            <w:vAlign w:val="center"/>
          </w:tcPr>
          <w:p>
            <w:pPr>
              <w:pStyle w:val="TableContents"/>
              <w:bidi w:val="0"/>
              <w:spacing w:before="0" w:after="283"/>
              <w:jc w:val="left"/>
              <w:rPr/>
            </w:pPr>
            <w:r>
              <w:rPr/>
              <w:t> </w:t>
            </w:r>
          </w:p>
        </w:tc>
        <w:tc>
          <w:tcPr>
            <w:tcW w:w="4203" w:type="dxa"/>
            <w:tcBorders/>
            <w:vAlign w:val="center"/>
          </w:tcPr>
          <w:p>
            <w:pPr>
              <w:pStyle w:val="TableContents"/>
              <w:bidi w:val="0"/>
              <w:spacing w:before="0" w:after="283"/>
              <w:jc w:val="left"/>
              <w:rPr/>
            </w:pPr>
            <w:hyperlink w:anchor="alxo-ex32_1.htm">
              <w:r>
                <w:rPr>
                  <w:rStyle w:val="InternetLink"/>
                  <w:rFonts w:ascii="Times New Roman" w:hAnsi="Times New Roman"/>
                  <w:b w:val="false"/>
                  <w:color w:val="0000EE"/>
                  <w:sz w:val="20"/>
                  <w:u w:val="single"/>
                </w:rPr>
                <w:t>Certification of Principal Executive Officer Pursuant to 18 U.S.C. Section 1350, as Adopted Pursuant to Section 906 of the Sarbanes-Oxley Act of 2002.</w:t>
              </w:r>
            </w:hyperlink>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0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3"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X</w:t>
            </w:r>
          </w:p>
        </w:tc>
      </w:tr>
      <w:tr>
        <w:trPr/>
        <w:tc>
          <w:tcPr>
            <w:tcW w:w="8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20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0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3" w:type="dxa"/>
            <w:tcBorders/>
            <w:vAlign w:val="center"/>
          </w:tcPr>
          <w:p>
            <w:pPr>
              <w:pStyle w:val="TableContents"/>
              <w:bidi w:val="0"/>
              <w:spacing w:before="0" w:after="283"/>
              <w:jc w:val="center"/>
              <w:rPr/>
            </w:pPr>
            <w:r>
              <w:rPr/>
              <w:t> </w:t>
            </w:r>
          </w:p>
        </w:tc>
      </w:tr>
      <w:tr>
        <w:trPr/>
        <w:tc>
          <w:tcPr>
            <w:tcW w:w="84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32.2*</w:t>
            </w:r>
          </w:p>
        </w:tc>
        <w:tc>
          <w:tcPr>
            <w:tcW w:w="146" w:type="dxa"/>
            <w:tcBorders/>
            <w:vAlign w:val="center"/>
          </w:tcPr>
          <w:p>
            <w:pPr>
              <w:pStyle w:val="TableContents"/>
              <w:bidi w:val="0"/>
              <w:spacing w:before="0" w:after="283"/>
              <w:jc w:val="left"/>
              <w:rPr/>
            </w:pPr>
            <w:r>
              <w:rPr/>
              <w:t> </w:t>
            </w:r>
          </w:p>
        </w:tc>
        <w:tc>
          <w:tcPr>
            <w:tcW w:w="4203" w:type="dxa"/>
            <w:tcBorders/>
            <w:vAlign w:val="center"/>
          </w:tcPr>
          <w:p>
            <w:pPr>
              <w:pStyle w:val="TableContents"/>
              <w:bidi w:val="0"/>
              <w:spacing w:before="0" w:after="283"/>
              <w:jc w:val="left"/>
              <w:rPr/>
            </w:pPr>
            <w:hyperlink w:anchor="alxo-ex32_2.htm">
              <w:r>
                <w:rPr>
                  <w:rStyle w:val="InternetLink"/>
                  <w:rFonts w:ascii="Times New Roman" w:hAnsi="Times New Roman"/>
                  <w:b w:val="false"/>
                  <w:color w:val="0000EE"/>
                  <w:sz w:val="20"/>
                  <w:u w:val="single"/>
                </w:rPr>
                <w:t>Certification of Principal Financial Officer Pursuant to 18 U.S.C. Section 1350, as Adopted Pursuant to Section 906 of the Sarbanes-Oxley Act of 2002.</w:t>
              </w:r>
            </w:hyperlink>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0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3"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X</w:t>
            </w:r>
          </w:p>
        </w:tc>
      </w:tr>
      <w:tr>
        <w:trPr/>
        <w:tc>
          <w:tcPr>
            <w:tcW w:w="8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20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0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3" w:type="dxa"/>
            <w:tcBorders/>
            <w:vAlign w:val="center"/>
          </w:tcPr>
          <w:p>
            <w:pPr>
              <w:pStyle w:val="TableContents"/>
              <w:bidi w:val="0"/>
              <w:spacing w:before="0" w:after="283"/>
              <w:jc w:val="center"/>
              <w:rPr/>
            </w:pPr>
            <w:r>
              <w:rPr/>
              <w:t> </w:t>
            </w:r>
          </w:p>
        </w:tc>
      </w:tr>
      <w:tr>
        <w:trPr/>
        <w:tc>
          <w:tcPr>
            <w:tcW w:w="84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101.INS</w:t>
            </w:r>
          </w:p>
        </w:tc>
        <w:tc>
          <w:tcPr>
            <w:tcW w:w="146" w:type="dxa"/>
            <w:tcBorders/>
            <w:vAlign w:val="center"/>
          </w:tcPr>
          <w:p>
            <w:pPr>
              <w:pStyle w:val="TableContents"/>
              <w:bidi w:val="0"/>
              <w:spacing w:before="0" w:after="283"/>
              <w:jc w:val="left"/>
              <w:rPr/>
            </w:pPr>
            <w:r>
              <w:rPr/>
              <w:t> </w:t>
            </w:r>
          </w:p>
        </w:tc>
        <w:tc>
          <w:tcPr>
            <w:tcW w:w="4203"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Instance Document. - the Instance Document does not appear in the Interactive Data File because its XBRL tags are embedded within the Inline XBRL document</w:t>
            </w:r>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0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3"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X</w:t>
            </w:r>
          </w:p>
        </w:tc>
      </w:tr>
      <w:tr>
        <w:trPr/>
        <w:tc>
          <w:tcPr>
            <w:tcW w:w="8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20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0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3" w:type="dxa"/>
            <w:tcBorders/>
            <w:vAlign w:val="center"/>
          </w:tcPr>
          <w:p>
            <w:pPr>
              <w:pStyle w:val="TableContents"/>
              <w:bidi w:val="0"/>
              <w:spacing w:before="0" w:after="283"/>
              <w:jc w:val="center"/>
              <w:rPr/>
            </w:pPr>
            <w:r>
              <w:rPr/>
              <w:t> </w:t>
            </w:r>
          </w:p>
        </w:tc>
      </w:tr>
      <w:tr>
        <w:trPr/>
        <w:tc>
          <w:tcPr>
            <w:tcW w:w="84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101.SCH</w:t>
            </w:r>
          </w:p>
        </w:tc>
        <w:tc>
          <w:tcPr>
            <w:tcW w:w="146" w:type="dxa"/>
            <w:tcBorders/>
            <w:vAlign w:val="center"/>
          </w:tcPr>
          <w:p>
            <w:pPr>
              <w:pStyle w:val="TableContents"/>
              <w:bidi w:val="0"/>
              <w:spacing w:before="0" w:after="283"/>
              <w:jc w:val="left"/>
              <w:rPr/>
            </w:pPr>
            <w:r>
              <w:rPr/>
              <w:t> </w:t>
            </w:r>
          </w:p>
        </w:tc>
        <w:tc>
          <w:tcPr>
            <w:tcW w:w="4203"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Schema Document.</w:t>
            </w:r>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0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3"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X</w:t>
            </w:r>
          </w:p>
        </w:tc>
      </w:tr>
      <w:tr>
        <w:trPr/>
        <w:tc>
          <w:tcPr>
            <w:tcW w:w="8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20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0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3" w:type="dxa"/>
            <w:tcBorders/>
            <w:vAlign w:val="center"/>
          </w:tcPr>
          <w:p>
            <w:pPr>
              <w:pStyle w:val="TableContents"/>
              <w:bidi w:val="0"/>
              <w:spacing w:before="0" w:after="283"/>
              <w:jc w:val="center"/>
              <w:rPr/>
            </w:pPr>
            <w:r>
              <w:rPr/>
              <w:t> </w:t>
            </w:r>
          </w:p>
        </w:tc>
      </w:tr>
      <w:tr>
        <w:trPr/>
        <w:tc>
          <w:tcPr>
            <w:tcW w:w="84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101.CAL</w:t>
            </w:r>
          </w:p>
        </w:tc>
        <w:tc>
          <w:tcPr>
            <w:tcW w:w="146" w:type="dxa"/>
            <w:tcBorders/>
            <w:vAlign w:val="center"/>
          </w:tcPr>
          <w:p>
            <w:pPr>
              <w:pStyle w:val="TableContents"/>
              <w:bidi w:val="0"/>
              <w:spacing w:before="0" w:after="283"/>
              <w:jc w:val="left"/>
              <w:rPr/>
            </w:pPr>
            <w:r>
              <w:rPr/>
              <w:t> </w:t>
            </w:r>
          </w:p>
        </w:tc>
        <w:tc>
          <w:tcPr>
            <w:tcW w:w="4203"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Calculation Linkbase Document.</w:t>
            </w:r>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0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3"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X</w:t>
            </w:r>
          </w:p>
        </w:tc>
      </w:tr>
      <w:tr>
        <w:trPr/>
        <w:tc>
          <w:tcPr>
            <w:tcW w:w="8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20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0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3" w:type="dxa"/>
            <w:tcBorders/>
            <w:vAlign w:val="center"/>
          </w:tcPr>
          <w:p>
            <w:pPr>
              <w:pStyle w:val="TableContents"/>
              <w:bidi w:val="0"/>
              <w:spacing w:before="0" w:after="283"/>
              <w:jc w:val="center"/>
              <w:rPr/>
            </w:pPr>
            <w:r>
              <w:rPr/>
              <w:t> </w:t>
            </w:r>
          </w:p>
        </w:tc>
      </w:tr>
      <w:tr>
        <w:trPr/>
        <w:tc>
          <w:tcPr>
            <w:tcW w:w="84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101.DEF</w:t>
            </w:r>
          </w:p>
        </w:tc>
        <w:tc>
          <w:tcPr>
            <w:tcW w:w="146" w:type="dxa"/>
            <w:tcBorders/>
            <w:vAlign w:val="center"/>
          </w:tcPr>
          <w:p>
            <w:pPr>
              <w:pStyle w:val="TableContents"/>
              <w:bidi w:val="0"/>
              <w:spacing w:before="0" w:after="283"/>
              <w:jc w:val="left"/>
              <w:rPr/>
            </w:pPr>
            <w:r>
              <w:rPr/>
              <w:t> </w:t>
            </w:r>
          </w:p>
        </w:tc>
        <w:tc>
          <w:tcPr>
            <w:tcW w:w="4203"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Definition Linkbase Document.</w:t>
            </w:r>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0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3"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X</w:t>
            </w:r>
          </w:p>
        </w:tc>
      </w:tr>
      <w:tr>
        <w:trPr/>
        <w:tc>
          <w:tcPr>
            <w:tcW w:w="8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20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0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3" w:type="dxa"/>
            <w:tcBorders/>
            <w:vAlign w:val="center"/>
          </w:tcPr>
          <w:p>
            <w:pPr>
              <w:pStyle w:val="TableContents"/>
              <w:bidi w:val="0"/>
              <w:spacing w:before="0" w:after="283"/>
              <w:jc w:val="center"/>
              <w:rPr/>
            </w:pPr>
            <w:r>
              <w:rPr/>
              <w:t> </w:t>
            </w:r>
          </w:p>
        </w:tc>
      </w:tr>
      <w:tr>
        <w:trPr/>
        <w:tc>
          <w:tcPr>
            <w:tcW w:w="84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101.LAB</w:t>
            </w:r>
          </w:p>
        </w:tc>
        <w:tc>
          <w:tcPr>
            <w:tcW w:w="146" w:type="dxa"/>
            <w:tcBorders/>
            <w:vAlign w:val="center"/>
          </w:tcPr>
          <w:p>
            <w:pPr>
              <w:pStyle w:val="TableContents"/>
              <w:bidi w:val="0"/>
              <w:spacing w:before="0" w:after="283"/>
              <w:jc w:val="left"/>
              <w:rPr/>
            </w:pPr>
            <w:r>
              <w:rPr/>
              <w:t> </w:t>
            </w:r>
          </w:p>
        </w:tc>
        <w:tc>
          <w:tcPr>
            <w:tcW w:w="4203"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Label Linkbase Document.</w:t>
            </w:r>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0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3"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X</w:t>
            </w:r>
          </w:p>
        </w:tc>
      </w:tr>
      <w:tr>
        <w:trPr/>
        <w:tc>
          <w:tcPr>
            <w:tcW w:w="8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20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0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3" w:type="dxa"/>
            <w:tcBorders/>
            <w:vAlign w:val="center"/>
          </w:tcPr>
          <w:p>
            <w:pPr>
              <w:pStyle w:val="TableContents"/>
              <w:bidi w:val="0"/>
              <w:spacing w:before="0" w:after="283"/>
              <w:jc w:val="center"/>
              <w:rPr/>
            </w:pPr>
            <w:r>
              <w:rPr/>
              <w:t> </w:t>
            </w:r>
          </w:p>
        </w:tc>
      </w:tr>
      <w:tr>
        <w:trPr/>
        <w:tc>
          <w:tcPr>
            <w:tcW w:w="84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101.PRE</w:t>
            </w:r>
          </w:p>
        </w:tc>
        <w:tc>
          <w:tcPr>
            <w:tcW w:w="146" w:type="dxa"/>
            <w:tcBorders/>
            <w:vAlign w:val="center"/>
          </w:tcPr>
          <w:p>
            <w:pPr>
              <w:pStyle w:val="TableContents"/>
              <w:bidi w:val="0"/>
              <w:spacing w:before="0" w:after="283"/>
              <w:jc w:val="left"/>
              <w:rPr/>
            </w:pPr>
            <w:r>
              <w:rPr/>
              <w:t> </w:t>
            </w:r>
          </w:p>
        </w:tc>
        <w:tc>
          <w:tcPr>
            <w:tcW w:w="4203"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Presentation Linkbase Document.</w:t>
            </w:r>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0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3"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X</w:t>
            </w:r>
          </w:p>
        </w:tc>
      </w:tr>
      <w:tr>
        <w:trPr/>
        <w:tc>
          <w:tcPr>
            <w:tcW w:w="8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20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0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3" w:type="dxa"/>
            <w:tcBorders/>
            <w:vAlign w:val="center"/>
          </w:tcPr>
          <w:p>
            <w:pPr>
              <w:pStyle w:val="TableContents"/>
              <w:bidi w:val="0"/>
              <w:spacing w:before="0" w:after="283"/>
              <w:jc w:val="center"/>
              <w:rPr/>
            </w:pPr>
            <w:r>
              <w:rPr/>
              <w:t> </w:t>
            </w:r>
          </w:p>
        </w:tc>
      </w:tr>
      <w:tr>
        <w:trPr/>
        <w:tc>
          <w:tcPr>
            <w:tcW w:w="84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104</w:t>
            </w:r>
          </w:p>
        </w:tc>
        <w:tc>
          <w:tcPr>
            <w:tcW w:w="146" w:type="dxa"/>
            <w:tcBorders/>
            <w:vAlign w:val="center"/>
          </w:tcPr>
          <w:p>
            <w:pPr>
              <w:pStyle w:val="TableContents"/>
              <w:bidi w:val="0"/>
              <w:spacing w:before="0" w:after="283"/>
              <w:jc w:val="left"/>
              <w:rPr/>
            </w:pPr>
            <w:r>
              <w:rPr/>
              <w:t> </w:t>
            </w:r>
          </w:p>
        </w:tc>
        <w:tc>
          <w:tcPr>
            <w:tcW w:w="4203"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Cover Page Interactive Data File (formatted as Inline XBRL and included in exhibit 101)</w:t>
            </w:r>
          </w:p>
        </w:tc>
        <w:tc>
          <w:tcPr>
            <w:tcW w:w="146"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0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83"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X</w:t>
            </w:r>
          </w:p>
        </w:tc>
      </w:tr>
    </w:tbl>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Certain confidential information contained in this document, marked by [***], has been omitted pursuant to Item 601(b)(10)(iv) of Regulation S-K because it is both (i) not material and (ii) the type of information that the registrant treats as private or confidential.</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Certain exhibits and schedules have been omitted in accordance with Item 601(a)(5) of Regulation S-K. The registrant agrees to furnish supplementally a copy of any omitted exhibit or schedule to the SEC upon its request.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The certifications attached as Exhibit 32.1 and 32.2 that accompany this Quarterly Report on Form 10-Q are deemed furnished and not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2" w:name="signatures"/>
      <w:bookmarkEnd w:id="22"/>
      <w:r>
        <w:rPr>
          <w:rFonts w:ascii="Times New Roman" w:hAnsi="Times New Roman"/>
          <w:b/>
          <w:color w:val="000000"/>
          <w:sz w:val="20"/>
        </w:rPr>
        <w:t>SIGNATURES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Pursuant to the requirements of the Securities Exchange Act of 1934, this report has been signed below by the following persons on behalf of the registrant and in the capacities and on the dates indicated</w:t>
      </w:r>
      <w:r>
        <w:rPr>
          <w:rFonts w:ascii="Times New Roman" w:hAnsi="Times New Roman"/>
          <w:b/>
          <w:color w:val="000000"/>
          <w:sz w:val="20"/>
        </w:rPr>
        <w:t>.</w:t>
      </w:r>
    </w:p>
    <w:p>
      <w:pPr>
        <w:pStyle w:val="TextBody"/>
        <w:bidi w:val="0"/>
        <w:jc w:val="left"/>
        <w:rPr/>
      </w:pPr>
      <w:r>
        <w:rPr/>
        <w:t> </w:t>
      </w:r>
    </w:p>
    <w:tbl>
      <w:tblPr>
        <w:tblW w:w="5834" w:type="dxa"/>
        <w:jc w:val="left"/>
        <w:tblInd w:w="0" w:type="dxa"/>
        <w:tblLayout w:type="fixed"/>
        <w:tblCellMar>
          <w:top w:w="28" w:type="dxa"/>
          <w:left w:w="28" w:type="dxa"/>
          <w:bottom w:w="28" w:type="dxa"/>
          <w:right w:w="28" w:type="dxa"/>
        </w:tblCellMar>
      </w:tblPr>
      <w:tblGrid>
        <w:gridCol w:w="2206"/>
        <w:gridCol w:w="146"/>
        <w:gridCol w:w="406"/>
        <w:gridCol w:w="3076"/>
      </w:tblGrid>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ALX ONCOLOGY HOLDINGS INC.</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13,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307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 Jason Lettmann</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Jason Lettmann</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tbl>
      <w:tblPr>
        <w:tblW w:w="5324" w:type="dxa"/>
        <w:jc w:val="left"/>
        <w:tblInd w:w="0" w:type="dxa"/>
        <w:tblLayout w:type="fixed"/>
        <w:tblCellMar>
          <w:top w:w="28" w:type="dxa"/>
          <w:left w:w="28" w:type="dxa"/>
          <w:bottom w:w="28" w:type="dxa"/>
          <w:right w:w="28" w:type="dxa"/>
        </w:tblCellMar>
      </w:tblPr>
      <w:tblGrid>
        <w:gridCol w:w="2206"/>
        <w:gridCol w:w="146"/>
        <w:gridCol w:w="406"/>
        <w:gridCol w:w="2566"/>
      </w:tblGrid>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6" w:type="dxa"/>
            <w:tcBorders/>
            <w:shd w:fill="FFFFFF" w:val="clear"/>
            <w:vAlign w:val="center"/>
          </w:tcPr>
          <w:p>
            <w:pPr>
              <w:pStyle w:val="TableContents"/>
              <w:bidi w:val="0"/>
              <w:spacing w:before="0" w:after="283"/>
              <w:jc w:val="lef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13,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25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 Peter Garcia</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Peter Garcia</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Officer)</w:t>
            </w:r>
          </w:p>
        </w:tc>
      </w:tr>
    </w:tbl>
    <w:p>
      <w:pPr>
        <w:pStyle w:val="TextBody"/>
        <w:bidi w:val="0"/>
        <w:jc w:val="left"/>
        <w:rPr/>
      </w:pPr>
      <w:r>
        <w:rPr/>
        <w:t> </w:t>
      </w:r>
    </w:p>
    <w:tbl>
      <w:tblPr>
        <w:tblW w:w="7994" w:type="dxa"/>
        <w:jc w:val="left"/>
        <w:tblInd w:w="0" w:type="dxa"/>
        <w:tblLayout w:type="fixed"/>
        <w:tblCellMar>
          <w:top w:w="28" w:type="dxa"/>
          <w:left w:w="28" w:type="dxa"/>
          <w:bottom w:w="28" w:type="dxa"/>
          <w:right w:w="28" w:type="dxa"/>
        </w:tblCellMar>
      </w:tblPr>
      <w:tblGrid>
        <w:gridCol w:w="2206"/>
        <w:gridCol w:w="146"/>
        <w:gridCol w:w="406"/>
        <w:gridCol w:w="5236"/>
      </w:tblGrid>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236"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13,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523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 Shelly Pinto</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Shelly Pinto</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Senior Vice President, Finance and Chief Accounting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Accounting Officer)</w:t>
            </w:r>
          </w:p>
        </w:tc>
      </w:tr>
    </w:tbl>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83</w:t>
      </w:r>
    </w:p>
    <w:p>
      <w:pPr>
        <w:pStyle w:val="HorizontalLine"/>
        <w:pBdr>
          <w:bottom w:val="double" w:sz="2" w:space="0" w:color="808080"/>
        </w:pBdr>
        <w:bidi w:val="0"/>
        <w:spacing w:before="0" w:after="283"/>
        <w:jc w:val="left"/>
        <w:rPr/>
      </w:pPr>
      <w:r>
        <w:rPr/>
      </w:r>
    </w:p>
    <w:p>
      <w:pPr>
        <w:pStyle w:val="TextBody"/>
        <w:bidi w:val="0"/>
        <w:jc w:val="right"/>
        <w:rPr/>
      </w:pPr>
      <w:bookmarkStart w:id="23" w:name="alxo-ex10_1.htm"/>
      <w:bookmarkStart w:id="24" w:name="ksalxoex10_1"/>
      <w:bookmarkEnd w:id="23"/>
      <w:bookmarkEnd w:id="24"/>
      <w:r>
        <w:rPr/>
        <w:t> </w:t>
      </w:r>
      <w:r>
        <w:br w:type="page"/>
      </w:r>
    </w:p>
    <w:p>
      <w:pPr>
        <w:pStyle w:val="TextBody"/>
        <w:bidi w:val="0"/>
        <w:jc w:val="right"/>
        <w:rPr>
          <w:rFonts w:ascii="Times New Roman" w:hAnsi="Times New Roman"/>
          <w:b/>
          <w:color w:val="000000"/>
          <w:sz w:val="22"/>
        </w:rPr>
      </w:pPr>
      <w:r>
        <w:rPr>
          <w:rFonts w:ascii="Times New Roman" w:hAnsi="Times New Roman"/>
          <w:b/>
          <w:color w:val="000000"/>
          <w:sz w:val="22"/>
        </w:rPr>
        <w:t>Exhibit 10.1</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 = Pursuant to Item 601(b)(10) of Regulation S-K, certain information contained in this document, marked by brackets, has been omitted because it is both not material and is the type of information that the registrant treats as private or confidential.</w:t>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ALX ONCOLOGY HOLDINGS INC.</w:t>
      </w:r>
    </w:p>
    <w:p>
      <w:pPr>
        <w:pStyle w:val="TextBody"/>
        <w:bidi w:val="0"/>
        <w:jc w:val="center"/>
        <w:rPr>
          <w:rFonts w:ascii="Times New Roman" w:hAnsi="Times New Roman"/>
          <w:sz w:val="20"/>
        </w:rPr>
      </w:pPr>
      <w:r>
        <w:rPr>
          <w:rFonts w:ascii="Times New Roman" w:hAnsi="Times New Roman"/>
          <w:b/>
          <w:color w:val="000000"/>
          <w:sz w:val="22"/>
        </w:rPr>
        <w:t>AMENDMENT NO. 1 TO THE</w:t>
      </w:r>
      <w:r>
        <w:rPr>
          <w:rFonts w:ascii="Times New Roman" w:hAnsi="Times New Roman"/>
          <w:color w:val="000000"/>
          <w:sz w:val="20"/>
        </w:rPr>
        <w:t xml:space="preserve"> </w:t>
      </w:r>
    </w:p>
    <w:p>
      <w:pPr>
        <w:pStyle w:val="TextBody"/>
        <w:bidi w:val="0"/>
        <w:jc w:val="center"/>
        <w:rPr>
          <w:rFonts w:ascii="Times New Roman" w:hAnsi="Times New Roman"/>
          <w:b/>
          <w:color w:val="000000"/>
          <w:sz w:val="22"/>
          <w:u w:val="single"/>
        </w:rPr>
      </w:pPr>
      <w:r>
        <w:rPr>
          <w:rFonts w:ascii="Times New Roman" w:hAnsi="Times New Roman"/>
          <w:b/>
          <w:color w:val="000000"/>
          <w:sz w:val="22"/>
          <w:u w:val="single"/>
        </w:rPr>
        <w:t>SALES AGREEMENT</w:t>
      </w:r>
    </w:p>
    <w:p>
      <w:pPr>
        <w:pStyle w:val="TextBody"/>
        <w:bidi w:val="0"/>
        <w:spacing w:before="240" w:after="283"/>
        <w:jc w:val="right"/>
        <w:rPr>
          <w:rFonts w:ascii="Times New Roman" w:hAnsi="Times New Roman"/>
          <w:b w:val="false"/>
          <w:color w:val="000000"/>
          <w:sz w:val="22"/>
        </w:rPr>
      </w:pPr>
      <w:r>
        <w:rPr>
          <w:rFonts w:ascii="Times New Roman" w:hAnsi="Times New Roman"/>
          <w:b w:val="false"/>
          <w:color w:val="000000"/>
          <w:sz w:val="22"/>
        </w:rPr>
        <w:t>August 25, 2023</w:t>
      </w:r>
    </w:p>
    <w:p>
      <w:pPr>
        <w:pStyle w:val="TextBody"/>
        <w:bidi w:val="0"/>
        <w:spacing w:before="240" w:after="283"/>
        <w:jc w:val="left"/>
        <w:rPr>
          <w:rFonts w:ascii="Times New Roman" w:hAnsi="Times New Roman"/>
          <w:b w:val="false"/>
          <w:color w:val="000000"/>
          <w:sz w:val="22"/>
        </w:rPr>
      </w:pPr>
      <w:r>
        <w:rPr>
          <w:rFonts w:ascii="Times New Roman" w:hAnsi="Times New Roman"/>
          <w:b w:val="false"/>
          <w:color w:val="000000"/>
          <w:sz w:val="22"/>
        </w:rPr>
        <w:t>Cantor Fitzgerald &amp; Co.</w:t>
      </w:r>
    </w:p>
    <w:p>
      <w:pPr>
        <w:pStyle w:val="TextBody"/>
        <w:bidi w:val="0"/>
        <w:jc w:val="left"/>
        <w:rPr>
          <w:rFonts w:ascii="Times New Roman" w:hAnsi="Times New Roman"/>
          <w:b w:val="false"/>
          <w:color w:val="000000"/>
          <w:sz w:val="22"/>
        </w:rPr>
      </w:pPr>
      <w:r>
        <w:rPr>
          <w:rFonts w:ascii="Times New Roman" w:hAnsi="Times New Roman"/>
          <w:b w:val="false"/>
          <w:color w:val="000000"/>
          <w:sz w:val="22"/>
        </w:rPr>
        <w:t>110 E 59th Steet, 6th Floor</w:t>
      </w:r>
    </w:p>
    <w:p>
      <w:pPr>
        <w:pStyle w:val="TextBody"/>
        <w:bidi w:val="0"/>
        <w:jc w:val="left"/>
        <w:rPr>
          <w:rFonts w:ascii="Times New Roman" w:hAnsi="Times New Roman"/>
          <w:b w:val="false"/>
          <w:color w:val="000000"/>
          <w:sz w:val="22"/>
        </w:rPr>
      </w:pPr>
      <w:r>
        <w:rPr>
          <w:rFonts w:ascii="Times New Roman" w:hAnsi="Times New Roman"/>
          <w:b w:val="false"/>
          <w:color w:val="000000"/>
          <w:sz w:val="22"/>
        </w:rPr>
        <w:t>New York, NY 10022</w:t>
      </w:r>
    </w:p>
    <w:p>
      <w:pPr>
        <w:pStyle w:val="TextBody"/>
        <w:bidi w:val="0"/>
        <w:spacing w:before="240" w:after="283"/>
        <w:jc w:val="left"/>
        <w:rPr>
          <w:rFonts w:ascii="Times New Roman" w:hAnsi="Times New Roman"/>
          <w:b w:val="false"/>
          <w:color w:val="000000"/>
          <w:sz w:val="22"/>
        </w:rPr>
      </w:pPr>
      <w:r>
        <w:rPr>
          <w:rFonts w:ascii="Times New Roman" w:hAnsi="Times New Roman"/>
          <w:b w:val="false"/>
          <w:color w:val="000000"/>
          <w:sz w:val="22"/>
        </w:rPr>
        <w:t>Credit Suisse Securities (USA) LLC</w:t>
      </w:r>
    </w:p>
    <w:p>
      <w:pPr>
        <w:pStyle w:val="TextBody"/>
        <w:bidi w:val="0"/>
        <w:jc w:val="left"/>
        <w:rPr>
          <w:rFonts w:ascii="Times New Roman" w:hAnsi="Times New Roman"/>
          <w:b w:val="false"/>
          <w:color w:val="000000"/>
          <w:sz w:val="22"/>
        </w:rPr>
      </w:pPr>
      <w:r>
        <w:rPr>
          <w:rFonts w:ascii="Times New Roman" w:hAnsi="Times New Roman"/>
          <w:b w:val="false"/>
          <w:color w:val="000000"/>
          <w:sz w:val="22"/>
        </w:rPr>
        <w:t>Eleven Madison Avenue</w:t>
      </w:r>
    </w:p>
    <w:p>
      <w:pPr>
        <w:pStyle w:val="TextBody"/>
        <w:bidi w:val="0"/>
        <w:jc w:val="left"/>
        <w:rPr>
          <w:rFonts w:ascii="Times New Roman" w:hAnsi="Times New Roman"/>
          <w:b w:val="false"/>
          <w:color w:val="000000"/>
          <w:sz w:val="22"/>
        </w:rPr>
      </w:pPr>
      <w:r>
        <w:rPr>
          <w:rFonts w:ascii="Times New Roman" w:hAnsi="Times New Roman"/>
          <w:b w:val="false"/>
          <w:color w:val="000000"/>
          <w:sz w:val="22"/>
        </w:rPr>
        <w:t>New York, NY 10010</w:t>
      </w:r>
    </w:p>
    <w:p>
      <w:pPr>
        <w:pStyle w:val="TextBody"/>
        <w:bidi w:val="0"/>
        <w:spacing w:before="240" w:after="283"/>
        <w:jc w:val="left"/>
        <w:rPr>
          <w:rFonts w:ascii="Times New Roman" w:hAnsi="Times New Roman"/>
          <w:b w:val="false"/>
          <w:color w:val="000000"/>
          <w:sz w:val="22"/>
        </w:rPr>
      </w:pPr>
      <w:r>
        <w:rPr>
          <w:rFonts w:ascii="Times New Roman" w:hAnsi="Times New Roman"/>
          <w:b w:val="false"/>
          <w:color w:val="000000"/>
          <w:sz w:val="22"/>
        </w:rPr>
        <w:t>UBS Securities LLC</w:t>
      </w:r>
    </w:p>
    <w:p>
      <w:pPr>
        <w:pStyle w:val="TextBody"/>
        <w:bidi w:val="0"/>
        <w:jc w:val="left"/>
        <w:rPr>
          <w:rFonts w:ascii="Times New Roman" w:hAnsi="Times New Roman"/>
          <w:b w:val="false"/>
          <w:color w:val="000000"/>
          <w:sz w:val="22"/>
        </w:rPr>
      </w:pPr>
      <w:r>
        <w:rPr>
          <w:rFonts w:ascii="Times New Roman" w:hAnsi="Times New Roman"/>
          <w:b w:val="false"/>
          <w:color w:val="000000"/>
          <w:sz w:val="22"/>
        </w:rPr>
        <w:t>1285 Avenue of the Americas</w:t>
      </w:r>
    </w:p>
    <w:p>
      <w:pPr>
        <w:pStyle w:val="TextBody"/>
        <w:bidi w:val="0"/>
        <w:jc w:val="left"/>
        <w:rPr>
          <w:rFonts w:ascii="Times New Roman" w:hAnsi="Times New Roman"/>
          <w:b w:val="false"/>
          <w:color w:val="000000"/>
          <w:sz w:val="22"/>
        </w:rPr>
      </w:pPr>
      <w:r>
        <w:rPr>
          <w:rFonts w:ascii="Times New Roman" w:hAnsi="Times New Roman"/>
          <w:b w:val="false"/>
          <w:color w:val="000000"/>
          <w:sz w:val="22"/>
        </w:rPr>
        <w:t>New York, NY 10019</w:t>
      </w:r>
    </w:p>
    <w:p>
      <w:pPr>
        <w:pStyle w:val="TextBody"/>
        <w:bidi w:val="0"/>
        <w:spacing w:before="240" w:after="283"/>
        <w:jc w:val="left"/>
        <w:rPr>
          <w:rFonts w:ascii="Times New Roman" w:hAnsi="Times New Roman"/>
          <w:b w:val="false"/>
          <w:color w:val="000000"/>
          <w:sz w:val="22"/>
        </w:rPr>
      </w:pPr>
      <w:r>
        <w:rPr>
          <w:rFonts w:ascii="Times New Roman" w:hAnsi="Times New Roman"/>
          <w:b w:val="false"/>
          <w:color w:val="000000"/>
          <w:sz w:val="22"/>
        </w:rPr>
        <w:t>Ladies and Gentlemen:</w:t>
      </w:r>
    </w:p>
    <w:p>
      <w:pPr>
        <w:pStyle w:val="TextBody"/>
        <w:bidi w:val="0"/>
        <w:spacing w:before="240" w:after="283"/>
        <w:jc w:val="left"/>
        <w:rPr>
          <w:rFonts w:ascii="Times New Roman" w:hAnsi="Times New Roman"/>
          <w:sz w:val="20"/>
        </w:rPr>
      </w:pPr>
      <w:r>
        <w:rPr>
          <w:rFonts w:ascii="Times New Roman" w:hAnsi="Times New Roman"/>
          <w:b w:val="false"/>
          <w:color w:val="000000"/>
          <w:sz w:val="22"/>
        </w:rPr>
        <w:t xml:space="preserve">Reference is made to the Sales Agreement, dated December 17, 2021 (the </w:t>
      </w:r>
      <w:r>
        <w:rPr>
          <w:rFonts w:ascii="Times New Roman" w:hAnsi="Times New Roman"/>
          <w:color w:val="000000"/>
          <w:sz w:val="20"/>
        </w:rPr>
        <w:t>“</w:t>
      </w:r>
      <w:r>
        <w:rPr>
          <w:rFonts w:ascii="Times New Roman" w:hAnsi="Times New Roman"/>
          <w:b/>
          <w:color w:val="000000"/>
          <w:sz w:val="22"/>
          <w:u w:val="single"/>
        </w:rPr>
        <w:t>Sales Agreement</w:t>
      </w:r>
      <w:r>
        <w:rPr>
          <w:rFonts w:ascii="Times New Roman" w:hAnsi="Times New Roman"/>
          <w:color w:val="000000"/>
          <w:sz w:val="20"/>
        </w:rPr>
        <w:t>”</w:t>
      </w:r>
      <w:r>
        <w:rPr>
          <w:rFonts w:ascii="Times New Roman" w:hAnsi="Times New Roman"/>
          <w:b w:val="false"/>
          <w:color w:val="000000"/>
          <w:sz w:val="22"/>
        </w:rPr>
        <w:t xml:space="preserve">), by and among ALX Oncology Holdings Inc., a Delaware corporation (the </w:t>
      </w:r>
      <w:r>
        <w:rPr>
          <w:rFonts w:ascii="Times New Roman" w:hAnsi="Times New Roman"/>
          <w:color w:val="000000"/>
          <w:sz w:val="20"/>
        </w:rPr>
        <w:t>“</w:t>
      </w:r>
      <w:r>
        <w:rPr>
          <w:rFonts w:ascii="Times New Roman" w:hAnsi="Times New Roman"/>
          <w:b/>
          <w:color w:val="000000"/>
          <w:sz w:val="22"/>
          <w:u w:val="single"/>
        </w:rPr>
        <w:t>Company</w:t>
      </w:r>
      <w:r>
        <w:rPr>
          <w:rFonts w:ascii="Times New Roman" w:hAnsi="Times New Roman"/>
          <w:color w:val="000000"/>
          <w:sz w:val="20"/>
        </w:rPr>
        <w:t>”</w:t>
      </w:r>
      <w:r>
        <w:rPr>
          <w:rFonts w:ascii="Times New Roman" w:hAnsi="Times New Roman"/>
          <w:b w:val="false"/>
          <w:color w:val="000000"/>
          <w:sz w:val="22"/>
        </w:rPr>
        <w:t>), Cantor Fitzgerald &amp; Co. (</w:t>
      </w:r>
      <w:r>
        <w:rPr>
          <w:rFonts w:ascii="Times New Roman" w:hAnsi="Times New Roman"/>
          <w:color w:val="000000"/>
          <w:sz w:val="20"/>
        </w:rPr>
        <w:t>“</w:t>
      </w:r>
      <w:r>
        <w:rPr>
          <w:rFonts w:ascii="Times New Roman" w:hAnsi="Times New Roman"/>
          <w:b/>
          <w:color w:val="000000"/>
          <w:sz w:val="22"/>
          <w:u w:val="single"/>
        </w:rPr>
        <w:t>Cantor</w:t>
      </w:r>
      <w:r>
        <w:rPr>
          <w:rFonts w:ascii="Times New Roman" w:hAnsi="Times New Roman"/>
          <w:color w:val="000000"/>
          <w:sz w:val="20"/>
        </w:rPr>
        <w:t>”</w:t>
      </w:r>
      <w:r>
        <w:rPr>
          <w:rFonts w:ascii="Times New Roman" w:hAnsi="Times New Roman"/>
          <w:b w:val="false"/>
          <w:color w:val="000000"/>
          <w:sz w:val="22"/>
        </w:rPr>
        <w:t>) and Credit Suisse Securities (USA) LLC (</w:t>
      </w:r>
      <w:r>
        <w:rPr>
          <w:rFonts w:ascii="Times New Roman" w:hAnsi="Times New Roman"/>
          <w:color w:val="000000"/>
          <w:sz w:val="20"/>
        </w:rPr>
        <w:t>“</w:t>
      </w:r>
      <w:r>
        <w:rPr>
          <w:rFonts w:ascii="Times New Roman" w:hAnsi="Times New Roman"/>
          <w:b/>
          <w:color w:val="000000"/>
          <w:sz w:val="22"/>
          <w:u w:val="single"/>
        </w:rPr>
        <w:t>Credit Suisse</w:t>
      </w:r>
      <w:r>
        <w:rPr>
          <w:rFonts w:ascii="Times New Roman" w:hAnsi="Times New Roman"/>
          <w:color w:val="000000"/>
          <w:sz w:val="20"/>
        </w:rPr>
        <w:t>”</w:t>
      </w:r>
      <w:r>
        <w:rPr>
          <w:rFonts w:ascii="Times New Roman" w:hAnsi="Times New Roman"/>
          <w:b w:val="false"/>
          <w:color w:val="000000"/>
          <w:sz w:val="22"/>
        </w:rPr>
        <w:t>), pursuant to which the Company agreed, in its sole discretion, to issue and sell, from time to time, through the Existing Agents, as agents, shares of common stock, par value $0.001 per share, of the Company having aggregate gross sales proceeds of up to $150,000,000. As of the date hereof and pursuant to this Amendment, the Company and Credit Suisse have agreed to terminate the Sales Agreement with respect to Credit Suisse and replace them with UBS Securities LLC (</w:t>
      </w:r>
      <w:r>
        <w:rPr>
          <w:rFonts w:ascii="Times New Roman" w:hAnsi="Times New Roman"/>
          <w:b/>
          <w:color w:val="000000"/>
          <w:sz w:val="22"/>
          <w:u w:val="single"/>
        </w:rPr>
        <w:t>UBS</w:t>
      </w:r>
      <w:r>
        <w:rPr>
          <w:rFonts w:ascii="Times New Roman" w:hAnsi="Times New Roman"/>
          <w:color w:val="000000"/>
          <w:sz w:val="20"/>
        </w:rPr>
        <w:t xml:space="preserve"> </w:t>
      </w:r>
      <w:r>
        <w:rPr>
          <w:rFonts w:ascii="Times New Roman" w:hAnsi="Times New Roman"/>
          <w:b w:val="false"/>
          <w:color w:val="000000"/>
          <w:sz w:val="22"/>
        </w:rPr>
        <w:t xml:space="preserve">and together with Cantor, the </w:t>
      </w:r>
      <w:r>
        <w:rPr>
          <w:rFonts w:ascii="Times New Roman" w:hAnsi="Times New Roman"/>
          <w:color w:val="000000"/>
          <w:sz w:val="20"/>
        </w:rPr>
        <w:t>“</w:t>
      </w:r>
      <w:r>
        <w:rPr>
          <w:rFonts w:ascii="Times New Roman" w:hAnsi="Times New Roman"/>
          <w:b/>
          <w:color w:val="000000"/>
          <w:sz w:val="22"/>
          <w:u w:val="single"/>
        </w:rPr>
        <w:t>Agents</w:t>
      </w:r>
      <w:r>
        <w:rPr>
          <w:rFonts w:ascii="Times New Roman" w:hAnsi="Times New Roman"/>
          <w:color w:val="000000"/>
          <w:sz w:val="20"/>
        </w:rPr>
        <w:t>”</w:t>
      </w:r>
      <w:r>
        <w:rPr>
          <w:rFonts w:ascii="Times New Roman" w:hAnsi="Times New Roman"/>
          <w:b w:val="false"/>
          <w:color w:val="000000"/>
          <w:sz w:val="22"/>
        </w:rPr>
        <w:t xml:space="preserve">). All capitalized terms used in this Amendment No. 1 to the Sales Agreement (this </w:t>
      </w:r>
      <w:r>
        <w:rPr>
          <w:rFonts w:ascii="Times New Roman" w:hAnsi="Times New Roman"/>
          <w:color w:val="000000"/>
          <w:sz w:val="20"/>
        </w:rPr>
        <w:t>“</w:t>
      </w:r>
      <w:r>
        <w:rPr>
          <w:rFonts w:ascii="Times New Roman" w:hAnsi="Times New Roman"/>
          <w:b/>
          <w:color w:val="000000"/>
          <w:sz w:val="22"/>
          <w:u w:val="single"/>
        </w:rPr>
        <w:t>Amendment</w:t>
      </w:r>
      <w:r>
        <w:rPr>
          <w:rFonts w:ascii="Times New Roman" w:hAnsi="Times New Roman"/>
          <w:color w:val="000000"/>
          <w:sz w:val="20"/>
        </w:rPr>
        <w:t>”</w:t>
      </w:r>
      <w:r>
        <w:rPr>
          <w:rFonts w:ascii="Times New Roman" w:hAnsi="Times New Roman"/>
          <w:b w:val="false"/>
          <w:color w:val="000000"/>
          <w:sz w:val="22"/>
        </w:rPr>
        <w:t>) and not otherwise defined herein shall have the respective meanings assigned to such terms in the Sales Agreement. The Company and the Agents hereby agree as follows:</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A.</w:t>
      </w:r>
    </w:p>
    <w:p>
      <w:pPr>
        <w:pStyle w:val="TextBody"/>
        <w:bidi w:val="0"/>
        <w:spacing w:before="240" w:after="283"/>
        <w:jc w:val="left"/>
        <w:rPr/>
      </w:pPr>
      <w:r>
        <w:rPr>
          <w:rFonts w:ascii="Times New Roman" w:hAnsi="Times New Roman"/>
          <w:b w:val="false"/>
          <w:color w:val="000000"/>
          <w:sz w:val="22"/>
          <w:u w:val="single"/>
        </w:rPr>
        <w:t>Amendments to Sales Agreement</w:t>
      </w:r>
      <w:r>
        <w:rPr>
          <w:rFonts w:ascii="Times New Roman" w:hAnsi="Times New Roman"/>
          <w:b w:val="false"/>
          <w:color w:val="000000"/>
          <w:sz w:val="22"/>
        </w:rPr>
        <w:t>. The Sales Agreement is amended and restated as follows:</w:t>
      </w:r>
    </w:p>
    <w:p>
      <w:pPr>
        <w:pStyle w:val="TextBody"/>
        <w:bidi w:val="0"/>
        <w:spacing w:before="240" w:after="283"/>
        <w:jc w:val="left"/>
        <w:rPr>
          <w:rFonts w:ascii="Times New Roman" w:hAnsi="Times New Roman"/>
          <w:sz w:val="20"/>
        </w:rPr>
      </w:pPr>
      <w:r>
        <w:rPr>
          <w:rFonts w:ascii="Times New Roman" w:hAnsi="Times New Roman"/>
          <w:b w:val="false"/>
          <w:color w:val="000000"/>
          <w:sz w:val="22"/>
        </w:rPr>
        <w:t>1. The definitions of the terms “Agent” and “Agents” in the first sentence of the Sales Agreement are hereby amended to read as follows: “Cantor Fitzgerald &amp; Co. and UBS Securities LLC (collectively, the “</w:t>
      </w:r>
      <w:r>
        <w:rPr>
          <w:rFonts w:ascii="Times New Roman" w:hAnsi="Times New Roman"/>
          <w:b/>
          <w:color w:val="000000"/>
          <w:sz w:val="22"/>
          <w:u w:val="single"/>
        </w:rPr>
        <w:t>Agents,</w:t>
      </w:r>
      <w:r>
        <w:rPr>
          <w:rFonts w:ascii="Times New Roman" w:hAnsi="Times New Roman"/>
          <w:color w:val="000000"/>
          <w:sz w:val="20"/>
        </w:rPr>
        <w:t xml:space="preserve">” </w:t>
      </w:r>
      <w:r>
        <w:rPr>
          <w:rFonts w:ascii="Times New Roman" w:hAnsi="Times New Roman"/>
          <w:b w:val="false"/>
          <w:color w:val="000000"/>
          <w:sz w:val="22"/>
        </w:rPr>
        <w:t>each the “</w:t>
      </w:r>
      <w:r>
        <w:rPr>
          <w:rFonts w:ascii="Times New Roman" w:hAnsi="Times New Roman"/>
          <w:b/>
          <w:color w:val="000000"/>
          <w:sz w:val="22"/>
          <w:u w:val="single"/>
        </w:rPr>
        <w:t>Agent</w:t>
      </w:r>
      <w:r>
        <w:rPr>
          <w:rFonts w:ascii="Times New Roman" w:hAnsi="Times New Roman"/>
          <w:color w:val="000000"/>
          <w:sz w:val="20"/>
        </w:rPr>
        <w:t>”</w:t>
      </w:r>
      <w:r>
        <w:rPr>
          <w:rFonts w:ascii="Times New Roman" w:hAnsi="Times New Roman"/>
          <w:b w:val="false"/>
          <w:color w:val="000000"/>
          <w:sz w:val="22"/>
        </w:rPr>
        <w:t>).”</w:t>
      </w:r>
    </w:p>
    <w:p>
      <w:pPr>
        <w:pStyle w:val="TextBody"/>
        <w:bidi w:val="0"/>
        <w:spacing w:before="240" w:after="283"/>
        <w:jc w:val="left"/>
        <w:rPr>
          <w:rFonts w:ascii="Times New Roman" w:hAnsi="Times New Roman"/>
          <w:sz w:val="20"/>
        </w:rPr>
      </w:pPr>
      <w:r>
        <w:rPr>
          <w:rFonts w:ascii="Times New Roman" w:hAnsi="Times New Roman"/>
          <w:b w:val="false"/>
          <w:color w:val="000000"/>
          <w:sz w:val="22"/>
        </w:rPr>
        <w:t>2. Section 6(e) of the Sales Agreement is hereby amended and restated as follows:</w:t>
      </w:r>
      <w:r>
        <w:rPr>
          <w:rFonts w:ascii="Times New Roman" w:hAnsi="Times New Roman"/>
          <w:color w:val="000000"/>
          <w:sz w:val="20"/>
        </w:rPr>
        <w:t xml:space="preserve"> </w:t>
      </w:r>
    </w:p>
    <w:p>
      <w:pPr>
        <w:pStyle w:val="TextBody"/>
        <w:bidi w:val="0"/>
        <w:spacing w:before="240" w:after="283"/>
        <w:jc w:val="left"/>
        <w:rPr>
          <w:color w:val="000000"/>
        </w:rPr>
      </w:pPr>
      <w:r>
        <w:rPr>
          <w:color w:val="000000"/>
        </w:rPr>
        <w:t>“</w:t>
      </w:r>
      <w:r>
        <w:rPr>
          <w:rFonts w:ascii="Times New Roman" w:hAnsi="Times New Roman"/>
          <w:b w:val="false"/>
          <w:color w:val="000000"/>
          <w:sz w:val="22"/>
        </w:rPr>
        <w:t>[Reserved].”</w:t>
      </w:r>
    </w:p>
    <w:p>
      <w:pPr>
        <w:pStyle w:val="TextBody"/>
        <w:bidi w:val="0"/>
        <w:spacing w:before="240" w:after="283"/>
        <w:jc w:val="left"/>
        <w:rPr>
          <w:rFonts w:ascii="Times New Roman" w:hAnsi="Times New Roman"/>
          <w:b w:val="false"/>
          <w:color w:val="000000"/>
          <w:sz w:val="22"/>
        </w:rPr>
      </w:pPr>
      <w:r>
        <w:rPr>
          <w:rFonts w:ascii="Times New Roman" w:hAnsi="Times New Roman"/>
          <w:b w:val="false"/>
          <w:color w:val="000000"/>
          <w:sz w:val="22"/>
        </w:rPr>
        <w:t>3. Section 6(kk) of the Sales Agreement is hereby amended and restated as follows:</w:t>
      </w:r>
    </w:p>
    <w:p>
      <w:pPr>
        <w:pStyle w:val="TextBody"/>
        <w:bidi w:val="0"/>
        <w:spacing w:before="240" w:after="283"/>
        <w:jc w:val="left"/>
        <w:rPr/>
      </w:pPr>
      <w:r>
        <w:rPr>
          <w:color w:val="000000"/>
        </w:rPr>
        <w:t>“</w:t>
      </w:r>
      <w:r>
        <w:rPr>
          <w:rFonts w:ascii="Times New Roman" w:hAnsi="Times New Roman"/>
          <w:b w:val="false"/>
          <w:color w:val="000000"/>
          <w:sz w:val="22"/>
          <w:u w:val="single"/>
        </w:rPr>
        <w:t>Sanctions</w:t>
      </w:r>
      <w:r>
        <w:rPr>
          <w:rFonts w:ascii="Times New Roman" w:hAnsi="Times New Roman"/>
          <w:b w:val="false"/>
          <w:color w:val="000000"/>
          <w:sz w:val="22"/>
        </w:rPr>
        <w:t>. Neither the Company nor any of its subsidiaries, directors, officers, or employees, nor, to the knowledge of the Company, after due inquiry, any agent, affiliate</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2"/>
        </w:rPr>
      </w:pPr>
      <w:r>
        <w:rPr>
          <w:rFonts w:ascii="Times New Roman" w:hAnsi="Times New Roman"/>
          <w:b w:val="false"/>
          <w:color w:val="000000"/>
          <w:sz w:val="22"/>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val="false"/>
          <w:color w:val="000000"/>
          <w:sz w:val="22"/>
        </w:rPr>
        <w:t>or other person acting on behalf of the Company or any of its subsidiaries is currently the subject or the target of any U.S. sanctions administered by the Office of Foreign Assets Control of the U.S. Department of the Treasury (“</w:t>
      </w:r>
      <w:r>
        <w:rPr>
          <w:rFonts w:ascii="Times New Roman" w:hAnsi="Times New Roman"/>
          <w:b/>
          <w:color w:val="000000"/>
          <w:sz w:val="22"/>
          <w:u w:val="single"/>
        </w:rPr>
        <w:t>OFAC</w:t>
      </w:r>
      <w:r>
        <w:rPr>
          <w:rFonts w:ascii="Times New Roman" w:hAnsi="Times New Roman"/>
          <w:color w:val="000000"/>
          <w:sz w:val="20"/>
        </w:rPr>
        <w:t>”</w:t>
      </w:r>
      <w:r>
        <w:rPr>
          <w:rFonts w:ascii="Times New Roman" w:hAnsi="Times New Roman"/>
          <w:b w:val="false"/>
          <w:color w:val="000000"/>
          <w:sz w:val="22"/>
        </w:rPr>
        <w:t>) or the U.S. Department of State, the United Nations Security Council, the European Union, His Majesty’s Treasury of the United Kingdom, the Swiss Secretariat of Economic Affairs or other relevant sanctions authority (collectively, “</w:t>
      </w:r>
      <w:r>
        <w:rPr>
          <w:rFonts w:ascii="Times New Roman" w:hAnsi="Times New Roman"/>
          <w:b/>
          <w:color w:val="000000"/>
          <w:sz w:val="22"/>
          <w:u w:val="single"/>
        </w:rPr>
        <w:t>Sanctions</w:t>
      </w:r>
      <w:r>
        <w:rPr>
          <w:rFonts w:ascii="Times New Roman" w:hAnsi="Times New Roman"/>
          <w:color w:val="000000"/>
          <w:sz w:val="20"/>
        </w:rPr>
        <w:t>”</w:t>
      </w:r>
      <w:r>
        <w:rPr>
          <w:rFonts w:ascii="Times New Roman" w:hAnsi="Times New Roman"/>
          <w:b w:val="false"/>
          <w:color w:val="000000"/>
          <w:sz w:val="22"/>
        </w:rPr>
        <w:t>); nor is the Company or any of its subsidiaries located, organized or resident in a country or territory that is the subject or the target of Sanctions, including, without limitation, the so-called Donetsk People’s Republic, the so-called Luhansk People’s Republic, Crimea, Cuba, Iran, North Korea, and Syria; and the Company will not directly or indirectly use the proceeds of this offering, or lend, contribute or otherwise make available such proceeds to any subsidiary, or any joint venture partner or other person or entity, for the purpose of financing the activities of or business with any person, or in any country or territory, that at the time of such financing, is the subject or the target of Sanctions or in any other manner that will result in a violation by any person (including any person participating in the transaction whether as underwriter, advisor, investor or otherwise) of applicable Sanctions. For the past five years, the Company and its subsidiaries have not knowingly engaged in and are not now knowingly engaged in any dealings or transactions with any person that at the time of the dealing or transaction is or was the subject or the target of Sanctions or with any Sanctioned Country.”</w:t>
      </w:r>
    </w:p>
    <w:p>
      <w:pPr>
        <w:pStyle w:val="TextBody"/>
        <w:bidi w:val="0"/>
        <w:spacing w:before="240" w:after="283"/>
        <w:jc w:val="left"/>
        <w:rPr>
          <w:rFonts w:ascii="Times New Roman" w:hAnsi="Times New Roman"/>
          <w:b w:val="false"/>
          <w:color w:val="000000"/>
          <w:sz w:val="22"/>
        </w:rPr>
      </w:pPr>
      <w:r>
        <w:rPr>
          <w:rFonts w:ascii="Times New Roman" w:hAnsi="Times New Roman"/>
          <w:b w:val="false"/>
          <w:color w:val="000000"/>
          <w:sz w:val="22"/>
        </w:rPr>
        <w:t>4. Section 13 of the Sales Agreement is hereby amended and restated as follows:</w:t>
      </w:r>
    </w:p>
    <w:p>
      <w:pPr>
        <w:pStyle w:val="TextBody"/>
        <w:bidi w:val="0"/>
        <w:spacing w:before="240" w:after="283"/>
        <w:jc w:val="left"/>
        <w:rPr/>
      </w:pPr>
      <w:r>
        <w:rPr>
          <w:color w:val="000000"/>
        </w:rPr>
        <w:t>“</w:t>
      </w:r>
      <w:r>
        <w:rPr>
          <w:rFonts w:ascii="Times New Roman" w:hAnsi="Times New Roman"/>
          <w:b w:val="false"/>
          <w:color w:val="000000"/>
          <w:sz w:val="22"/>
          <w:u w:val="single"/>
        </w:rPr>
        <w:t>Notices</w:t>
      </w:r>
      <w:r>
        <w:rPr>
          <w:rFonts w:ascii="Times New Roman" w:hAnsi="Times New Roman"/>
          <w:b w:val="false"/>
          <w:color w:val="000000"/>
          <w:sz w:val="22"/>
        </w:rPr>
        <w:t>. All notices or other communications required or permitted to be given by any party to any other party pursuant to the terms of this Agreement shall be in writing (including by electronic communication, if applicable), unless otherwise specified, and if sent to the Agents, shall be delivered to:</w:t>
      </w:r>
    </w:p>
    <w:p>
      <w:pPr>
        <w:pStyle w:val="TextBody"/>
        <w:bidi w:val="0"/>
        <w:spacing w:before="240" w:after="283"/>
        <w:jc w:val="left"/>
        <w:rPr>
          <w:rFonts w:ascii="Times New Roman" w:hAnsi="Times New Roman"/>
          <w:b w:val="false"/>
          <w:color w:val="000000"/>
          <w:sz w:val="22"/>
        </w:rPr>
      </w:pPr>
      <w:r>
        <w:rPr>
          <w:rFonts w:ascii="Times New Roman" w:hAnsi="Times New Roman"/>
          <w:b w:val="false"/>
          <w:color w:val="000000"/>
          <w:sz w:val="22"/>
        </w:rPr>
        <w:t>Cantor Fitzgerald &amp; Co.</w:t>
      </w:r>
    </w:p>
    <w:p>
      <w:pPr>
        <w:pStyle w:val="TextBody"/>
        <w:bidi w:val="0"/>
        <w:jc w:val="left"/>
        <w:rPr>
          <w:rFonts w:ascii="Times New Roman" w:hAnsi="Times New Roman"/>
          <w:b w:val="false"/>
          <w:color w:val="000000"/>
          <w:sz w:val="22"/>
        </w:rPr>
      </w:pPr>
      <w:r>
        <w:rPr>
          <w:rFonts w:ascii="Times New Roman" w:hAnsi="Times New Roman"/>
          <w:b w:val="false"/>
          <w:color w:val="000000"/>
          <w:sz w:val="22"/>
        </w:rPr>
        <w:t>[***]</w:t>
      </w:r>
    </w:p>
    <w:p>
      <w:pPr>
        <w:pStyle w:val="TextBody"/>
        <w:bidi w:val="0"/>
        <w:jc w:val="left"/>
        <w:rPr>
          <w:rFonts w:ascii="Times New Roman" w:hAnsi="Times New Roman"/>
          <w:b w:val="false"/>
          <w:color w:val="000000"/>
          <w:sz w:val="22"/>
        </w:rPr>
      </w:pPr>
      <w:r>
        <w:rPr>
          <w:rFonts w:ascii="Times New Roman" w:hAnsi="Times New Roman"/>
          <w:b w:val="false"/>
          <w:color w:val="000000"/>
          <w:sz w:val="22"/>
        </w:rPr>
        <w:t>[***]</w:t>
      </w:r>
    </w:p>
    <w:p>
      <w:pPr>
        <w:pStyle w:val="TextBody"/>
        <w:bidi w:val="0"/>
        <w:jc w:val="left"/>
        <w:rPr>
          <w:rFonts w:ascii="Times New Roman" w:hAnsi="Times New Roman"/>
          <w:b w:val="false"/>
          <w:color w:val="000000"/>
          <w:sz w:val="22"/>
        </w:rPr>
      </w:pPr>
      <w:r>
        <w:rPr>
          <w:rFonts w:ascii="Times New Roman" w:hAnsi="Times New Roman"/>
          <w:b w:val="false"/>
          <w:color w:val="000000"/>
          <w:sz w:val="22"/>
        </w:rPr>
        <w:t>Attention: [***]</w:t>
      </w:r>
    </w:p>
    <w:p>
      <w:pPr>
        <w:pStyle w:val="TextBody"/>
        <w:bidi w:val="0"/>
        <w:jc w:val="left"/>
        <w:rPr>
          <w:rFonts w:ascii="Times New Roman" w:hAnsi="Times New Roman"/>
          <w:b w:val="false"/>
          <w:color w:val="000000"/>
          <w:sz w:val="22"/>
        </w:rPr>
      </w:pPr>
      <w:r>
        <w:rPr>
          <w:rFonts w:ascii="Times New Roman" w:hAnsi="Times New Roman"/>
          <w:b w:val="false"/>
          <w:color w:val="000000"/>
          <w:sz w:val="22"/>
        </w:rPr>
        <w:t>Email: [***]</w:t>
      </w:r>
    </w:p>
    <w:p>
      <w:pPr>
        <w:pStyle w:val="TextBody"/>
        <w:bidi w:val="0"/>
        <w:spacing w:before="240" w:after="283"/>
        <w:jc w:val="left"/>
        <w:rPr>
          <w:rFonts w:ascii="Times New Roman" w:hAnsi="Times New Roman"/>
          <w:b w:val="false"/>
          <w:color w:val="000000"/>
          <w:sz w:val="22"/>
        </w:rPr>
      </w:pPr>
      <w:r>
        <w:rPr>
          <w:rFonts w:ascii="Times New Roman" w:hAnsi="Times New Roman"/>
          <w:b w:val="false"/>
          <w:color w:val="000000"/>
          <w:sz w:val="22"/>
        </w:rPr>
        <w:t>and:</w:t>
      </w:r>
    </w:p>
    <w:p>
      <w:pPr>
        <w:pStyle w:val="TextBody"/>
        <w:bidi w:val="0"/>
        <w:spacing w:before="240" w:after="283"/>
        <w:jc w:val="left"/>
        <w:rPr>
          <w:rFonts w:ascii="Times New Roman" w:hAnsi="Times New Roman"/>
          <w:b w:val="false"/>
          <w:color w:val="000000"/>
          <w:sz w:val="22"/>
        </w:rPr>
      </w:pPr>
      <w:r>
        <w:rPr>
          <w:rFonts w:ascii="Times New Roman" w:hAnsi="Times New Roman"/>
          <w:b w:val="false"/>
          <w:color w:val="000000"/>
          <w:sz w:val="22"/>
        </w:rPr>
        <w:t>Cantor Fitzgerald &amp; Co.</w:t>
      </w:r>
    </w:p>
    <w:p>
      <w:pPr>
        <w:pStyle w:val="TextBody"/>
        <w:bidi w:val="0"/>
        <w:jc w:val="left"/>
        <w:rPr>
          <w:rFonts w:ascii="Times New Roman" w:hAnsi="Times New Roman"/>
          <w:b w:val="false"/>
          <w:color w:val="000000"/>
          <w:sz w:val="22"/>
        </w:rPr>
      </w:pPr>
      <w:r>
        <w:rPr>
          <w:rFonts w:ascii="Times New Roman" w:hAnsi="Times New Roman"/>
          <w:b w:val="false"/>
          <w:color w:val="000000"/>
          <w:sz w:val="22"/>
        </w:rPr>
        <w:t>[***]</w:t>
      </w:r>
    </w:p>
    <w:p>
      <w:pPr>
        <w:pStyle w:val="TextBody"/>
        <w:bidi w:val="0"/>
        <w:jc w:val="left"/>
        <w:rPr>
          <w:rFonts w:ascii="Times New Roman" w:hAnsi="Times New Roman"/>
          <w:b w:val="false"/>
          <w:color w:val="000000"/>
          <w:sz w:val="22"/>
        </w:rPr>
      </w:pPr>
      <w:r>
        <w:rPr>
          <w:rFonts w:ascii="Times New Roman" w:hAnsi="Times New Roman"/>
          <w:b w:val="false"/>
          <w:color w:val="000000"/>
          <w:sz w:val="22"/>
        </w:rPr>
        <w:t>[***]</w:t>
      </w:r>
    </w:p>
    <w:p>
      <w:pPr>
        <w:pStyle w:val="TextBody"/>
        <w:bidi w:val="0"/>
        <w:jc w:val="left"/>
        <w:rPr>
          <w:rFonts w:ascii="Times New Roman" w:hAnsi="Times New Roman"/>
          <w:b w:val="false"/>
          <w:color w:val="000000"/>
          <w:sz w:val="22"/>
        </w:rPr>
      </w:pPr>
      <w:r>
        <w:rPr>
          <w:rFonts w:ascii="Times New Roman" w:hAnsi="Times New Roman"/>
          <w:b w:val="false"/>
          <w:color w:val="000000"/>
          <w:sz w:val="22"/>
        </w:rPr>
        <w:t>Attention: [***]</w:t>
      </w:r>
    </w:p>
    <w:p>
      <w:pPr>
        <w:pStyle w:val="TextBody"/>
        <w:bidi w:val="0"/>
        <w:jc w:val="left"/>
        <w:rPr>
          <w:rFonts w:ascii="Times New Roman" w:hAnsi="Times New Roman"/>
          <w:b w:val="false"/>
          <w:color w:val="000000"/>
          <w:sz w:val="22"/>
        </w:rPr>
      </w:pPr>
      <w:r>
        <w:rPr>
          <w:rFonts w:ascii="Times New Roman" w:hAnsi="Times New Roman"/>
          <w:b w:val="false"/>
          <w:color w:val="000000"/>
          <w:sz w:val="22"/>
        </w:rPr>
        <w:t>Email: [***]</w:t>
      </w:r>
    </w:p>
    <w:p>
      <w:pPr>
        <w:pStyle w:val="TextBody"/>
        <w:bidi w:val="0"/>
        <w:spacing w:before="240" w:after="283"/>
        <w:jc w:val="left"/>
        <w:rPr>
          <w:rFonts w:ascii="Times New Roman" w:hAnsi="Times New Roman"/>
          <w:b w:val="false"/>
          <w:color w:val="000000"/>
          <w:sz w:val="22"/>
        </w:rPr>
      </w:pPr>
      <w:r>
        <w:rPr>
          <w:rFonts w:ascii="Times New Roman" w:hAnsi="Times New Roman"/>
          <w:b w:val="false"/>
          <w:color w:val="000000"/>
          <w:sz w:val="22"/>
        </w:rPr>
        <w:t>and:</w:t>
      </w:r>
    </w:p>
    <w:p>
      <w:pPr>
        <w:pStyle w:val="TextBody"/>
        <w:bidi w:val="0"/>
        <w:spacing w:before="240" w:after="283"/>
        <w:jc w:val="left"/>
        <w:rPr>
          <w:rFonts w:ascii="Times New Roman" w:hAnsi="Times New Roman"/>
          <w:b w:val="false"/>
          <w:color w:val="000000"/>
          <w:sz w:val="22"/>
        </w:rPr>
      </w:pPr>
      <w:r>
        <w:rPr>
          <w:rFonts w:ascii="Times New Roman" w:hAnsi="Times New Roman"/>
          <w:b w:val="false"/>
          <w:color w:val="000000"/>
          <w:sz w:val="22"/>
        </w:rPr>
        <w:t>UBS Securities LLC</w:t>
      </w:r>
    </w:p>
    <w:p>
      <w:pPr>
        <w:pStyle w:val="TextBody"/>
        <w:bidi w:val="0"/>
        <w:jc w:val="left"/>
        <w:rPr>
          <w:rFonts w:ascii="Times New Roman" w:hAnsi="Times New Roman"/>
          <w:b w:val="false"/>
          <w:color w:val="000000"/>
          <w:sz w:val="22"/>
        </w:rPr>
      </w:pPr>
      <w:r>
        <w:rPr>
          <w:rFonts w:ascii="Times New Roman" w:hAnsi="Times New Roman"/>
          <w:b w:val="false"/>
          <w:color w:val="000000"/>
          <w:sz w:val="22"/>
        </w:rPr>
        <w:t>[***]</w:t>
      </w:r>
    </w:p>
    <w:p>
      <w:pPr>
        <w:pStyle w:val="TextBody"/>
        <w:bidi w:val="0"/>
        <w:jc w:val="left"/>
        <w:rPr>
          <w:rFonts w:ascii="Times New Roman" w:hAnsi="Times New Roman"/>
          <w:b w:val="false"/>
          <w:color w:val="000000"/>
          <w:sz w:val="22"/>
        </w:rPr>
      </w:pPr>
      <w:r>
        <w:rPr>
          <w:rFonts w:ascii="Times New Roman" w:hAnsi="Times New Roman"/>
          <w:b w:val="false"/>
          <w:color w:val="000000"/>
          <w:sz w:val="22"/>
        </w:rPr>
        <w:t>[***]</w:t>
      </w:r>
    </w:p>
    <w:p>
      <w:pPr>
        <w:pStyle w:val="TextBody"/>
        <w:bidi w:val="0"/>
        <w:jc w:val="left"/>
        <w:rPr>
          <w:rFonts w:ascii="Times New Roman" w:hAnsi="Times New Roman"/>
          <w:b w:val="false"/>
          <w:color w:val="000000"/>
          <w:sz w:val="22"/>
        </w:rPr>
      </w:pPr>
      <w:r>
        <w:rPr>
          <w:rFonts w:ascii="Times New Roman" w:hAnsi="Times New Roman"/>
          <w:b w:val="false"/>
          <w:color w:val="000000"/>
          <w:sz w:val="22"/>
        </w:rPr>
        <w:t>Attention: [***]</w:t>
      </w:r>
    </w:p>
    <w:p>
      <w:pPr>
        <w:pStyle w:val="TextBody"/>
        <w:bidi w:val="0"/>
        <w:jc w:val="left"/>
        <w:rPr>
          <w:rFonts w:ascii="Times New Roman" w:hAnsi="Times New Roman"/>
          <w:b w:val="false"/>
          <w:color w:val="000000"/>
          <w:sz w:val="22"/>
        </w:rPr>
      </w:pPr>
      <w:r>
        <w:rPr>
          <w:rFonts w:ascii="Times New Roman" w:hAnsi="Times New Roman"/>
          <w:b w:val="false"/>
          <w:color w:val="000000"/>
          <w:sz w:val="22"/>
        </w:rPr>
        <w:t>Facsimile: [***]</w:t>
      </w:r>
    </w:p>
    <w:p>
      <w:pPr>
        <w:pStyle w:val="TextBody"/>
        <w:bidi w:val="0"/>
        <w:spacing w:before="240" w:after="283"/>
        <w:jc w:val="left"/>
        <w:rPr>
          <w:rFonts w:ascii="Times New Roman" w:hAnsi="Times New Roman"/>
          <w:b w:val="false"/>
          <w:color w:val="000000"/>
          <w:sz w:val="22"/>
        </w:rPr>
      </w:pPr>
      <w:r>
        <w:rPr>
          <w:rFonts w:ascii="Times New Roman" w:hAnsi="Times New Roman"/>
          <w:b w:val="false"/>
          <w:color w:val="000000"/>
          <w:sz w:val="22"/>
        </w:rPr>
        <w:t>with a copy to:</w:t>
      </w:r>
    </w:p>
    <w:p>
      <w:pPr>
        <w:pStyle w:val="TextBody"/>
        <w:bidi w:val="0"/>
        <w:spacing w:before="240" w:after="283"/>
        <w:jc w:val="center"/>
        <w:rPr>
          <w:rFonts w:ascii="Times New Roman" w:hAnsi="Times New Roman"/>
          <w:b w:val="false"/>
          <w:color w:val="000000"/>
          <w:sz w:val="22"/>
        </w:rPr>
      </w:pPr>
      <w:r>
        <w:rPr>
          <w:rFonts w:ascii="Times New Roman" w:hAnsi="Times New Roman"/>
          <w:b w:val="false"/>
          <w:color w:val="000000"/>
          <w:sz w:val="22"/>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val="false"/>
          <w:color w:val="000000"/>
          <w:sz w:val="22"/>
        </w:rPr>
      </w:pPr>
      <w:r>
        <w:rPr>
          <w:rFonts w:ascii="Times New Roman" w:hAnsi="Times New Roman"/>
          <w:b w:val="false"/>
          <w:color w:val="000000"/>
          <w:sz w:val="22"/>
        </w:rPr>
        <w:t>Cooley LLP</w:t>
      </w:r>
    </w:p>
    <w:p>
      <w:pPr>
        <w:pStyle w:val="TextBody"/>
        <w:bidi w:val="0"/>
        <w:jc w:val="left"/>
        <w:rPr>
          <w:rFonts w:ascii="Times New Roman" w:hAnsi="Times New Roman"/>
          <w:b w:val="false"/>
          <w:color w:val="000000"/>
          <w:sz w:val="22"/>
        </w:rPr>
      </w:pPr>
      <w:r>
        <w:rPr>
          <w:rFonts w:ascii="Times New Roman" w:hAnsi="Times New Roman"/>
          <w:b w:val="false"/>
          <w:color w:val="000000"/>
          <w:sz w:val="22"/>
        </w:rPr>
        <w:t>[***]</w:t>
      </w:r>
    </w:p>
    <w:p>
      <w:pPr>
        <w:pStyle w:val="TextBody"/>
        <w:bidi w:val="0"/>
        <w:jc w:val="left"/>
        <w:rPr>
          <w:rFonts w:ascii="Times New Roman" w:hAnsi="Times New Roman"/>
          <w:b w:val="false"/>
          <w:color w:val="000000"/>
          <w:sz w:val="22"/>
        </w:rPr>
      </w:pPr>
      <w:r>
        <w:rPr>
          <w:rFonts w:ascii="Times New Roman" w:hAnsi="Times New Roman"/>
          <w:b w:val="false"/>
          <w:color w:val="000000"/>
          <w:sz w:val="22"/>
        </w:rPr>
        <w:t>[***]</w:t>
      </w:r>
    </w:p>
    <w:p>
      <w:pPr>
        <w:pStyle w:val="TextBody"/>
        <w:bidi w:val="0"/>
        <w:jc w:val="left"/>
        <w:rPr>
          <w:rFonts w:ascii="Times New Roman" w:hAnsi="Times New Roman"/>
          <w:b w:val="false"/>
          <w:color w:val="000000"/>
          <w:sz w:val="22"/>
        </w:rPr>
      </w:pPr>
      <w:r>
        <w:rPr>
          <w:rFonts w:ascii="Times New Roman" w:hAnsi="Times New Roman"/>
          <w:b w:val="false"/>
          <w:color w:val="000000"/>
          <w:sz w:val="22"/>
        </w:rPr>
        <w:t>Attention: [***]</w:t>
      </w:r>
    </w:p>
    <w:p>
      <w:pPr>
        <w:pStyle w:val="TextBody"/>
        <w:bidi w:val="0"/>
        <w:jc w:val="left"/>
        <w:rPr>
          <w:rFonts w:ascii="Times New Roman" w:hAnsi="Times New Roman"/>
          <w:b w:val="false"/>
          <w:color w:val="000000"/>
          <w:sz w:val="22"/>
        </w:rPr>
      </w:pPr>
      <w:r>
        <w:rPr>
          <w:rFonts w:ascii="Times New Roman" w:hAnsi="Times New Roman"/>
          <w:b w:val="false"/>
          <w:color w:val="000000"/>
          <w:sz w:val="22"/>
        </w:rPr>
        <w:t>Facsimile: [***]</w:t>
      </w:r>
    </w:p>
    <w:p>
      <w:pPr>
        <w:pStyle w:val="TextBody"/>
        <w:bidi w:val="0"/>
        <w:jc w:val="left"/>
        <w:rPr>
          <w:rFonts w:ascii="Times New Roman" w:hAnsi="Times New Roman"/>
          <w:b w:val="false"/>
          <w:color w:val="000000"/>
          <w:sz w:val="22"/>
        </w:rPr>
      </w:pPr>
      <w:r>
        <w:rPr>
          <w:rFonts w:ascii="Times New Roman" w:hAnsi="Times New Roman"/>
          <w:b w:val="false"/>
          <w:color w:val="000000"/>
          <w:sz w:val="22"/>
        </w:rPr>
        <w:t>Email: [***]</w:t>
      </w:r>
    </w:p>
    <w:p>
      <w:pPr>
        <w:pStyle w:val="TextBody"/>
        <w:bidi w:val="0"/>
        <w:spacing w:before="240" w:after="283"/>
        <w:jc w:val="left"/>
        <w:rPr>
          <w:rFonts w:ascii="Times New Roman" w:hAnsi="Times New Roman"/>
          <w:b w:val="false"/>
          <w:color w:val="000000"/>
          <w:sz w:val="22"/>
        </w:rPr>
      </w:pPr>
      <w:r>
        <w:rPr>
          <w:rFonts w:ascii="Times New Roman" w:hAnsi="Times New Roman"/>
          <w:b w:val="false"/>
          <w:color w:val="000000"/>
          <w:sz w:val="22"/>
        </w:rPr>
        <w:t>and if to the Company, shall be delivered to:</w:t>
      </w:r>
    </w:p>
    <w:p>
      <w:pPr>
        <w:pStyle w:val="TextBody"/>
        <w:bidi w:val="0"/>
        <w:spacing w:before="240" w:after="283"/>
        <w:jc w:val="left"/>
        <w:rPr>
          <w:rFonts w:ascii="Times New Roman" w:hAnsi="Times New Roman"/>
          <w:b w:val="false"/>
          <w:color w:val="000000"/>
          <w:sz w:val="22"/>
        </w:rPr>
      </w:pPr>
      <w:r>
        <w:rPr>
          <w:rFonts w:ascii="Times New Roman" w:hAnsi="Times New Roman"/>
          <w:b w:val="false"/>
          <w:color w:val="000000"/>
          <w:sz w:val="22"/>
        </w:rPr>
        <w:t>ALX Oncology Holdings Inc.</w:t>
      </w:r>
    </w:p>
    <w:p>
      <w:pPr>
        <w:pStyle w:val="TextBody"/>
        <w:bidi w:val="0"/>
        <w:jc w:val="left"/>
        <w:rPr>
          <w:rFonts w:ascii="Times New Roman" w:hAnsi="Times New Roman"/>
          <w:b w:val="false"/>
          <w:color w:val="000000"/>
          <w:sz w:val="22"/>
        </w:rPr>
      </w:pPr>
      <w:r>
        <w:rPr>
          <w:rFonts w:ascii="Times New Roman" w:hAnsi="Times New Roman"/>
          <w:b w:val="false"/>
          <w:color w:val="000000"/>
          <w:sz w:val="22"/>
        </w:rPr>
        <w:t>[***]</w:t>
      </w:r>
    </w:p>
    <w:p>
      <w:pPr>
        <w:pStyle w:val="TextBody"/>
        <w:bidi w:val="0"/>
        <w:jc w:val="left"/>
        <w:rPr>
          <w:rFonts w:ascii="Times New Roman" w:hAnsi="Times New Roman"/>
          <w:b w:val="false"/>
          <w:color w:val="000000"/>
          <w:sz w:val="22"/>
        </w:rPr>
      </w:pPr>
      <w:r>
        <w:rPr>
          <w:rFonts w:ascii="Times New Roman" w:hAnsi="Times New Roman"/>
          <w:b w:val="false"/>
          <w:color w:val="000000"/>
          <w:sz w:val="22"/>
        </w:rPr>
        <w:t>[***]</w:t>
      </w:r>
    </w:p>
    <w:p>
      <w:pPr>
        <w:pStyle w:val="TextBody"/>
        <w:bidi w:val="0"/>
        <w:jc w:val="left"/>
        <w:rPr>
          <w:rFonts w:ascii="Times New Roman" w:hAnsi="Times New Roman"/>
          <w:b w:val="false"/>
          <w:color w:val="000000"/>
          <w:sz w:val="22"/>
        </w:rPr>
      </w:pPr>
      <w:r>
        <w:rPr>
          <w:rFonts w:ascii="Times New Roman" w:hAnsi="Times New Roman"/>
          <w:b w:val="false"/>
          <w:color w:val="000000"/>
          <w:sz w:val="22"/>
        </w:rPr>
        <w:t>Attention: [***]</w:t>
      </w:r>
    </w:p>
    <w:p>
      <w:pPr>
        <w:pStyle w:val="TextBody"/>
        <w:bidi w:val="0"/>
        <w:jc w:val="left"/>
        <w:rPr>
          <w:rFonts w:ascii="Times New Roman" w:hAnsi="Times New Roman"/>
          <w:b w:val="false"/>
          <w:color w:val="000000"/>
          <w:sz w:val="22"/>
        </w:rPr>
      </w:pPr>
      <w:r>
        <w:rPr>
          <w:rFonts w:ascii="Times New Roman" w:hAnsi="Times New Roman"/>
          <w:b w:val="false"/>
          <w:color w:val="000000"/>
          <w:sz w:val="22"/>
        </w:rPr>
        <w:t>Facsimile: [***]</w:t>
      </w:r>
    </w:p>
    <w:p>
      <w:pPr>
        <w:pStyle w:val="TextBody"/>
        <w:bidi w:val="0"/>
        <w:jc w:val="left"/>
        <w:rPr>
          <w:rFonts w:ascii="Times New Roman" w:hAnsi="Times New Roman"/>
          <w:b w:val="false"/>
          <w:color w:val="000000"/>
          <w:sz w:val="22"/>
        </w:rPr>
      </w:pPr>
      <w:r>
        <w:rPr>
          <w:rFonts w:ascii="Times New Roman" w:hAnsi="Times New Roman"/>
          <w:b w:val="false"/>
          <w:color w:val="000000"/>
          <w:sz w:val="22"/>
        </w:rPr>
        <w:t>Email: [***]</w:t>
      </w:r>
    </w:p>
    <w:p>
      <w:pPr>
        <w:pStyle w:val="TextBody"/>
        <w:bidi w:val="0"/>
        <w:spacing w:before="240" w:after="283"/>
        <w:jc w:val="left"/>
        <w:rPr>
          <w:rFonts w:ascii="Times New Roman" w:hAnsi="Times New Roman"/>
          <w:b w:val="false"/>
          <w:color w:val="000000"/>
          <w:sz w:val="22"/>
        </w:rPr>
      </w:pPr>
      <w:r>
        <w:rPr>
          <w:rFonts w:ascii="Times New Roman" w:hAnsi="Times New Roman"/>
          <w:b w:val="false"/>
          <w:color w:val="000000"/>
          <w:sz w:val="22"/>
        </w:rPr>
        <w:t>With a copy to:</w:t>
      </w:r>
    </w:p>
    <w:p>
      <w:pPr>
        <w:pStyle w:val="TextBody"/>
        <w:bidi w:val="0"/>
        <w:spacing w:before="240" w:after="283"/>
        <w:jc w:val="left"/>
        <w:rPr>
          <w:rFonts w:ascii="Times New Roman" w:hAnsi="Times New Roman"/>
          <w:b w:val="false"/>
          <w:color w:val="000000"/>
          <w:sz w:val="22"/>
        </w:rPr>
      </w:pPr>
      <w:r>
        <w:rPr>
          <w:rFonts w:ascii="Times New Roman" w:hAnsi="Times New Roman"/>
          <w:b w:val="false"/>
          <w:color w:val="000000"/>
          <w:sz w:val="22"/>
        </w:rPr>
        <w:t>Wilson Sonsini Goodrich &amp; Rosati, Professional Corporation</w:t>
      </w:r>
    </w:p>
    <w:p>
      <w:pPr>
        <w:pStyle w:val="TextBody"/>
        <w:bidi w:val="0"/>
        <w:jc w:val="left"/>
        <w:rPr>
          <w:rFonts w:ascii="Times New Roman" w:hAnsi="Times New Roman"/>
          <w:b w:val="false"/>
          <w:color w:val="000000"/>
          <w:sz w:val="22"/>
        </w:rPr>
      </w:pPr>
      <w:r>
        <w:rPr>
          <w:rFonts w:ascii="Times New Roman" w:hAnsi="Times New Roman"/>
          <w:b w:val="false"/>
          <w:color w:val="000000"/>
          <w:sz w:val="22"/>
        </w:rPr>
        <w:t>[***]</w:t>
      </w:r>
    </w:p>
    <w:p>
      <w:pPr>
        <w:pStyle w:val="TextBody"/>
        <w:bidi w:val="0"/>
        <w:jc w:val="left"/>
        <w:rPr>
          <w:rFonts w:ascii="Times New Roman" w:hAnsi="Times New Roman"/>
          <w:b w:val="false"/>
          <w:color w:val="000000"/>
          <w:sz w:val="22"/>
        </w:rPr>
      </w:pPr>
      <w:r>
        <w:rPr>
          <w:rFonts w:ascii="Times New Roman" w:hAnsi="Times New Roman"/>
          <w:b w:val="false"/>
          <w:color w:val="000000"/>
          <w:sz w:val="22"/>
        </w:rPr>
        <w:t>[***]</w:t>
      </w:r>
    </w:p>
    <w:p>
      <w:pPr>
        <w:pStyle w:val="TextBody"/>
        <w:bidi w:val="0"/>
        <w:jc w:val="left"/>
        <w:rPr>
          <w:rFonts w:ascii="Times New Roman" w:hAnsi="Times New Roman"/>
          <w:b w:val="false"/>
          <w:color w:val="000000"/>
          <w:sz w:val="22"/>
        </w:rPr>
      </w:pPr>
      <w:r>
        <w:rPr>
          <w:rFonts w:ascii="Times New Roman" w:hAnsi="Times New Roman"/>
          <w:b w:val="false"/>
          <w:color w:val="000000"/>
          <w:sz w:val="22"/>
        </w:rPr>
        <w:t>Attention: [***]</w:t>
      </w:r>
    </w:p>
    <w:p>
      <w:pPr>
        <w:pStyle w:val="TextBody"/>
        <w:bidi w:val="0"/>
        <w:jc w:val="left"/>
        <w:rPr>
          <w:rFonts w:ascii="Times New Roman" w:hAnsi="Times New Roman"/>
          <w:b w:val="false"/>
          <w:color w:val="000000"/>
          <w:sz w:val="22"/>
        </w:rPr>
      </w:pPr>
      <w:r>
        <w:rPr>
          <w:rFonts w:ascii="Times New Roman" w:hAnsi="Times New Roman"/>
          <w:b w:val="false"/>
          <w:color w:val="000000"/>
          <w:sz w:val="22"/>
        </w:rPr>
        <w:t>Facsimile: [***]</w:t>
      </w:r>
    </w:p>
    <w:p>
      <w:pPr>
        <w:pStyle w:val="TextBody"/>
        <w:bidi w:val="0"/>
        <w:jc w:val="left"/>
        <w:rPr>
          <w:rFonts w:ascii="Times New Roman" w:hAnsi="Times New Roman"/>
          <w:b w:val="false"/>
          <w:color w:val="000000"/>
          <w:sz w:val="22"/>
        </w:rPr>
      </w:pPr>
      <w:r>
        <w:rPr>
          <w:rFonts w:ascii="Times New Roman" w:hAnsi="Times New Roman"/>
          <w:b w:val="false"/>
          <w:color w:val="000000"/>
          <w:sz w:val="22"/>
        </w:rPr>
        <w:t>Email: [***]</w:t>
      </w:r>
    </w:p>
    <w:p>
      <w:pPr>
        <w:pStyle w:val="TextBody"/>
        <w:bidi w:val="0"/>
        <w:spacing w:before="240" w:after="283"/>
        <w:jc w:val="left"/>
        <w:rPr>
          <w:rFonts w:ascii="Times New Roman" w:hAnsi="Times New Roman"/>
          <w:sz w:val="20"/>
        </w:rPr>
      </w:pPr>
      <w:r>
        <w:rPr>
          <w:rFonts w:ascii="Times New Roman" w:hAnsi="Times New Roman"/>
          <w:b w:val="false"/>
          <w:color w:val="000000"/>
          <w:sz w:val="22"/>
        </w:rPr>
        <w:t>5. The following section shall be added as Section 24 of the Sales Agreement:</w:t>
      </w:r>
      <w:r>
        <w:rPr>
          <w:rFonts w:ascii="Times New Roman" w:hAnsi="Times New Roman"/>
          <w:color w:val="000000"/>
          <w:sz w:val="20"/>
        </w:rPr>
        <w:t xml:space="preserve"> </w:t>
      </w:r>
    </w:p>
    <w:p>
      <w:pPr>
        <w:pStyle w:val="TextBody"/>
        <w:bidi w:val="0"/>
        <w:spacing w:before="240" w:after="283"/>
        <w:jc w:val="left"/>
        <w:rPr/>
      </w:pPr>
      <w:r>
        <w:rPr>
          <w:color w:val="000000"/>
        </w:rPr>
        <w:t>“</w:t>
      </w:r>
      <w:r>
        <w:rPr>
          <w:rFonts w:ascii="Times New Roman" w:hAnsi="Times New Roman"/>
          <w:b w:val="false"/>
          <w:color w:val="000000"/>
          <w:sz w:val="22"/>
          <w:u w:val="single"/>
        </w:rPr>
        <w:t>Section 24</w:t>
      </w:r>
      <w:r>
        <w:rPr>
          <w:rFonts w:ascii="Times New Roman" w:hAnsi="Times New Roman"/>
          <w:b w:val="false"/>
          <w:color w:val="000000"/>
          <w:sz w:val="22"/>
        </w:rPr>
        <w:t>: Recognition of the U.S. Special Resolution Regimes.</w:t>
      </w:r>
    </w:p>
    <w:p>
      <w:pPr>
        <w:pStyle w:val="TextBody"/>
        <w:bidi w:val="0"/>
        <w:spacing w:before="240" w:after="283"/>
        <w:jc w:val="left"/>
        <w:rPr>
          <w:rFonts w:ascii="Times New Roman" w:hAnsi="Times New Roman"/>
          <w:b w:val="false"/>
          <w:color w:val="000000"/>
          <w:sz w:val="22"/>
        </w:rPr>
      </w:pPr>
      <w:r>
        <w:rPr>
          <w:rFonts w:ascii="Times New Roman" w:hAnsi="Times New Roman"/>
          <w:b w:val="false"/>
          <w:color w:val="000000"/>
          <w:sz w:val="22"/>
        </w:rPr>
        <w:t>(a) In the event that any Agent that is a Covered Entity becomes subject to a proceeding under a U.S. Special Resolution Regime, the transfer from such Agents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pStyle w:val="TextBody"/>
        <w:bidi w:val="0"/>
        <w:spacing w:before="240" w:after="283"/>
        <w:jc w:val="left"/>
        <w:rPr>
          <w:rFonts w:ascii="Times New Roman" w:hAnsi="Times New Roman"/>
          <w:b w:val="false"/>
          <w:color w:val="000000"/>
          <w:sz w:val="22"/>
        </w:rPr>
      </w:pPr>
      <w:r>
        <w:rPr>
          <w:rFonts w:ascii="Times New Roman" w:hAnsi="Times New Roman"/>
          <w:b w:val="false"/>
          <w:color w:val="000000"/>
          <w:sz w:val="22"/>
        </w:rPr>
        <w:t>(b) In the event that any Agent that is a Covered Entity or a BHC Act Affiliate of such Agent becomes subject to a proceeding under a U.S. Special Resolution Regime, Default Rights under this Agreement that may be exercised against such Agent are permitted to be exercised to no greater extent than such Default Rights could be exercised under the U.S. Special Resolution Regime if this Agreement were governed by the laws of the United States or a state of the United States.</w:t>
      </w:r>
    </w:p>
    <w:p>
      <w:pPr>
        <w:pStyle w:val="TextBody"/>
        <w:bidi w:val="0"/>
        <w:spacing w:before="240" w:after="283"/>
        <w:jc w:val="left"/>
        <w:rPr>
          <w:rFonts w:ascii="Times New Roman" w:hAnsi="Times New Roman"/>
          <w:b w:val="false"/>
          <w:color w:val="000000"/>
          <w:sz w:val="22"/>
        </w:rPr>
      </w:pPr>
      <w:r>
        <w:rPr>
          <w:rFonts w:ascii="Times New Roman" w:hAnsi="Times New Roman"/>
          <w:b w:val="false"/>
          <w:color w:val="000000"/>
          <w:sz w:val="22"/>
        </w:rPr>
        <w:t>As used in this Section 24:</w:t>
      </w:r>
    </w:p>
    <w:p>
      <w:pPr>
        <w:pStyle w:val="TextBody"/>
        <w:bidi w:val="0"/>
        <w:spacing w:before="240" w:after="283"/>
        <w:jc w:val="left"/>
        <w:rPr/>
      </w:pPr>
      <w:r>
        <w:rPr>
          <w:color w:val="000000"/>
        </w:rPr>
        <w:t>“</w:t>
      </w:r>
      <w:r>
        <w:rPr>
          <w:rFonts w:ascii="Times New Roman" w:hAnsi="Times New Roman"/>
          <w:b/>
          <w:color w:val="000000"/>
          <w:sz w:val="22"/>
          <w:u w:val="single"/>
        </w:rPr>
        <w:t>BHC Act Affiliate</w:t>
      </w:r>
      <w:r>
        <w:rPr>
          <w:rFonts w:ascii="Times New Roman" w:hAnsi="Times New Roman"/>
          <w:color w:val="000000"/>
          <w:sz w:val="20"/>
        </w:rPr>
        <w:t xml:space="preserve">” </w:t>
      </w:r>
      <w:r>
        <w:rPr>
          <w:rFonts w:ascii="Times New Roman" w:hAnsi="Times New Roman"/>
          <w:b w:val="false"/>
          <w:color w:val="000000"/>
          <w:sz w:val="22"/>
        </w:rPr>
        <w:t>has the meaning assigned to the term “affiliate” in, and shall be interpreted in accordance with, 12 U.S.C. § 1841(k).</w:t>
      </w:r>
    </w:p>
    <w:p>
      <w:pPr>
        <w:pStyle w:val="TextBody"/>
        <w:bidi w:val="0"/>
        <w:spacing w:before="240" w:after="283"/>
        <w:jc w:val="left"/>
        <w:rPr/>
      </w:pPr>
      <w:r>
        <w:rPr>
          <w:color w:val="000000"/>
        </w:rPr>
        <w:t>“</w:t>
      </w:r>
      <w:r>
        <w:rPr>
          <w:rFonts w:ascii="Times New Roman" w:hAnsi="Times New Roman"/>
          <w:b/>
          <w:color w:val="000000"/>
          <w:sz w:val="22"/>
          <w:u w:val="single"/>
        </w:rPr>
        <w:t>Covered Entity</w:t>
      </w:r>
      <w:r>
        <w:rPr>
          <w:rFonts w:ascii="Times New Roman" w:hAnsi="Times New Roman"/>
          <w:color w:val="000000"/>
          <w:sz w:val="20"/>
        </w:rPr>
        <w:t xml:space="preserve">” </w:t>
      </w:r>
      <w:r>
        <w:rPr>
          <w:rFonts w:ascii="Times New Roman" w:hAnsi="Times New Roman"/>
          <w:b w:val="false"/>
          <w:color w:val="000000"/>
          <w:sz w:val="22"/>
        </w:rPr>
        <w:t>means any of the following:</w:t>
      </w:r>
    </w:p>
    <w:p>
      <w:pPr>
        <w:pStyle w:val="TextBody"/>
        <w:bidi w:val="0"/>
        <w:spacing w:before="240" w:after="283"/>
        <w:jc w:val="center"/>
        <w:rPr>
          <w:rFonts w:ascii="Times New Roman" w:hAnsi="Times New Roman"/>
          <w:b w:val="false"/>
          <w:color w:val="000000"/>
          <w:sz w:val="22"/>
        </w:rPr>
      </w:pPr>
      <w:r>
        <w:rPr>
          <w:rFonts w:ascii="Times New Roman" w:hAnsi="Times New Roman"/>
          <w:b w:val="false"/>
          <w:color w:val="000000"/>
          <w:sz w:val="22"/>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val="false"/>
          <w:color w:val="000000"/>
          <w:sz w:val="22"/>
        </w:rPr>
      </w:pPr>
      <w:r>
        <w:rPr>
          <w:rFonts w:ascii="Times New Roman" w:hAnsi="Times New Roman"/>
          <w:b w:val="false"/>
          <w:color w:val="000000"/>
          <w:sz w:val="22"/>
        </w:rPr>
        <w:t>(i) a “covered entity” as that term is defined in, and interpreted in accordance with, 12 C.F.R. § 252.82(b);</w:t>
      </w:r>
    </w:p>
    <w:p>
      <w:pPr>
        <w:pStyle w:val="TextBody"/>
        <w:bidi w:val="0"/>
        <w:spacing w:before="240" w:after="283"/>
        <w:jc w:val="left"/>
        <w:rPr>
          <w:rFonts w:ascii="Times New Roman" w:hAnsi="Times New Roman"/>
          <w:b w:val="false"/>
          <w:color w:val="000000"/>
          <w:sz w:val="22"/>
        </w:rPr>
      </w:pPr>
      <w:r>
        <w:rPr>
          <w:rFonts w:ascii="Times New Roman" w:hAnsi="Times New Roman"/>
          <w:b w:val="false"/>
          <w:color w:val="000000"/>
          <w:sz w:val="22"/>
        </w:rPr>
        <w:t>(ii) a “covered bank” as that term is defined in, and interpreted in accordance with, 12 C.F.R. § 47.3(b); or</w:t>
      </w:r>
    </w:p>
    <w:p>
      <w:pPr>
        <w:pStyle w:val="TextBody"/>
        <w:bidi w:val="0"/>
        <w:spacing w:before="240" w:after="283"/>
        <w:jc w:val="left"/>
        <w:rPr>
          <w:rFonts w:ascii="Times New Roman" w:hAnsi="Times New Roman"/>
          <w:b w:val="false"/>
          <w:color w:val="000000"/>
          <w:sz w:val="22"/>
        </w:rPr>
      </w:pPr>
      <w:r>
        <w:rPr>
          <w:rFonts w:ascii="Times New Roman" w:hAnsi="Times New Roman"/>
          <w:b w:val="false"/>
          <w:color w:val="000000"/>
          <w:sz w:val="22"/>
        </w:rPr>
        <w:t>(iii) a “covered FSI” as that term is defined in, and interpreted in accordance with, 12 C.F.R. § 382.2(b).</w:t>
      </w:r>
    </w:p>
    <w:p>
      <w:pPr>
        <w:pStyle w:val="TextBody"/>
        <w:bidi w:val="0"/>
        <w:spacing w:before="240" w:after="283"/>
        <w:jc w:val="left"/>
        <w:rPr/>
      </w:pPr>
      <w:r>
        <w:rPr>
          <w:color w:val="000000"/>
        </w:rPr>
        <w:t>“</w:t>
      </w:r>
      <w:r>
        <w:rPr>
          <w:rFonts w:ascii="Times New Roman" w:hAnsi="Times New Roman"/>
          <w:b/>
          <w:color w:val="000000"/>
          <w:sz w:val="22"/>
          <w:u w:val="single"/>
        </w:rPr>
        <w:t>Default Right</w:t>
      </w:r>
      <w:r>
        <w:rPr>
          <w:rFonts w:ascii="Times New Roman" w:hAnsi="Times New Roman"/>
          <w:color w:val="000000"/>
          <w:sz w:val="20"/>
        </w:rPr>
        <w:t xml:space="preserve">” </w:t>
      </w:r>
      <w:r>
        <w:rPr>
          <w:rFonts w:ascii="Times New Roman" w:hAnsi="Times New Roman"/>
          <w:b w:val="false"/>
          <w:color w:val="000000"/>
          <w:sz w:val="22"/>
        </w:rPr>
        <w:t>has the meaning assigned to that term in, and shall be interpreted in accordance with, 12 C.F.R. §§ 252.81, 47.2 or 382.1, as applicable.</w:t>
      </w:r>
    </w:p>
    <w:p>
      <w:pPr>
        <w:pStyle w:val="TextBody"/>
        <w:bidi w:val="0"/>
        <w:spacing w:before="240" w:after="283"/>
        <w:jc w:val="left"/>
        <w:rPr/>
      </w:pPr>
      <w:r>
        <w:rPr>
          <w:color w:val="000000"/>
        </w:rPr>
        <w:t>“</w:t>
      </w:r>
      <w:r>
        <w:rPr>
          <w:rFonts w:ascii="Times New Roman" w:hAnsi="Times New Roman"/>
          <w:b/>
          <w:color w:val="000000"/>
          <w:sz w:val="22"/>
          <w:u w:val="single"/>
        </w:rPr>
        <w:t>U.S. Special Resolution Regime</w:t>
      </w:r>
      <w:r>
        <w:rPr>
          <w:rFonts w:ascii="Times New Roman" w:hAnsi="Times New Roman"/>
          <w:color w:val="000000"/>
          <w:sz w:val="20"/>
        </w:rPr>
        <w:t xml:space="preserve">” </w:t>
      </w:r>
      <w:r>
        <w:rPr>
          <w:rFonts w:ascii="Times New Roman" w:hAnsi="Times New Roman"/>
          <w:b w:val="false"/>
          <w:color w:val="000000"/>
          <w:sz w:val="22"/>
        </w:rPr>
        <w:t>means each of (i) the Federal Deposit Insurance Act and the regulations promulgated thereunder and (ii) Title II of the Dodd-Frank Wall Street Reform and Consumer Protection Act and the regulations promulgated thereunder.”</w:t>
      </w:r>
    </w:p>
    <w:p>
      <w:pPr>
        <w:pStyle w:val="TextBody"/>
        <w:bidi w:val="0"/>
        <w:spacing w:before="240" w:after="283"/>
        <w:jc w:val="left"/>
        <w:rPr>
          <w:rFonts w:ascii="Times New Roman" w:hAnsi="Times New Roman"/>
          <w:b w:val="false"/>
          <w:color w:val="000000"/>
          <w:sz w:val="22"/>
        </w:rPr>
      </w:pPr>
      <w:r>
        <w:rPr>
          <w:rFonts w:ascii="Times New Roman" w:hAnsi="Times New Roman"/>
          <w:b w:val="false"/>
          <w:color w:val="000000"/>
          <w:sz w:val="22"/>
        </w:rPr>
        <w:t>6. The first paragraph of Schedule 1 of the Sales Agreement is hereby amended and restated as follows:</w:t>
      </w:r>
    </w:p>
    <w:p>
      <w:pPr>
        <w:pStyle w:val="TextBody"/>
        <w:bidi w:val="0"/>
        <w:spacing w:before="240" w:after="283"/>
        <w:jc w:val="left"/>
        <w:rPr/>
      </w:pPr>
      <w:r>
        <w:rPr>
          <w:color w:val="000000"/>
        </w:rPr>
        <w:t>“</w:t>
      </w:r>
      <w:r>
        <w:rPr>
          <w:rFonts w:ascii="Times New Roman" w:hAnsi="Times New Roman"/>
          <w:b w:val="false"/>
          <w:color w:val="000000"/>
          <w:sz w:val="22"/>
        </w:rPr>
        <w:t>Pursuant to the terms and subject to the conditions contained in the Sales Agreement among ALX Oncology Holdings Inc., a Delaware corporation (the “</w:t>
      </w:r>
      <w:r>
        <w:rPr>
          <w:rFonts w:ascii="Times New Roman" w:hAnsi="Times New Roman"/>
          <w:b/>
          <w:color w:val="000000"/>
          <w:sz w:val="22"/>
          <w:u w:val="single"/>
        </w:rPr>
        <w:t>Company</w:t>
      </w:r>
      <w:r>
        <w:rPr>
          <w:rFonts w:ascii="Times New Roman" w:hAnsi="Times New Roman"/>
          <w:color w:val="000000"/>
          <w:sz w:val="20"/>
        </w:rPr>
        <w:t>”</w:t>
      </w:r>
      <w:r>
        <w:rPr>
          <w:rFonts w:ascii="Times New Roman" w:hAnsi="Times New Roman"/>
          <w:b w:val="false"/>
          <w:color w:val="000000"/>
          <w:sz w:val="22"/>
        </w:rPr>
        <w:t>), Cantor Fitzgerald &amp; Co. and UBS Securities LLC (each individually, a “</w:t>
      </w:r>
      <w:r>
        <w:rPr>
          <w:rFonts w:ascii="Times New Roman" w:hAnsi="Times New Roman"/>
          <w:b/>
          <w:color w:val="000000"/>
          <w:sz w:val="22"/>
          <w:u w:val="single"/>
        </w:rPr>
        <w:t>Designated</w:t>
      </w:r>
      <w:r>
        <w:rPr>
          <w:rFonts w:ascii="Times New Roman" w:hAnsi="Times New Roman"/>
          <w:color w:val="000000"/>
          <w:sz w:val="20"/>
        </w:rPr>
        <w:t xml:space="preserve"> </w:t>
      </w:r>
      <w:r>
        <w:rPr>
          <w:rFonts w:ascii="Times New Roman" w:hAnsi="Times New Roman"/>
          <w:b/>
          <w:color w:val="000000"/>
          <w:sz w:val="22"/>
          <w:u w:val="single"/>
        </w:rPr>
        <w:t>Agent</w:t>
      </w:r>
      <w:r>
        <w:rPr>
          <w:rFonts w:ascii="Times New Roman" w:hAnsi="Times New Roman"/>
          <w:color w:val="000000"/>
          <w:sz w:val="20"/>
        </w:rPr>
        <w:t>”</w:t>
      </w:r>
      <w:r>
        <w:rPr>
          <w:rFonts w:ascii="Times New Roman" w:hAnsi="Times New Roman"/>
          <w:b w:val="false"/>
          <w:color w:val="000000"/>
          <w:sz w:val="22"/>
        </w:rPr>
        <w:t>), dated December 17, 2021, as amended August 25, 2023, the Company hereby requests that the Designated Agent sell up to [] of the Company’s common stock, par value $0.001 per share, at a minimum market price of $[] per share, during the time period beginning [month, day, time] and ending [month, day, time].”</w:t>
      </w:r>
    </w:p>
    <w:p>
      <w:pPr>
        <w:pStyle w:val="TextBody"/>
        <w:bidi w:val="0"/>
        <w:spacing w:before="240" w:after="283"/>
        <w:jc w:val="left"/>
        <w:rPr>
          <w:rFonts w:ascii="Times New Roman" w:hAnsi="Times New Roman"/>
          <w:sz w:val="20"/>
        </w:rPr>
      </w:pPr>
      <w:r>
        <w:rPr>
          <w:rFonts w:ascii="Times New Roman" w:hAnsi="Times New Roman"/>
          <w:b w:val="false"/>
          <w:color w:val="000000"/>
          <w:sz w:val="22"/>
        </w:rPr>
        <w:t>7. Schedule 3 of the Sales Agreement is hereby amended and restated as follows:</w:t>
      </w:r>
      <w:r>
        <w:rPr>
          <w:rFonts w:ascii="Times New Roman" w:hAnsi="Times New Roman"/>
          <w:color w:val="000000"/>
          <w:sz w:val="20"/>
        </w:rPr>
        <w:t xml:space="preserve"> </w:t>
      </w:r>
    </w:p>
    <w:p>
      <w:pPr>
        <w:pStyle w:val="TextBody"/>
        <w:bidi w:val="0"/>
        <w:spacing w:before="240" w:after="283"/>
        <w:jc w:val="left"/>
        <w:rPr/>
      </w:pPr>
      <w:r>
        <w:rPr>
          <w:color w:val="000000"/>
        </w:rPr>
        <w:t>“</w:t>
      </w:r>
      <w:r>
        <w:rPr>
          <w:rFonts w:ascii="Times New Roman" w:hAnsi="Times New Roman"/>
          <w:b w:val="false"/>
          <w:color w:val="000000"/>
          <w:sz w:val="22"/>
          <w:u w:val="single"/>
        </w:rPr>
        <w:t>The Company</w:t>
      </w:r>
    </w:p>
    <w:p>
      <w:pPr>
        <w:pStyle w:val="TextBody"/>
        <w:bidi w:val="0"/>
        <w:spacing w:before="240" w:after="283"/>
        <w:jc w:val="left"/>
        <w:rPr>
          <w:rFonts w:ascii="Times New Roman" w:hAnsi="Times New Roman"/>
          <w:b w:val="false"/>
          <w:color w:val="000000"/>
          <w:sz w:val="22"/>
        </w:rPr>
      </w:pPr>
      <w:r>
        <w:rPr>
          <w:rFonts w:ascii="Times New Roman" w:hAnsi="Times New Roman"/>
          <w:b w:val="false"/>
          <w:color w:val="000000"/>
          <w:sz w:val="22"/>
        </w:rPr>
        <w:t>[***]</w:t>
      </w:r>
    </w:p>
    <w:p>
      <w:pPr>
        <w:pStyle w:val="TextBody"/>
        <w:bidi w:val="0"/>
        <w:spacing w:before="240" w:after="283"/>
        <w:jc w:val="left"/>
        <w:rPr>
          <w:rFonts w:ascii="Times New Roman" w:hAnsi="Times New Roman"/>
          <w:b w:val="false"/>
          <w:color w:val="000000"/>
          <w:sz w:val="22"/>
          <w:u w:val="single"/>
        </w:rPr>
      </w:pPr>
      <w:r>
        <w:rPr>
          <w:rFonts w:ascii="Times New Roman" w:hAnsi="Times New Roman"/>
          <w:b w:val="false"/>
          <w:color w:val="000000"/>
          <w:sz w:val="22"/>
          <w:u w:val="single"/>
        </w:rPr>
        <w:t>The Agents</w:t>
      </w:r>
    </w:p>
    <w:p>
      <w:pPr>
        <w:pStyle w:val="TextBody"/>
        <w:bidi w:val="0"/>
        <w:spacing w:before="240" w:after="283"/>
        <w:jc w:val="left"/>
        <w:rPr>
          <w:rFonts w:ascii="Times New Roman" w:hAnsi="Times New Roman"/>
          <w:b w:val="false"/>
          <w:color w:val="000000"/>
          <w:sz w:val="22"/>
        </w:rPr>
      </w:pPr>
      <w:r>
        <w:rPr>
          <w:rFonts w:ascii="Times New Roman" w:hAnsi="Times New Roman"/>
          <w:b w:val="false"/>
          <w:color w:val="000000"/>
          <w:sz w:val="22"/>
        </w:rPr>
        <w:t>Cantor Fitzgerald &amp; Co.</w:t>
      </w:r>
    </w:p>
    <w:p>
      <w:pPr>
        <w:pStyle w:val="TextBody"/>
        <w:bidi w:val="0"/>
        <w:jc w:val="left"/>
        <w:rPr>
          <w:rFonts w:ascii="Times New Roman" w:hAnsi="Times New Roman"/>
          <w:b w:val="false"/>
          <w:color w:val="000000"/>
          <w:sz w:val="22"/>
        </w:rPr>
      </w:pPr>
      <w:r>
        <w:rPr>
          <w:rFonts w:ascii="Times New Roman" w:hAnsi="Times New Roman"/>
          <w:b w:val="false"/>
          <w:color w:val="000000"/>
          <w:sz w:val="22"/>
        </w:rPr>
        <w:t>[***]</w:t>
      </w:r>
    </w:p>
    <w:p>
      <w:pPr>
        <w:pStyle w:val="TextBody"/>
        <w:bidi w:val="0"/>
        <w:jc w:val="left"/>
        <w:rPr>
          <w:rFonts w:ascii="Times New Roman" w:hAnsi="Times New Roman"/>
          <w:b w:val="false"/>
          <w:color w:val="000000"/>
          <w:sz w:val="22"/>
        </w:rPr>
      </w:pPr>
      <w:r>
        <w:rPr>
          <w:rFonts w:ascii="Times New Roman" w:hAnsi="Times New Roman"/>
          <w:b w:val="false"/>
          <w:color w:val="000000"/>
          <w:sz w:val="22"/>
        </w:rPr>
        <w:t>With copies to:</w:t>
      </w:r>
    </w:p>
    <w:p>
      <w:pPr>
        <w:pStyle w:val="TextBody"/>
        <w:bidi w:val="0"/>
        <w:jc w:val="left"/>
        <w:rPr>
          <w:rFonts w:ascii="Times New Roman" w:hAnsi="Times New Roman"/>
          <w:b w:val="false"/>
          <w:color w:val="000000"/>
          <w:sz w:val="22"/>
        </w:rPr>
      </w:pPr>
      <w:r>
        <w:rPr>
          <w:rFonts w:ascii="Times New Roman" w:hAnsi="Times New Roman"/>
          <w:b w:val="false"/>
          <w:color w:val="000000"/>
          <w:sz w:val="22"/>
        </w:rPr>
        <w:t>[***]</w:t>
      </w:r>
    </w:p>
    <w:p>
      <w:pPr>
        <w:pStyle w:val="TextBody"/>
        <w:bidi w:val="0"/>
        <w:spacing w:before="240" w:after="283"/>
        <w:jc w:val="left"/>
        <w:rPr>
          <w:rFonts w:ascii="Times New Roman" w:hAnsi="Times New Roman"/>
          <w:b w:val="false"/>
          <w:color w:val="000000"/>
          <w:sz w:val="22"/>
        </w:rPr>
      </w:pPr>
      <w:r>
        <w:rPr>
          <w:rFonts w:ascii="Times New Roman" w:hAnsi="Times New Roman"/>
          <w:b w:val="false"/>
          <w:color w:val="000000"/>
          <w:sz w:val="22"/>
        </w:rPr>
        <w:t>UBS Securities LLC</w:t>
      </w:r>
    </w:p>
    <w:p>
      <w:pPr>
        <w:pStyle w:val="TextBody"/>
        <w:bidi w:val="0"/>
        <w:jc w:val="left"/>
        <w:rPr>
          <w:rFonts w:ascii="Times New Roman" w:hAnsi="Times New Roman"/>
          <w:b w:val="false"/>
          <w:color w:val="000000"/>
          <w:sz w:val="22"/>
        </w:rPr>
      </w:pPr>
      <w:r>
        <w:rPr>
          <w:rFonts w:ascii="Times New Roman" w:hAnsi="Times New Roman"/>
          <w:b w:val="false"/>
          <w:color w:val="000000"/>
          <w:sz w:val="22"/>
        </w:rPr>
        <w:t>[***]</w:t>
      </w:r>
    </w:p>
    <w:p>
      <w:pPr>
        <w:pStyle w:val="TextBody"/>
        <w:bidi w:val="0"/>
        <w:jc w:val="left"/>
        <w:rPr>
          <w:rFonts w:ascii="Times New Roman" w:hAnsi="Times New Roman"/>
          <w:b w:val="false"/>
          <w:color w:val="000000"/>
          <w:sz w:val="22"/>
        </w:rPr>
      </w:pPr>
      <w:r>
        <w:rPr>
          <w:rFonts w:ascii="Times New Roman" w:hAnsi="Times New Roman"/>
          <w:b w:val="false"/>
          <w:color w:val="000000"/>
          <w:sz w:val="22"/>
        </w:rPr>
        <w:t>[***]</w:t>
      </w:r>
    </w:p>
    <w:p>
      <w:pPr>
        <w:pStyle w:val="TextBody"/>
        <w:bidi w:val="0"/>
        <w:jc w:val="left"/>
        <w:rPr>
          <w:rFonts w:ascii="Times New Roman" w:hAnsi="Times New Roman"/>
          <w:b w:val="false"/>
          <w:color w:val="000000"/>
          <w:sz w:val="22"/>
        </w:rPr>
      </w:pPr>
      <w:r>
        <w:rPr>
          <w:rFonts w:ascii="Times New Roman" w:hAnsi="Times New Roman"/>
          <w:b w:val="false"/>
          <w:color w:val="000000"/>
          <w:sz w:val="22"/>
        </w:rPr>
        <w:t>[***]</w:t>
      </w:r>
    </w:p>
    <w:p>
      <w:pPr>
        <w:pStyle w:val="TextBody"/>
        <w:bidi w:val="0"/>
        <w:jc w:val="left"/>
        <w:rPr>
          <w:rFonts w:ascii="Times New Roman" w:hAnsi="Times New Roman"/>
          <w:b w:val="false"/>
          <w:color w:val="000000"/>
          <w:sz w:val="22"/>
        </w:rPr>
      </w:pPr>
      <w:r>
        <w:rPr>
          <w:rFonts w:ascii="Times New Roman" w:hAnsi="Times New Roman"/>
          <w:b w:val="false"/>
          <w:color w:val="000000"/>
          <w:sz w:val="22"/>
        </w:rPr>
        <w:t>[***]</w:t>
      </w:r>
    </w:p>
    <w:p>
      <w:pPr>
        <w:pStyle w:val="TextBody"/>
        <w:bidi w:val="0"/>
        <w:jc w:val="left"/>
        <w:rPr>
          <w:rFonts w:ascii="Times New Roman" w:hAnsi="Times New Roman"/>
          <w:b w:val="false"/>
          <w:color w:val="000000"/>
          <w:sz w:val="22"/>
        </w:rPr>
      </w:pPr>
      <w:r>
        <w:rPr>
          <w:rFonts w:ascii="Times New Roman" w:hAnsi="Times New Roman"/>
          <w:b w:val="false"/>
          <w:color w:val="000000"/>
          <w:sz w:val="22"/>
        </w:rPr>
        <w:t>[***]</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B.</w:t>
      </w:r>
    </w:p>
    <w:p>
      <w:pPr>
        <w:pStyle w:val="TextBody"/>
        <w:bidi w:val="0"/>
        <w:spacing w:before="240" w:after="283"/>
        <w:jc w:val="left"/>
        <w:rPr/>
      </w:pPr>
      <w:r>
        <w:rPr>
          <w:rFonts w:ascii="Times New Roman" w:hAnsi="Times New Roman"/>
          <w:b w:val="false"/>
          <w:color w:val="000000"/>
          <w:sz w:val="22"/>
          <w:u w:val="single"/>
        </w:rPr>
        <w:t>Obligations Binding upon UBS Securities LLC</w:t>
      </w:r>
      <w:r>
        <w:rPr>
          <w:rFonts w:ascii="Times New Roman" w:hAnsi="Times New Roman"/>
          <w:b w:val="false"/>
          <w:color w:val="000000"/>
          <w:sz w:val="22"/>
        </w:rPr>
        <w:t xml:space="preserve">. UBS Securities LLC hereby agrees to be bound by the terms of the Sales Agreement. UBS Securities LLC shall be considered to be </w:t>
      </w:r>
    </w:p>
    <w:p>
      <w:pPr>
        <w:pStyle w:val="TextBody"/>
        <w:bidi w:val="0"/>
        <w:spacing w:before="240" w:after="283"/>
        <w:jc w:val="center"/>
        <w:rPr>
          <w:rFonts w:ascii="Times New Roman" w:hAnsi="Times New Roman"/>
          <w:b w:val="false"/>
          <w:color w:val="000000"/>
          <w:sz w:val="22"/>
        </w:rPr>
      </w:pPr>
      <w:r>
        <w:rPr>
          <w:rFonts w:ascii="Times New Roman" w:hAnsi="Times New Roman"/>
          <w:b w:val="false"/>
          <w:color w:val="000000"/>
          <w:sz w:val="22"/>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val="false"/>
          <w:color w:val="000000"/>
          <w:sz w:val="22"/>
        </w:rPr>
      </w:pPr>
      <w:r>
        <w:rPr>
          <w:rFonts w:ascii="Times New Roman" w:hAnsi="Times New Roman"/>
          <w:b w:val="false"/>
          <w:color w:val="000000"/>
          <w:sz w:val="22"/>
        </w:rPr>
        <w:t>an Agent under the Sales Agreement to the same extent as if it were a party to the Sales Agreement on the date of the execution thereof.</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C.</w:t>
      </w:r>
    </w:p>
    <w:p>
      <w:pPr>
        <w:pStyle w:val="TextBody"/>
        <w:bidi w:val="0"/>
        <w:spacing w:before="240" w:after="283"/>
        <w:jc w:val="left"/>
        <w:rPr/>
      </w:pPr>
      <w:r>
        <w:rPr>
          <w:rFonts w:ascii="Times New Roman" w:hAnsi="Times New Roman"/>
          <w:b w:val="false"/>
          <w:color w:val="000000"/>
          <w:sz w:val="22"/>
          <w:u w:val="single"/>
        </w:rPr>
        <w:t>Termination of Obligations of Credit Suisse Securities (USA) LLC</w:t>
      </w:r>
      <w:r>
        <w:rPr>
          <w:rFonts w:ascii="Times New Roman" w:hAnsi="Times New Roman"/>
          <w:b w:val="false"/>
          <w:color w:val="000000"/>
          <w:sz w:val="22"/>
        </w:rPr>
        <w:t>. With respect to Credit Suisse’s role as Agent prior to the date hereof, the termination of the Agreement with respect to Credit Suisse shall be without liability of any party to any other party, except that the provisions of Sections 8, 10, 11, 17 and 18 shall remain in full force and effect notwithstanding such termination.</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D.</w:t>
      </w:r>
    </w:p>
    <w:p>
      <w:pPr>
        <w:pStyle w:val="TextBody"/>
        <w:bidi w:val="0"/>
        <w:spacing w:before="240" w:after="283"/>
        <w:jc w:val="left"/>
        <w:rPr/>
      </w:pPr>
      <w:r>
        <w:rPr>
          <w:rFonts w:ascii="Times New Roman" w:hAnsi="Times New Roman"/>
          <w:b w:val="false"/>
          <w:color w:val="000000"/>
          <w:sz w:val="22"/>
          <w:u w:val="single"/>
        </w:rPr>
        <w:t>Prospectus Supplement</w:t>
      </w:r>
      <w:r>
        <w:rPr>
          <w:rFonts w:ascii="Times New Roman" w:hAnsi="Times New Roman"/>
          <w:b w:val="false"/>
          <w:color w:val="000000"/>
          <w:sz w:val="22"/>
        </w:rPr>
        <w:t>. The Company shall file a Prospectus Supplement pursuant to Rule 424(b) of the Act reflecting the terms of this Amendment within two business days of the date hereof.</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E.</w:t>
      </w:r>
    </w:p>
    <w:p>
      <w:pPr>
        <w:pStyle w:val="TextBody"/>
        <w:bidi w:val="0"/>
        <w:spacing w:before="240" w:after="283"/>
        <w:jc w:val="left"/>
        <w:rPr/>
      </w:pPr>
      <w:r>
        <w:rPr>
          <w:rFonts w:ascii="Times New Roman" w:hAnsi="Times New Roman"/>
          <w:b w:val="false"/>
          <w:color w:val="000000"/>
          <w:sz w:val="22"/>
          <w:u w:val="single"/>
        </w:rPr>
        <w:t>No Other Amendments; References to Agreement</w:t>
      </w:r>
      <w:r>
        <w:rPr>
          <w:rFonts w:ascii="Times New Roman" w:hAnsi="Times New Roman"/>
          <w:b w:val="false"/>
          <w:color w:val="000000"/>
          <w:sz w:val="22"/>
        </w:rPr>
        <w:t>. Except as set forth in Part A above, all the terms and provisions of the Sales Agreement shall continue in full force and effect. All references to the Sales Agreement in the Sales Agreement or in any other document executed or delivered in connection therewith shall, from the date hereof, be deemed a reference to the Sales Agreement as amended by this Amendment.</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F.</w:t>
      </w:r>
    </w:p>
    <w:p>
      <w:pPr>
        <w:pStyle w:val="TextBody"/>
        <w:bidi w:val="0"/>
        <w:spacing w:before="240" w:after="283"/>
        <w:jc w:val="left"/>
        <w:rPr/>
      </w:pPr>
      <w:r>
        <w:rPr>
          <w:rFonts w:ascii="Times New Roman" w:hAnsi="Times New Roman"/>
          <w:b w:val="false"/>
          <w:color w:val="000000"/>
          <w:sz w:val="22"/>
          <w:u w:val="single"/>
        </w:rPr>
        <w:t>Headings</w:t>
      </w:r>
      <w:r>
        <w:rPr>
          <w:rFonts w:ascii="Times New Roman" w:hAnsi="Times New Roman"/>
          <w:b w:val="false"/>
          <w:color w:val="000000"/>
          <w:sz w:val="22"/>
        </w:rPr>
        <w:t>. The headings herein are included for convenience of reference only and are not intended to be part of, or to affect the meaning or interpretation of, this Amendment or the Sales Agreement.</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G.</w:t>
      </w:r>
    </w:p>
    <w:p>
      <w:pPr>
        <w:pStyle w:val="TextBody"/>
        <w:bidi w:val="0"/>
        <w:spacing w:before="240" w:after="283"/>
        <w:jc w:val="left"/>
        <w:rPr/>
      </w:pPr>
      <w:r>
        <w:rPr>
          <w:rFonts w:ascii="Times New Roman" w:hAnsi="Times New Roman"/>
          <w:b w:val="false"/>
          <w:color w:val="000000"/>
          <w:sz w:val="22"/>
          <w:u w:val="single"/>
        </w:rPr>
        <w:t>Counterparts</w:t>
      </w:r>
      <w:r>
        <w:rPr>
          <w:rFonts w:ascii="Times New Roman" w:hAnsi="Times New Roman"/>
          <w:b w:val="false"/>
          <w:color w:val="000000"/>
          <w:sz w:val="22"/>
        </w:rPr>
        <w:t xml:space="preserve">. This Amendment may be executed in two or more counterparts, each of which shall be deemed an original, but all of which together shall constitute one and the same instrument. Delivery of an executed counterpart by one party to the other may be made by facsimile or email transmission or by electronic delivery of a portable document format (PDF) file (including any electronic signature covered by the U.S. federal ESIGN Act of 2000, Uniform Electronic Transactions Act, the Electronic Signatures and Records Act or other applicable law, e.g., </w:t>
      </w:r>
      <w:r>
        <w:rPr>
          <w:rFonts w:ascii="Times New Roman" w:hAnsi="Times New Roman"/>
          <w:b w:val="false"/>
          <w:sz w:val="22"/>
        </w:rPr>
        <w:t>www.docusign.com</w:t>
      </w:r>
      <w:r>
        <w:rPr>
          <w:rFonts w:ascii="Times New Roman" w:hAnsi="Times New Roman"/>
          <w:b w:val="false"/>
          <w:color w:val="000000"/>
          <w:sz w:val="22"/>
        </w:rPr>
        <w:t>).</w:t>
      </w:r>
    </w:p>
    <w:p>
      <w:pPr>
        <w:pStyle w:val="TextBody"/>
        <w:bidi w:val="0"/>
        <w:spacing w:before="240" w:after="283"/>
        <w:jc w:val="left"/>
        <w:rPr>
          <w:rFonts w:ascii="Times New Roman" w:hAnsi="Times New Roman"/>
          <w:sz w:val="20"/>
        </w:rPr>
      </w:pPr>
      <w:r>
        <w:rPr>
          <w:rFonts w:ascii="Times New Roman" w:hAnsi="Times New Roman"/>
          <w:b w:val="false"/>
          <w:color w:val="000000"/>
          <w:sz w:val="22"/>
          <w:u w:val="single"/>
        </w:rPr>
        <w:t>Governing Law</w:t>
      </w:r>
      <w:r>
        <w:rPr>
          <w:rFonts w:ascii="Times New Roman" w:hAnsi="Times New Roman"/>
          <w:b w:val="false"/>
          <w:color w:val="000000"/>
          <w:sz w:val="22"/>
        </w:rPr>
        <w:t>. This Amendment shall be governed by, and construed in accordance with, the internal laws of the State of New York without regard to the principles of conflicts of laws.</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H.</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WAIVER OF JURY TRIAL. EACH PARTY HEREBY IRREVOCABLY WAIVES, TO THE FULLEST EXTENT PERMITTED BY APPLICABLE LAW, ANY AND ALL RIGHT TO TRIAL BY JURY IN ANY LEGAL PROCEEDING ARISING OUT OF OR RELATING TO THIS AMENDMENT OR THE SALES AGREEMENT.</w:t>
      </w:r>
    </w:p>
    <w:p>
      <w:pPr>
        <w:pStyle w:val="TextBody"/>
        <w:bidi w:val="0"/>
        <w:spacing w:before="360" w:after="283"/>
        <w:jc w:val="center"/>
        <w:rPr>
          <w:rFonts w:ascii="Times New Roman" w:hAnsi="Times New Roman"/>
          <w:b/>
          <w:color w:val="000000"/>
          <w:sz w:val="22"/>
        </w:rPr>
      </w:pPr>
      <w:r>
        <w:rPr>
          <w:rFonts w:ascii="Times New Roman" w:hAnsi="Times New Roman"/>
          <w:b/>
          <w:color w:val="000000"/>
          <w:sz w:val="22"/>
        </w:rPr>
        <w:t>[Remainder of page intentionally left blank.]</w:t>
      </w:r>
    </w:p>
    <w:p>
      <w:pPr>
        <w:pStyle w:val="TextBody"/>
        <w:bidi w:val="0"/>
        <w:spacing w:before="240" w:after="283"/>
        <w:jc w:val="center"/>
        <w:rPr>
          <w:rFonts w:ascii="Times New Roman" w:hAnsi="Times New Roman"/>
          <w:b w:val="false"/>
          <w:color w:val="000000"/>
          <w:sz w:val="22"/>
        </w:rPr>
      </w:pPr>
      <w:r>
        <w:rPr>
          <w:rFonts w:ascii="Times New Roman" w:hAnsi="Times New Roman"/>
          <w:b w:val="false"/>
          <w:color w:val="000000"/>
          <w:sz w:val="22"/>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val="false"/>
          <w:color w:val="000000"/>
          <w:sz w:val="22"/>
        </w:rPr>
      </w:pPr>
      <w:r>
        <w:rPr>
          <w:rFonts w:ascii="Times New Roman" w:hAnsi="Times New Roman"/>
          <w:b w:val="false"/>
          <w:color w:val="000000"/>
          <w:sz w:val="22"/>
        </w:rPr>
        <w:t>If the foregoing correctly sets forth the understanding among the Company and each of the Agents, please so indicate in the space provided below for that purpose, whereupon this Amendment No. 1 to the Sales Agreement and your acceptance shall constitute a binding agreement among the Company and each of the Agents.</w:t>
      </w:r>
    </w:p>
    <w:p>
      <w:pPr>
        <w:pStyle w:val="TextBody"/>
        <w:bidi w:val="0"/>
        <w:jc w:val="left"/>
        <w:rPr/>
      </w:pPr>
      <w:r>
        <w:rPr/>
        <w:t> </w:t>
      </w:r>
    </w:p>
    <w:tbl>
      <w:tblPr>
        <w:tblW w:w="3900" w:type="dxa"/>
        <w:jc w:val="left"/>
        <w:tblInd w:w="0" w:type="dxa"/>
        <w:tblLayout w:type="fixed"/>
        <w:tblCellMar>
          <w:top w:w="28" w:type="dxa"/>
          <w:left w:w="28" w:type="dxa"/>
          <w:bottom w:w="28" w:type="dxa"/>
          <w:right w:w="28" w:type="dxa"/>
        </w:tblCellMar>
      </w:tblPr>
      <w:tblGrid>
        <w:gridCol w:w="903"/>
        <w:gridCol w:w="179"/>
        <w:gridCol w:w="2818"/>
      </w:tblGrid>
      <w:tr>
        <w:trPr/>
        <w:tc>
          <w:tcPr>
            <w:tcW w:w="90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818"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rFonts w:ascii="Times New Roman" w:hAnsi="Times New Roman"/>
                <w:b w:val="false"/>
                <w:color w:val="000000"/>
                <w:sz w:val="22"/>
              </w:rPr>
            </w:pPr>
            <w:r>
              <w:rPr>
                <w:rFonts w:ascii="Times New Roman" w:hAnsi="Times New Roman"/>
                <w:b w:val="false"/>
                <w:color w:val="000000"/>
                <w:sz w:val="22"/>
              </w:rPr>
              <w:t>Very truly yours,</w:t>
            </w:r>
          </w:p>
        </w:tc>
      </w:tr>
      <w:tr>
        <w:trPr/>
        <w:tc>
          <w:tcPr>
            <w:tcW w:w="3900" w:type="dxa"/>
            <w:gridSpan w:val="3"/>
            <w:tcBorders/>
            <w:vAlign w:val="center"/>
          </w:tcPr>
          <w:p>
            <w:pPr>
              <w:pStyle w:val="TableContents"/>
              <w:bidi w:val="0"/>
              <w:spacing w:before="0" w:after="283"/>
              <w:jc w:val="left"/>
              <w:rPr/>
            </w:pPr>
            <w:r>
              <w:rPr/>
              <w:t> </w:t>
            </w:r>
          </w:p>
        </w:tc>
      </w:tr>
      <w:tr>
        <w:trPr/>
        <w:tc>
          <w:tcPr>
            <w:tcW w:w="3900" w:type="dxa"/>
            <w:gridSpan w:val="3"/>
            <w:tcBorders/>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ALX ONCOLOGY HOLDINGS INC.</w:t>
            </w:r>
          </w:p>
        </w:tc>
      </w:tr>
      <w:tr>
        <w:trPr/>
        <w:tc>
          <w:tcPr>
            <w:tcW w:w="3900" w:type="dxa"/>
            <w:gridSpan w:val="3"/>
            <w:tcBorders/>
            <w:vAlign w:val="center"/>
          </w:tcPr>
          <w:p>
            <w:pPr>
              <w:pStyle w:val="TableContents"/>
              <w:bidi w:val="0"/>
              <w:spacing w:before="0" w:after="283"/>
              <w:jc w:val="left"/>
              <w:rPr/>
            </w:pPr>
            <w:r>
              <w:rPr/>
              <w:t> </w:t>
            </w:r>
          </w:p>
        </w:tc>
      </w:tr>
      <w:tr>
        <w:trPr/>
        <w:tc>
          <w:tcPr>
            <w:tcW w:w="903" w:type="dxa"/>
            <w:tcBorders/>
            <w:vAlign w:val="center"/>
          </w:tcPr>
          <w:p>
            <w:pPr>
              <w:pStyle w:val="TableContents"/>
              <w:bidi w:val="0"/>
              <w:spacing w:before="0" w:after="283"/>
              <w:jc w:val="left"/>
              <w:rPr>
                <w:rFonts w:ascii="Times New Roman" w:hAnsi="Times New Roman"/>
                <w:b w:val="false"/>
                <w:color w:val="000000"/>
                <w:sz w:val="22"/>
              </w:rPr>
            </w:pPr>
            <w:r>
              <w:rPr>
                <w:rFonts w:ascii="Times New Roman" w:hAnsi="Times New Roman"/>
                <w:b w:val="false"/>
                <w:color w:val="000000"/>
                <w:sz w:val="22"/>
              </w:rPr>
              <w:t>By:</w:t>
            </w:r>
          </w:p>
        </w:tc>
        <w:tc>
          <w:tcPr>
            <w:tcW w:w="179" w:type="dxa"/>
            <w:tcBorders/>
            <w:vAlign w:val="center"/>
          </w:tcPr>
          <w:p>
            <w:pPr>
              <w:pStyle w:val="TableContents"/>
              <w:bidi w:val="0"/>
              <w:spacing w:before="0" w:after="283"/>
              <w:jc w:val="left"/>
              <w:rPr/>
            </w:pPr>
            <w:r>
              <w:rPr/>
              <w:t> </w:t>
            </w:r>
          </w:p>
        </w:tc>
        <w:tc>
          <w:tcPr>
            <w:tcW w:w="2818"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2"/>
              </w:rPr>
            </w:pPr>
            <w:r>
              <w:rPr>
                <w:rFonts w:ascii="Times New Roman" w:hAnsi="Times New Roman"/>
                <w:b w:val="false"/>
                <w:color w:val="000000"/>
                <w:sz w:val="22"/>
              </w:rPr>
              <w:t>/s/ Peter Garcia</w:t>
            </w:r>
          </w:p>
        </w:tc>
      </w:tr>
      <w:tr>
        <w:trPr/>
        <w:tc>
          <w:tcPr>
            <w:tcW w:w="903"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2818" w:type="dxa"/>
            <w:tcBorders/>
            <w:vAlign w:val="center"/>
          </w:tcPr>
          <w:p>
            <w:pPr>
              <w:pStyle w:val="TableContents"/>
              <w:bidi w:val="0"/>
              <w:spacing w:before="0" w:after="283"/>
              <w:jc w:val="left"/>
              <w:rPr/>
            </w:pPr>
            <w:r>
              <w:rPr/>
              <w:t> </w:t>
            </w:r>
          </w:p>
        </w:tc>
      </w:tr>
      <w:tr>
        <w:trPr/>
        <w:tc>
          <w:tcPr>
            <w:tcW w:w="903" w:type="dxa"/>
            <w:tcBorders/>
            <w:vAlign w:val="center"/>
          </w:tcPr>
          <w:p>
            <w:pPr>
              <w:pStyle w:val="TableContents"/>
              <w:bidi w:val="0"/>
              <w:spacing w:before="0" w:after="283"/>
              <w:jc w:val="left"/>
              <w:rPr>
                <w:rFonts w:ascii="Times New Roman" w:hAnsi="Times New Roman"/>
                <w:b w:val="false"/>
                <w:color w:val="000000"/>
                <w:sz w:val="22"/>
              </w:rPr>
            </w:pPr>
            <w:r>
              <w:rPr>
                <w:rFonts w:ascii="Times New Roman" w:hAnsi="Times New Roman"/>
                <w:b w:val="false"/>
                <w:color w:val="000000"/>
                <w:sz w:val="22"/>
              </w:rPr>
              <w:t>Name:</w:t>
            </w:r>
          </w:p>
        </w:tc>
        <w:tc>
          <w:tcPr>
            <w:tcW w:w="179" w:type="dxa"/>
            <w:tcBorders/>
            <w:vAlign w:val="center"/>
          </w:tcPr>
          <w:p>
            <w:pPr>
              <w:pStyle w:val="TableContents"/>
              <w:bidi w:val="0"/>
              <w:spacing w:before="0" w:after="283"/>
              <w:jc w:val="left"/>
              <w:rPr/>
            </w:pPr>
            <w:r>
              <w:rPr/>
              <w:t> </w:t>
            </w:r>
          </w:p>
        </w:tc>
        <w:tc>
          <w:tcPr>
            <w:tcW w:w="2818" w:type="dxa"/>
            <w:tcBorders/>
            <w:vAlign w:val="center"/>
          </w:tcPr>
          <w:p>
            <w:pPr>
              <w:pStyle w:val="TableContents"/>
              <w:bidi w:val="0"/>
              <w:spacing w:before="0" w:after="283"/>
              <w:jc w:val="left"/>
              <w:rPr>
                <w:rFonts w:ascii="Times New Roman" w:hAnsi="Times New Roman"/>
                <w:b w:val="false"/>
                <w:color w:val="000000"/>
                <w:sz w:val="22"/>
              </w:rPr>
            </w:pPr>
            <w:r>
              <w:rPr>
                <w:rFonts w:ascii="Times New Roman" w:hAnsi="Times New Roman"/>
                <w:b w:val="false"/>
                <w:color w:val="000000"/>
                <w:sz w:val="22"/>
              </w:rPr>
              <w:t>Peter Garcia</w:t>
            </w:r>
          </w:p>
        </w:tc>
      </w:tr>
      <w:tr>
        <w:trPr/>
        <w:tc>
          <w:tcPr>
            <w:tcW w:w="903" w:type="dxa"/>
            <w:tcBorders/>
            <w:vAlign w:val="center"/>
          </w:tcPr>
          <w:p>
            <w:pPr>
              <w:pStyle w:val="TableContents"/>
              <w:bidi w:val="0"/>
              <w:spacing w:before="0" w:after="283"/>
              <w:jc w:val="left"/>
              <w:rPr>
                <w:rFonts w:ascii="Times New Roman" w:hAnsi="Times New Roman"/>
                <w:b w:val="false"/>
                <w:color w:val="000000"/>
                <w:sz w:val="22"/>
              </w:rPr>
            </w:pPr>
            <w:r>
              <w:rPr>
                <w:rFonts w:ascii="Times New Roman" w:hAnsi="Times New Roman"/>
                <w:b w:val="false"/>
                <w:color w:val="000000"/>
                <w:sz w:val="22"/>
              </w:rPr>
              <w:t>Title:</w:t>
            </w:r>
          </w:p>
        </w:tc>
        <w:tc>
          <w:tcPr>
            <w:tcW w:w="179" w:type="dxa"/>
            <w:tcBorders/>
            <w:vAlign w:val="center"/>
          </w:tcPr>
          <w:p>
            <w:pPr>
              <w:pStyle w:val="TableContents"/>
              <w:bidi w:val="0"/>
              <w:spacing w:before="0" w:after="283"/>
              <w:jc w:val="left"/>
              <w:rPr/>
            </w:pPr>
            <w:r>
              <w:rPr/>
              <w:t> </w:t>
            </w:r>
          </w:p>
        </w:tc>
        <w:tc>
          <w:tcPr>
            <w:tcW w:w="2818" w:type="dxa"/>
            <w:tcBorders/>
            <w:vAlign w:val="center"/>
          </w:tcPr>
          <w:p>
            <w:pPr>
              <w:pStyle w:val="TableContents"/>
              <w:bidi w:val="0"/>
              <w:spacing w:before="0" w:after="283"/>
              <w:jc w:val="left"/>
              <w:rPr>
                <w:rFonts w:ascii="Times New Roman" w:hAnsi="Times New Roman"/>
                <w:b w:val="false"/>
                <w:color w:val="000000"/>
                <w:sz w:val="22"/>
              </w:rPr>
            </w:pPr>
            <w:r>
              <w:rPr>
                <w:rFonts w:ascii="Times New Roman" w:hAnsi="Times New Roman"/>
                <w:b w:val="false"/>
                <w:color w:val="000000"/>
                <w:sz w:val="22"/>
              </w:rPr>
              <w:t>Chief Financial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5789" w:type="dxa"/>
        <w:jc w:val="left"/>
        <w:tblInd w:w="0" w:type="dxa"/>
        <w:tblLayout w:type="fixed"/>
        <w:tblCellMar>
          <w:top w:w="28" w:type="dxa"/>
          <w:left w:w="28" w:type="dxa"/>
          <w:bottom w:w="28" w:type="dxa"/>
          <w:right w:w="28" w:type="dxa"/>
        </w:tblCellMar>
      </w:tblPr>
      <w:tblGrid>
        <w:gridCol w:w="1141"/>
        <w:gridCol w:w="226"/>
        <w:gridCol w:w="4422"/>
      </w:tblGrid>
      <w:tr>
        <w:trPr/>
        <w:tc>
          <w:tcPr>
            <w:tcW w:w="11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422"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Accepted and agreed to as of the date first above written:</w:t>
            </w:r>
          </w:p>
        </w:tc>
      </w:tr>
      <w:tr>
        <w:trPr/>
        <w:tc>
          <w:tcPr>
            <w:tcW w:w="5789" w:type="dxa"/>
            <w:gridSpan w:val="3"/>
            <w:tcBorders/>
            <w:vAlign w:val="center"/>
          </w:tcPr>
          <w:p>
            <w:pPr>
              <w:pStyle w:val="TableContents"/>
              <w:bidi w:val="0"/>
              <w:spacing w:before="0" w:after="283"/>
              <w:jc w:val="left"/>
              <w:rPr/>
            </w:pPr>
            <w:r>
              <w:rPr/>
              <w:t> </w:t>
            </w:r>
          </w:p>
        </w:tc>
      </w:tr>
      <w:tr>
        <w:trPr/>
        <w:tc>
          <w:tcPr>
            <w:tcW w:w="5789" w:type="dxa"/>
            <w:gridSpan w:val="3"/>
            <w:tcBorders/>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CANTOR FITZGERALD &amp; CO.</w:t>
            </w:r>
          </w:p>
        </w:tc>
      </w:tr>
      <w:tr>
        <w:trPr/>
        <w:tc>
          <w:tcPr>
            <w:tcW w:w="5789" w:type="dxa"/>
            <w:gridSpan w:val="3"/>
            <w:tcBorders/>
            <w:vAlign w:val="center"/>
          </w:tcPr>
          <w:p>
            <w:pPr>
              <w:pStyle w:val="TableContents"/>
              <w:bidi w:val="0"/>
              <w:spacing w:before="0" w:after="283"/>
              <w:jc w:val="left"/>
              <w:rPr/>
            </w:pPr>
            <w:r>
              <w:rPr/>
              <w:t> </w:t>
            </w:r>
          </w:p>
        </w:tc>
      </w:tr>
      <w:tr>
        <w:trPr/>
        <w:tc>
          <w:tcPr>
            <w:tcW w:w="1141" w:type="dxa"/>
            <w:tcBorders/>
            <w:vAlign w:val="center"/>
          </w:tcPr>
          <w:p>
            <w:pPr>
              <w:pStyle w:val="TableContents"/>
              <w:bidi w:val="0"/>
              <w:spacing w:before="0" w:after="283"/>
              <w:jc w:val="left"/>
              <w:rPr>
                <w:rFonts w:ascii="Times New Roman" w:hAnsi="Times New Roman"/>
                <w:b w:val="false"/>
                <w:color w:val="000000"/>
                <w:sz w:val="22"/>
              </w:rPr>
            </w:pPr>
            <w:r>
              <w:rPr>
                <w:rFonts w:ascii="Times New Roman" w:hAnsi="Times New Roman"/>
                <w:b w:val="false"/>
                <w:color w:val="000000"/>
                <w:sz w:val="22"/>
              </w:rPr>
              <w:t>By:</w:t>
            </w:r>
          </w:p>
        </w:tc>
        <w:tc>
          <w:tcPr>
            <w:tcW w:w="226" w:type="dxa"/>
            <w:tcBorders/>
            <w:vAlign w:val="center"/>
          </w:tcPr>
          <w:p>
            <w:pPr>
              <w:pStyle w:val="TableContents"/>
              <w:bidi w:val="0"/>
              <w:spacing w:before="0" w:after="283"/>
              <w:jc w:val="left"/>
              <w:rPr/>
            </w:pPr>
            <w:r>
              <w:rPr/>
              <w:t> </w:t>
            </w:r>
          </w:p>
        </w:tc>
        <w:tc>
          <w:tcPr>
            <w:tcW w:w="4422"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2"/>
              </w:rPr>
            </w:pPr>
            <w:r>
              <w:rPr>
                <w:rFonts w:ascii="Times New Roman" w:hAnsi="Times New Roman"/>
                <w:b w:val="false"/>
                <w:color w:val="000000"/>
                <w:sz w:val="22"/>
              </w:rPr>
              <w:t>/s/ Sage Kelly</w:t>
            </w:r>
          </w:p>
        </w:tc>
      </w:tr>
      <w:tr>
        <w:trPr/>
        <w:tc>
          <w:tcPr>
            <w:tcW w:w="1141"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4422" w:type="dxa"/>
            <w:tcBorders/>
            <w:vAlign w:val="center"/>
          </w:tcPr>
          <w:p>
            <w:pPr>
              <w:pStyle w:val="TableContents"/>
              <w:bidi w:val="0"/>
              <w:spacing w:before="0" w:after="283"/>
              <w:jc w:val="left"/>
              <w:rPr/>
            </w:pPr>
            <w:r>
              <w:rPr/>
              <w:t> </w:t>
            </w:r>
          </w:p>
        </w:tc>
      </w:tr>
      <w:tr>
        <w:trPr/>
        <w:tc>
          <w:tcPr>
            <w:tcW w:w="1141" w:type="dxa"/>
            <w:tcBorders/>
            <w:vAlign w:val="center"/>
          </w:tcPr>
          <w:p>
            <w:pPr>
              <w:pStyle w:val="TableContents"/>
              <w:bidi w:val="0"/>
              <w:spacing w:before="0" w:after="283"/>
              <w:jc w:val="left"/>
              <w:rPr>
                <w:rFonts w:ascii="Times New Roman" w:hAnsi="Times New Roman"/>
                <w:b w:val="false"/>
                <w:color w:val="000000"/>
                <w:sz w:val="22"/>
              </w:rPr>
            </w:pPr>
            <w:r>
              <w:rPr>
                <w:rFonts w:ascii="Times New Roman" w:hAnsi="Times New Roman"/>
                <w:b w:val="false"/>
                <w:color w:val="000000"/>
                <w:sz w:val="22"/>
              </w:rPr>
              <w:t>Name:</w:t>
            </w:r>
          </w:p>
        </w:tc>
        <w:tc>
          <w:tcPr>
            <w:tcW w:w="226" w:type="dxa"/>
            <w:tcBorders/>
            <w:vAlign w:val="center"/>
          </w:tcPr>
          <w:p>
            <w:pPr>
              <w:pStyle w:val="TableContents"/>
              <w:bidi w:val="0"/>
              <w:spacing w:before="0" w:after="283"/>
              <w:jc w:val="left"/>
              <w:rPr/>
            </w:pPr>
            <w:r>
              <w:rPr/>
              <w:t> </w:t>
            </w:r>
          </w:p>
        </w:tc>
        <w:tc>
          <w:tcPr>
            <w:tcW w:w="4422" w:type="dxa"/>
            <w:tcBorders/>
            <w:vAlign w:val="center"/>
          </w:tcPr>
          <w:p>
            <w:pPr>
              <w:pStyle w:val="TableContents"/>
              <w:bidi w:val="0"/>
              <w:spacing w:before="0" w:after="283"/>
              <w:jc w:val="left"/>
              <w:rPr>
                <w:rFonts w:ascii="Times New Roman" w:hAnsi="Times New Roman"/>
                <w:b w:val="false"/>
                <w:color w:val="000000"/>
                <w:sz w:val="22"/>
              </w:rPr>
            </w:pPr>
            <w:r>
              <w:rPr>
                <w:rFonts w:ascii="Times New Roman" w:hAnsi="Times New Roman"/>
                <w:b w:val="false"/>
                <w:color w:val="000000"/>
                <w:sz w:val="22"/>
              </w:rPr>
              <w:t>Sage Kelly</w:t>
            </w:r>
          </w:p>
        </w:tc>
      </w:tr>
      <w:tr>
        <w:trPr/>
        <w:tc>
          <w:tcPr>
            <w:tcW w:w="1141" w:type="dxa"/>
            <w:tcBorders/>
            <w:vAlign w:val="center"/>
          </w:tcPr>
          <w:p>
            <w:pPr>
              <w:pStyle w:val="TableContents"/>
              <w:bidi w:val="0"/>
              <w:spacing w:before="0" w:after="283"/>
              <w:jc w:val="left"/>
              <w:rPr>
                <w:rFonts w:ascii="Times New Roman" w:hAnsi="Times New Roman"/>
                <w:b w:val="false"/>
                <w:color w:val="000000"/>
                <w:sz w:val="22"/>
              </w:rPr>
            </w:pPr>
            <w:r>
              <w:rPr>
                <w:rFonts w:ascii="Times New Roman" w:hAnsi="Times New Roman"/>
                <w:b w:val="false"/>
                <w:color w:val="000000"/>
                <w:sz w:val="22"/>
              </w:rPr>
              <w:t>Title:</w:t>
            </w:r>
          </w:p>
        </w:tc>
        <w:tc>
          <w:tcPr>
            <w:tcW w:w="226" w:type="dxa"/>
            <w:tcBorders/>
            <w:vAlign w:val="center"/>
          </w:tcPr>
          <w:p>
            <w:pPr>
              <w:pStyle w:val="TableContents"/>
              <w:bidi w:val="0"/>
              <w:spacing w:before="0" w:after="283"/>
              <w:jc w:val="left"/>
              <w:rPr/>
            </w:pPr>
            <w:r>
              <w:rPr/>
              <w:t> </w:t>
            </w:r>
          </w:p>
        </w:tc>
        <w:tc>
          <w:tcPr>
            <w:tcW w:w="4422" w:type="dxa"/>
            <w:tcBorders/>
            <w:vAlign w:val="center"/>
          </w:tcPr>
          <w:p>
            <w:pPr>
              <w:pStyle w:val="TableContents"/>
              <w:bidi w:val="0"/>
              <w:spacing w:before="0" w:after="283"/>
              <w:jc w:val="left"/>
              <w:rPr>
                <w:rFonts w:ascii="Times New Roman" w:hAnsi="Times New Roman"/>
                <w:b w:val="false"/>
                <w:color w:val="000000"/>
                <w:sz w:val="22"/>
              </w:rPr>
            </w:pPr>
            <w:r>
              <w:rPr>
                <w:rFonts w:ascii="Times New Roman" w:hAnsi="Times New Roman"/>
                <w:b w:val="false"/>
                <w:color w:val="000000"/>
                <w:sz w:val="22"/>
              </w:rPr>
              <w:t>Head of Investment Banking</w:t>
            </w:r>
          </w:p>
        </w:tc>
      </w:tr>
      <w:tr>
        <w:trPr/>
        <w:tc>
          <w:tcPr>
            <w:tcW w:w="5789" w:type="dxa"/>
            <w:gridSpan w:val="3"/>
            <w:tcBorders/>
            <w:vAlign w:val="center"/>
          </w:tcPr>
          <w:p>
            <w:pPr>
              <w:pStyle w:val="TableContents"/>
              <w:bidi w:val="0"/>
              <w:spacing w:before="0" w:after="283"/>
              <w:jc w:val="left"/>
              <w:rPr/>
            </w:pPr>
            <w:r>
              <w:rPr/>
              <w:t> </w:t>
            </w:r>
          </w:p>
        </w:tc>
      </w:tr>
      <w:tr>
        <w:trPr/>
        <w:tc>
          <w:tcPr>
            <w:tcW w:w="5789" w:type="dxa"/>
            <w:gridSpan w:val="3"/>
            <w:tcBorders/>
            <w:vAlign w:val="center"/>
          </w:tcPr>
          <w:p>
            <w:pPr>
              <w:pStyle w:val="TableContents"/>
              <w:bidi w:val="0"/>
              <w:spacing w:before="0" w:after="283"/>
              <w:jc w:val="left"/>
              <w:rPr>
                <w:rFonts w:ascii="Times New Roman" w:hAnsi="Times New Roman"/>
                <w:sz w:val="22"/>
              </w:rPr>
            </w:pPr>
            <w:r>
              <w:rPr>
                <w:rFonts w:ascii="Times New Roman" w:hAnsi="Times New Roman"/>
                <w:b/>
                <w:color w:val="000000"/>
                <w:sz w:val="22"/>
              </w:rPr>
              <w:t>CREDIT SUISSE SECURITIES (USA) LLC</w:t>
            </w:r>
            <w:r>
              <w:rPr>
                <w:rFonts w:ascii="Times New Roman" w:hAnsi="Times New Roman"/>
                <w:color w:val="000000"/>
                <w:sz w:val="22"/>
              </w:rPr>
              <w:t xml:space="preserve"> </w:t>
            </w:r>
          </w:p>
        </w:tc>
      </w:tr>
      <w:tr>
        <w:trPr/>
        <w:tc>
          <w:tcPr>
            <w:tcW w:w="5789" w:type="dxa"/>
            <w:gridSpan w:val="3"/>
            <w:tcBorders/>
            <w:vAlign w:val="center"/>
          </w:tcPr>
          <w:p>
            <w:pPr>
              <w:pStyle w:val="TableContents"/>
              <w:bidi w:val="0"/>
              <w:spacing w:before="0" w:after="283"/>
              <w:jc w:val="left"/>
              <w:rPr/>
            </w:pPr>
            <w:r>
              <w:rPr/>
              <w:t> </w:t>
            </w:r>
          </w:p>
        </w:tc>
      </w:tr>
      <w:tr>
        <w:trPr/>
        <w:tc>
          <w:tcPr>
            <w:tcW w:w="1141" w:type="dxa"/>
            <w:tcBorders/>
            <w:vAlign w:val="center"/>
          </w:tcPr>
          <w:p>
            <w:pPr>
              <w:pStyle w:val="TableContents"/>
              <w:bidi w:val="0"/>
              <w:spacing w:before="0" w:after="283"/>
              <w:jc w:val="left"/>
              <w:rPr>
                <w:rFonts w:ascii="Times New Roman" w:hAnsi="Times New Roman"/>
                <w:sz w:val="22"/>
              </w:rPr>
            </w:pPr>
            <w:r>
              <w:rPr>
                <w:rFonts w:ascii="Times New Roman" w:hAnsi="Times New Roman"/>
                <w:b w:val="false"/>
                <w:color w:val="000000"/>
                <w:sz w:val="22"/>
              </w:rPr>
              <w:t>By:</w:t>
            </w:r>
            <w:r>
              <w:rPr>
                <w:rFonts w:ascii="Times New Roman" w:hAnsi="Times New Roman"/>
                <w:color w:val="000000"/>
                <w:sz w:val="22"/>
              </w:rPr>
              <w:t xml:space="preserve"> </w:t>
            </w:r>
          </w:p>
        </w:tc>
        <w:tc>
          <w:tcPr>
            <w:tcW w:w="226" w:type="dxa"/>
            <w:tcBorders/>
            <w:vAlign w:val="center"/>
          </w:tcPr>
          <w:p>
            <w:pPr>
              <w:pStyle w:val="TableContents"/>
              <w:bidi w:val="0"/>
              <w:spacing w:before="0" w:after="283"/>
              <w:jc w:val="left"/>
              <w:rPr/>
            </w:pPr>
            <w:r>
              <w:rPr/>
              <w:t> </w:t>
            </w:r>
          </w:p>
        </w:tc>
        <w:tc>
          <w:tcPr>
            <w:tcW w:w="4422"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2"/>
              </w:rPr>
            </w:pPr>
            <w:r>
              <w:rPr>
                <w:rFonts w:ascii="Times New Roman" w:hAnsi="Times New Roman"/>
                <w:b w:val="false"/>
                <w:color w:val="000000"/>
                <w:sz w:val="22"/>
              </w:rPr>
              <w:t>/s/ Ridhima Tewary</w:t>
            </w:r>
          </w:p>
        </w:tc>
      </w:tr>
      <w:tr>
        <w:trPr/>
        <w:tc>
          <w:tcPr>
            <w:tcW w:w="1141"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4422" w:type="dxa"/>
            <w:tcBorders/>
            <w:vAlign w:val="center"/>
          </w:tcPr>
          <w:p>
            <w:pPr>
              <w:pStyle w:val="TableContents"/>
              <w:bidi w:val="0"/>
              <w:spacing w:before="0" w:after="283"/>
              <w:jc w:val="left"/>
              <w:rPr/>
            </w:pPr>
            <w:r>
              <w:rPr/>
              <w:t> </w:t>
            </w:r>
          </w:p>
        </w:tc>
      </w:tr>
      <w:tr>
        <w:trPr/>
        <w:tc>
          <w:tcPr>
            <w:tcW w:w="1141" w:type="dxa"/>
            <w:tcBorders/>
            <w:vAlign w:val="center"/>
          </w:tcPr>
          <w:p>
            <w:pPr>
              <w:pStyle w:val="TableContents"/>
              <w:bidi w:val="0"/>
              <w:spacing w:before="0" w:after="283"/>
              <w:jc w:val="left"/>
              <w:rPr>
                <w:rFonts w:ascii="Times New Roman" w:hAnsi="Times New Roman"/>
                <w:b w:val="false"/>
                <w:color w:val="000000"/>
                <w:sz w:val="22"/>
              </w:rPr>
            </w:pPr>
            <w:r>
              <w:rPr>
                <w:rFonts w:ascii="Times New Roman" w:hAnsi="Times New Roman"/>
                <w:b w:val="false"/>
                <w:color w:val="000000"/>
                <w:sz w:val="22"/>
              </w:rPr>
              <w:t>Name:</w:t>
            </w:r>
          </w:p>
        </w:tc>
        <w:tc>
          <w:tcPr>
            <w:tcW w:w="226" w:type="dxa"/>
            <w:tcBorders/>
            <w:vAlign w:val="center"/>
          </w:tcPr>
          <w:p>
            <w:pPr>
              <w:pStyle w:val="TableContents"/>
              <w:bidi w:val="0"/>
              <w:spacing w:before="0" w:after="283"/>
              <w:jc w:val="left"/>
              <w:rPr/>
            </w:pPr>
            <w:r>
              <w:rPr/>
              <w:t> </w:t>
            </w:r>
          </w:p>
        </w:tc>
        <w:tc>
          <w:tcPr>
            <w:tcW w:w="4422" w:type="dxa"/>
            <w:tcBorders/>
            <w:vAlign w:val="center"/>
          </w:tcPr>
          <w:p>
            <w:pPr>
              <w:pStyle w:val="TableContents"/>
              <w:bidi w:val="0"/>
              <w:spacing w:before="0" w:after="283"/>
              <w:jc w:val="left"/>
              <w:rPr>
                <w:rFonts w:ascii="Times New Roman" w:hAnsi="Times New Roman"/>
                <w:b w:val="false"/>
                <w:color w:val="000000"/>
                <w:sz w:val="22"/>
              </w:rPr>
            </w:pPr>
            <w:r>
              <w:rPr>
                <w:rFonts w:ascii="Times New Roman" w:hAnsi="Times New Roman"/>
                <w:b w:val="false"/>
                <w:color w:val="000000"/>
                <w:sz w:val="22"/>
              </w:rPr>
              <w:t>Ridhima Tewary</w:t>
            </w:r>
          </w:p>
        </w:tc>
      </w:tr>
      <w:tr>
        <w:trPr/>
        <w:tc>
          <w:tcPr>
            <w:tcW w:w="1141" w:type="dxa"/>
            <w:tcBorders/>
            <w:vAlign w:val="center"/>
          </w:tcPr>
          <w:p>
            <w:pPr>
              <w:pStyle w:val="TableContents"/>
              <w:bidi w:val="0"/>
              <w:spacing w:before="0" w:after="283"/>
              <w:jc w:val="left"/>
              <w:rPr>
                <w:rFonts w:ascii="Times New Roman" w:hAnsi="Times New Roman"/>
                <w:b w:val="false"/>
                <w:color w:val="000000"/>
                <w:sz w:val="22"/>
              </w:rPr>
            </w:pPr>
            <w:r>
              <w:rPr>
                <w:rFonts w:ascii="Times New Roman" w:hAnsi="Times New Roman"/>
                <w:b w:val="false"/>
                <w:color w:val="000000"/>
                <w:sz w:val="22"/>
              </w:rPr>
              <w:t>Title:</w:t>
            </w:r>
          </w:p>
        </w:tc>
        <w:tc>
          <w:tcPr>
            <w:tcW w:w="226" w:type="dxa"/>
            <w:tcBorders/>
            <w:vAlign w:val="center"/>
          </w:tcPr>
          <w:p>
            <w:pPr>
              <w:pStyle w:val="TableContents"/>
              <w:bidi w:val="0"/>
              <w:spacing w:before="0" w:after="283"/>
              <w:jc w:val="left"/>
              <w:rPr/>
            </w:pPr>
            <w:r>
              <w:rPr/>
              <w:t> </w:t>
            </w:r>
          </w:p>
        </w:tc>
        <w:tc>
          <w:tcPr>
            <w:tcW w:w="4422" w:type="dxa"/>
            <w:tcBorders/>
            <w:vAlign w:val="center"/>
          </w:tcPr>
          <w:p>
            <w:pPr>
              <w:pStyle w:val="TableContents"/>
              <w:bidi w:val="0"/>
              <w:spacing w:before="0" w:after="283"/>
              <w:jc w:val="left"/>
              <w:rPr>
                <w:rFonts w:ascii="Times New Roman" w:hAnsi="Times New Roman"/>
                <w:b w:val="false"/>
                <w:color w:val="000000"/>
                <w:sz w:val="22"/>
              </w:rPr>
            </w:pPr>
            <w:r>
              <w:rPr>
                <w:rFonts w:ascii="Times New Roman" w:hAnsi="Times New Roman"/>
                <w:b w:val="false"/>
                <w:color w:val="000000"/>
                <w:sz w:val="22"/>
              </w:rPr>
              <w:t>Director</w:t>
            </w:r>
          </w:p>
        </w:tc>
      </w:tr>
      <w:tr>
        <w:trPr/>
        <w:tc>
          <w:tcPr>
            <w:tcW w:w="5789" w:type="dxa"/>
            <w:gridSpan w:val="3"/>
            <w:tcBorders/>
            <w:vAlign w:val="center"/>
          </w:tcPr>
          <w:p>
            <w:pPr>
              <w:pStyle w:val="TableContents"/>
              <w:bidi w:val="0"/>
              <w:spacing w:before="0" w:after="283"/>
              <w:jc w:val="left"/>
              <w:rPr/>
            </w:pPr>
            <w:r>
              <w:rPr/>
              <w:t> </w:t>
            </w:r>
          </w:p>
        </w:tc>
      </w:tr>
      <w:tr>
        <w:trPr/>
        <w:tc>
          <w:tcPr>
            <w:tcW w:w="5789" w:type="dxa"/>
            <w:gridSpan w:val="3"/>
            <w:tcBorders/>
            <w:vAlign w:val="center"/>
          </w:tcPr>
          <w:p>
            <w:pPr>
              <w:pStyle w:val="TableContents"/>
              <w:bidi w:val="0"/>
              <w:spacing w:before="0" w:after="283"/>
              <w:jc w:val="left"/>
              <w:rPr>
                <w:rFonts w:ascii="Times New Roman" w:hAnsi="Times New Roman"/>
                <w:sz w:val="22"/>
              </w:rPr>
            </w:pPr>
            <w:r>
              <w:rPr>
                <w:rFonts w:ascii="Times New Roman" w:hAnsi="Times New Roman"/>
                <w:b/>
                <w:color w:val="000000"/>
                <w:sz w:val="22"/>
              </w:rPr>
              <w:t>UBS SECURITIES LLC</w:t>
            </w:r>
            <w:r>
              <w:rPr>
                <w:rFonts w:ascii="Times New Roman" w:hAnsi="Times New Roman"/>
                <w:color w:val="000000"/>
                <w:sz w:val="22"/>
              </w:rPr>
              <w:t xml:space="preserve"> </w:t>
            </w:r>
          </w:p>
        </w:tc>
      </w:tr>
      <w:tr>
        <w:trPr/>
        <w:tc>
          <w:tcPr>
            <w:tcW w:w="5789" w:type="dxa"/>
            <w:gridSpan w:val="3"/>
            <w:tcBorders/>
            <w:vAlign w:val="center"/>
          </w:tcPr>
          <w:p>
            <w:pPr>
              <w:pStyle w:val="TableContents"/>
              <w:bidi w:val="0"/>
              <w:spacing w:before="0" w:after="283"/>
              <w:jc w:val="left"/>
              <w:rPr/>
            </w:pPr>
            <w:r>
              <w:rPr/>
              <w:t> </w:t>
            </w:r>
          </w:p>
        </w:tc>
      </w:tr>
      <w:tr>
        <w:trPr/>
        <w:tc>
          <w:tcPr>
            <w:tcW w:w="1141" w:type="dxa"/>
            <w:tcBorders/>
            <w:vAlign w:val="center"/>
          </w:tcPr>
          <w:p>
            <w:pPr>
              <w:pStyle w:val="TableContents"/>
              <w:bidi w:val="0"/>
              <w:spacing w:before="0" w:after="283"/>
              <w:jc w:val="left"/>
              <w:rPr>
                <w:rFonts w:ascii="Times New Roman" w:hAnsi="Times New Roman"/>
                <w:b w:val="false"/>
                <w:color w:val="000000"/>
                <w:sz w:val="22"/>
              </w:rPr>
            </w:pPr>
            <w:r>
              <w:rPr>
                <w:rFonts w:ascii="Times New Roman" w:hAnsi="Times New Roman"/>
                <w:b w:val="false"/>
                <w:color w:val="000000"/>
                <w:sz w:val="22"/>
              </w:rPr>
              <w:t>By:</w:t>
            </w:r>
          </w:p>
        </w:tc>
        <w:tc>
          <w:tcPr>
            <w:tcW w:w="226" w:type="dxa"/>
            <w:tcBorders/>
            <w:vAlign w:val="center"/>
          </w:tcPr>
          <w:p>
            <w:pPr>
              <w:pStyle w:val="TableContents"/>
              <w:bidi w:val="0"/>
              <w:spacing w:before="0" w:after="283"/>
              <w:jc w:val="left"/>
              <w:rPr/>
            </w:pPr>
            <w:r>
              <w:rPr/>
              <w:t> </w:t>
            </w:r>
          </w:p>
        </w:tc>
        <w:tc>
          <w:tcPr>
            <w:tcW w:w="4422"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2"/>
              </w:rPr>
            </w:pPr>
            <w:r>
              <w:rPr>
                <w:rFonts w:ascii="Times New Roman" w:hAnsi="Times New Roman"/>
                <w:b w:val="false"/>
                <w:color w:val="000000"/>
                <w:sz w:val="22"/>
              </w:rPr>
              <w:t>/s/ Arun K. Master</w:t>
            </w:r>
          </w:p>
        </w:tc>
      </w:tr>
      <w:tr>
        <w:trPr/>
        <w:tc>
          <w:tcPr>
            <w:tcW w:w="1141"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4422" w:type="dxa"/>
            <w:tcBorders/>
            <w:vAlign w:val="center"/>
          </w:tcPr>
          <w:p>
            <w:pPr>
              <w:pStyle w:val="TableContents"/>
              <w:bidi w:val="0"/>
              <w:spacing w:before="0" w:after="283"/>
              <w:jc w:val="left"/>
              <w:rPr/>
            </w:pPr>
            <w:r>
              <w:rPr/>
              <w:t> </w:t>
            </w:r>
          </w:p>
        </w:tc>
      </w:tr>
      <w:tr>
        <w:trPr/>
        <w:tc>
          <w:tcPr>
            <w:tcW w:w="1141" w:type="dxa"/>
            <w:tcBorders/>
            <w:vAlign w:val="center"/>
          </w:tcPr>
          <w:p>
            <w:pPr>
              <w:pStyle w:val="TableContents"/>
              <w:bidi w:val="0"/>
              <w:spacing w:before="0" w:after="283"/>
              <w:jc w:val="left"/>
              <w:rPr>
                <w:rFonts w:ascii="Times New Roman" w:hAnsi="Times New Roman"/>
                <w:b w:val="false"/>
                <w:color w:val="000000"/>
                <w:sz w:val="22"/>
              </w:rPr>
            </w:pPr>
            <w:r>
              <w:rPr>
                <w:rFonts w:ascii="Times New Roman" w:hAnsi="Times New Roman"/>
                <w:b w:val="false"/>
                <w:color w:val="000000"/>
                <w:sz w:val="22"/>
              </w:rPr>
              <w:t>Name:</w:t>
            </w:r>
          </w:p>
        </w:tc>
        <w:tc>
          <w:tcPr>
            <w:tcW w:w="226" w:type="dxa"/>
            <w:tcBorders/>
            <w:vAlign w:val="center"/>
          </w:tcPr>
          <w:p>
            <w:pPr>
              <w:pStyle w:val="TableContents"/>
              <w:bidi w:val="0"/>
              <w:spacing w:before="0" w:after="283"/>
              <w:jc w:val="left"/>
              <w:rPr/>
            </w:pPr>
            <w:r>
              <w:rPr/>
              <w:t> </w:t>
            </w:r>
          </w:p>
        </w:tc>
        <w:tc>
          <w:tcPr>
            <w:tcW w:w="4422" w:type="dxa"/>
            <w:tcBorders/>
            <w:vAlign w:val="center"/>
          </w:tcPr>
          <w:p>
            <w:pPr>
              <w:pStyle w:val="TableContents"/>
              <w:bidi w:val="0"/>
              <w:spacing w:before="0" w:after="283"/>
              <w:jc w:val="left"/>
              <w:rPr>
                <w:rFonts w:ascii="Times New Roman" w:hAnsi="Times New Roman"/>
                <w:b w:val="false"/>
                <w:color w:val="000000"/>
                <w:sz w:val="22"/>
              </w:rPr>
            </w:pPr>
            <w:r>
              <w:rPr>
                <w:rFonts w:ascii="Times New Roman" w:hAnsi="Times New Roman"/>
                <w:b w:val="false"/>
                <w:color w:val="000000"/>
                <w:sz w:val="22"/>
              </w:rPr>
              <w:t>Arun K. Master</w:t>
            </w:r>
          </w:p>
        </w:tc>
      </w:tr>
      <w:tr>
        <w:trPr/>
        <w:tc>
          <w:tcPr>
            <w:tcW w:w="1141" w:type="dxa"/>
            <w:tcBorders/>
            <w:vAlign w:val="center"/>
          </w:tcPr>
          <w:p>
            <w:pPr>
              <w:pStyle w:val="TableContents"/>
              <w:bidi w:val="0"/>
              <w:spacing w:before="0" w:after="283"/>
              <w:jc w:val="left"/>
              <w:rPr>
                <w:rFonts w:ascii="Times New Roman" w:hAnsi="Times New Roman"/>
                <w:sz w:val="22"/>
              </w:rPr>
            </w:pPr>
            <w:r>
              <w:rPr>
                <w:rFonts w:ascii="Times New Roman" w:hAnsi="Times New Roman"/>
                <w:b w:val="false"/>
                <w:color w:val="000000"/>
                <w:sz w:val="22"/>
              </w:rPr>
              <w:t>Title:</w:t>
            </w:r>
            <w:r>
              <w:rPr>
                <w:rFonts w:ascii="Times New Roman" w:hAnsi="Times New Roman"/>
                <w:color w:val="000000"/>
                <w:sz w:val="22"/>
              </w:rPr>
              <w:t xml:space="preserve"> </w:t>
            </w:r>
          </w:p>
        </w:tc>
        <w:tc>
          <w:tcPr>
            <w:tcW w:w="226" w:type="dxa"/>
            <w:tcBorders/>
            <w:vAlign w:val="center"/>
          </w:tcPr>
          <w:p>
            <w:pPr>
              <w:pStyle w:val="TableContents"/>
              <w:bidi w:val="0"/>
              <w:spacing w:before="0" w:after="283"/>
              <w:jc w:val="left"/>
              <w:rPr/>
            </w:pPr>
            <w:r>
              <w:rPr/>
              <w:t> </w:t>
            </w:r>
          </w:p>
        </w:tc>
        <w:tc>
          <w:tcPr>
            <w:tcW w:w="4422" w:type="dxa"/>
            <w:tcBorders/>
            <w:vAlign w:val="center"/>
          </w:tcPr>
          <w:p>
            <w:pPr>
              <w:pStyle w:val="TableContents"/>
              <w:bidi w:val="0"/>
              <w:spacing w:before="0" w:after="283"/>
              <w:jc w:val="left"/>
              <w:rPr>
                <w:rFonts w:ascii="Times New Roman" w:hAnsi="Times New Roman"/>
                <w:b w:val="false"/>
                <w:color w:val="000000"/>
                <w:sz w:val="22"/>
              </w:rPr>
            </w:pPr>
            <w:r>
              <w:rPr>
                <w:rFonts w:ascii="Times New Roman" w:hAnsi="Times New Roman"/>
                <w:b w:val="false"/>
                <w:color w:val="000000"/>
                <w:sz w:val="22"/>
              </w:rPr>
              <w:t>Managing Director</w:t>
            </w:r>
          </w:p>
        </w:tc>
      </w:tr>
      <w:tr>
        <w:trPr/>
        <w:tc>
          <w:tcPr>
            <w:tcW w:w="1141"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4422" w:type="dxa"/>
            <w:tcBorders/>
            <w:vAlign w:val="center"/>
          </w:tcPr>
          <w:p>
            <w:pPr>
              <w:pStyle w:val="TableContents"/>
              <w:bidi w:val="0"/>
              <w:spacing w:before="0" w:after="283"/>
              <w:jc w:val="left"/>
              <w:rPr/>
            </w:pPr>
            <w:r>
              <w:rPr/>
              <w:t> </w:t>
            </w:r>
          </w:p>
        </w:tc>
      </w:tr>
      <w:tr>
        <w:trPr/>
        <w:tc>
          <w:tcPr>
            <w:tcW w:w="1141" w:type="dxa"/>
            <w:tcBorders/>
            <w:vAlign w:val="center"/>
          </w:tcPr>
          <w:p>
            <w:pPr>
              <w:pStyle w:val="TableContents"/>
              <w:bidi w:val="0"/>
              <w:spacing w:before="0" w:after="283"/>
              <w:jc w:val="left"/>
              <w:rPr>
                <w:rFonts w:ascii="Times New Roman" w:hAnsi="Times New Roman"/>
                <w:b w:val="false"/>
                <w:color w:val="000000"/>
                <w:sz w:val="22"/>
              </w:rPr>
            </w:pPr>
            <w:r>
              <w:rPr>
                <w:rFonts w:ascii="Times New Roman" w:hAnsi="Times New Roman"/>
                <w:b w:val="false"/>
                <w:color w:val="000000"/>
                <w:sz w:val="22"/>
              </w:rPr>
              <w:t>By:</w:t>
            </w:r>
          </w:p>
        </w:tc>
        <w:tc>
          <w:tcPr>
            <w:tcW w:w="226" w:type="dxa"/>
            <w:tcBorders/>
            <w:vAlign w:val="center"/>
          </w:tcPr>
          <w:p>
            <w:pPr>
              <w:pStyle w:val="TableContents"/>
              <w:bidi w:val="0"/>
              <w:spacing w:before="0" w:after="283"/>
              <w:jc w:val="left"/>
              <w:rPr/>
            </w:pPr>
            <w:r>
              <w:rPr/>
              <w:t> </w:t>
            </w:r>
          </w:p>
        </w:tc>
        <w:tc>
          <w:tcPr>
            <w:tcW w:w="4422"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2"/>
              </w:rPr>
            </w:pPr>
            <w:r>
              <w:rPr>
                <w:rFonts w:ascii="Times New Roman" w:hAnsi="Times New Roman"/>
                <w:b w:val="false"/>
                <w:color w:val="000000"/>
                <w:sz w:val="22"/>
              </w:rPr>
              <w:t>/s/ Jesse G. O'Neill</w:t>
            </w:r>
          </w:p>
        </w:tc>
      </w:tr>
      <w:tr>
        <w:trPr/>
        <w:tc>
          <w:tcPr>
            <w:tcW w:w="1141"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4422" w:type="dxa"/>
            <w:tcBorders/>
            <w:vAlign w:val="center"/>
          </w:tcPr>
          <w:p>
            <w:pPr>
              <w:pStyle w:val="TableContents"/>
              <w:bidi w:val="0"/>
              <w:spacing w:before="0" w:after="283"/>
              <w:jc w:val="left"/>
              <w:rPr/>
            </w:pPr>
            <w:r>
              <w:rPr/>
              <w:t> </w:t>
            </w:r>
          </w:p>
        </w:tc>
      </w:tr>
      <w:tr>
        <w:trPr/>
        <w:tc>
          <w:tcPr>
            <w:tcW w:w="1141" w:type="dxa"/>
            <w:tcBorders/>
            <w:vAlign w:val="center"/>
          </w:tcPr>
          <w:p>
            <w:pPr>
              <w:pStyle w:val="TableContents"/>
              <w:bidi w:val="0"/>
              <w:spacing w:before="0" w:after="283"/>
              <w:jc w:val="left"/>
              <w:rPr>
                <w:rFonts w:ascii="Times New Roman" w:hAnsi="Times New Roman"/>
                <w:b w:val="false"/>
                <w:color w:val="000000"/>
                <w:sz w:val="22"/>
              </w:rPr>
            </w:pPr>
            <w:r>
              <w:rPr>
                <w:rFonts w:ascii="Times New Roman" w:hAnsi="Times New Roman"/>
                <w:b w:val="false"/>
                <w:color w:val="000000"/>
                <w:sz w:val="22"/>
              </w:rPr>
              <w:t>Name:</w:t>
            </w:r>
          </w:p>
        </w:tc>
        <w:tc>
          <w:tcPr>
            <w:tcW w:w="226" w:type="dxa"/>
            <w:tcBorders/>
            <w:vAlign w:val="center"/>
          </w:tcPr>
          <w:p>
            <w:pPr>
              <w:pStyle w:val="TableContents"/>
              <w:bidi w:val="0"/>
              <w:spacing w:before="0" w:after="283"/>
              <w:jc w:val="left"/>
              <w:rPr/>
            </w:pPr>
            <w:r>
              <w:rPr/>
              <w:t> </w:t>
            </w:r>
          </w:p>
        </w:tc>
        <w:tc>
          <w:tcPr>
            <w:tcW w:w="4422" w:type="dxa"/>
            <w:tcBorders/>
            <w:vAlign w:val="center"/>
          </w:tcPr>
          <w:p>
            <w:pPr>
              <w:pStyle w:val="TableContents"/>
              <w:bidi w:val="0"/>
              <w:spacing w:before="0" w:after="283"/>
              <w:jc w:val="left"/>
              <w:rPr>
                <w:rFonts w:ascii="Times New Roman" w:hAnsi="Times New Roman"/>
                <w:b w:val="false"/>
                <w:color w:val="000000"/>
                <w:sz w:val="22"/>
              </w:rPr>
            </w:pPr>
            <w:r>
              <w:rPr>
                <w:rFonts w:ascii="Times New Roman" w:hAnsi="Times New Roman"/>
                <w:b w:val="false"/>
                <w:color w:val="000000"/>
                <w:sz w:val="22"/>
              </w:rPr>
              <w:t>Jesse G. O'Neill</w:t>
            </w:r>
          </w:p>
        </w:tc>
      </w:tr>
      <w:tr>
        <w:trPr/>
        <w:tc>
          <w:tcPr>
            <w:tcW w:w="1141" w:type="dxa"/>
            <w:tcBorders/>
            <w:vAlign w:val="center"/>
          </w:tcPr>
          <w:p>
            <w:pPr>
              <w:pStyle w:val="TableContents"/>
              <w:bidi w:val="0"/>
              <w:spacing w:before="0" w:after="283"/>
              <w:jc w:val="left"/>
              <w:rPr>
                <w:rFonts w:ascii="Times New Roman" w:hAnsi="Times New Roman"/>
                <w:sz w:val="22"/>
              </w:rPr>
            </w:pPr>
            <w:r>
              <w:rPr>
                <w:rFonts w:ascii="Times New Roman" w:hAnsi="Times New Roman"/>
                <w:b w:val="false"/>
                <w:color w:val="000000"/>
                <w:sz w:val="22"/>
              </w:rPr>
              <w:t>Title:</w:t>
            </w:r>
            <w:r>
              <w:rPr>
                <w:rFonts w:ascii="Times New Roman" w:hAnsi="Times New Roman"/>
                <w:color w:val="000000"/>
                <w:sz w:val="22"/>
              </w:rPr>
              <w:t xml:space="preserve"> </w:t>
            </w:r>
          </w:p>
        </w:tc>
        <w:tc>
          <w:tcPr>
            <w:tcW w:w="226" w:type="dxa"/>
            <w:tcBorders/>
            <w:vAlign w:val="center"/>
          </w:tcPr>
          <w:p>
            <w:pPr>
              <w:pStyle w:val="TableContents"/>
              <w:bidi w:val="0"/>
              <w:spacing w:before="0" w:after="283"/>
              <w:jc w:val="left"/>
              <w:rPr/>
            </w:pPr>
            <w:r>
              <w:rPr/>
              <w:t> </w:t>
            </w:r>
          </w:p>
        </w:tc>
        <w:tc>
          <w:tcPr>
            <w:tcW w:w="4422" w:type="dxa"/>
            <w:tcBorders/>
            <w:vAlign w:val="center"/>
          </w:tcPr>
          <w:p>
            <w:pPr>
              <w:pStyle w:val="TableContents"/>
              <w:bidi w:val="0"/>
              <w:spacing w:before="0" w:after="283"/>
              <w:jc w:val="left"/>
              <w:rPr>
                <w:rFonts w:ascii="Times New Roman" w:hAnsi="Times New Roman"/>
                <w:b w:val="false"/>
                <w:color w:val="000000"/>
                <w:sz w:val="22"/>
              </w:rPr>
            </w:pPr>
            <w:r>
              <w:rPr>
                <w:rFonts w:ascii="Times New Roman" w:hAnsi="Times New Roman"/>
                <w:b w:val="false"/>
                <w:color w:val="000000"/>
                <w:sz w:val="22"/>
              </w:rPr>
              <w:t>Executive Director</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2"/>
        </w:rPr>
      </w:pPr>
      <w:r>
        <w:rPr>
          <w:rFonts w:ascii="Times New Roman" w:hAnsi="Times New Roman"/>
          <w:b w:val="false"/>
          <w:color w:val="000000"/>
          <w:sz w:val="22"/>
        </w:rPr>
        <w:t>6.</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5" w:name="alxo-ex31_1.htm"/>
      <w:bookmarkStart w:id="26" w:name="ksalxoex31_1"/>
      <w:bookmarkEnd w:id="25"/>
      <w:bookmarkEnd w:id="26"/>
      <w:r>
        <w:rPr>
          <w:rFonts w:ascii="Times New Roman" w:hAnsi="Times New Roman"/>
          <w:b/>
          <w:color w:val="000000"/>
          <w:sz w:val="20"/>
        </w:rPr>
        <w:t>Exhibit 31.1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 Jason Lettmann, certify that: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 have reviewed this Quarterly Report on Form 10-Q of ALX Oncology Holdings Inc.;</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3.</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4.</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5.</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014" w:type="dxa"/>
        <w:jc w:val="left"/>
        <w:tblInd w:w="0" w:type="dxa"/>
        <w:tblLayout w:type="fixed"/>
        <w:tblCellMar>
          <w:top w:w="28" w:type="dxa"/>
          <w:left w:w="28" w:type="dxa"/>
          <w:bottom w:w="28" w:type="dxa"/>
          <w:right w:w="28" w:type="dxa"/>
        </w:tblCellMar>
      </w:tblPr>
      <w:tblGrid>
        <w:gridCol w:w="2206"/>
        <w:gridCol w:w="146"/>
        <w:gridCol w:w="406"/>
        <w:gridCol w:w="3256"/>
      </w:tblGrid>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13,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32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 Jason Lettmann</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Jason Lettmann</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 and Director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7" w:name="alxo-ex31_2.htm"/>
      <w:bookmarkStart w:id="28" w:name="ksalxoex31_2"/>
      <w:bookmarkEnd w:id="27"/>
      <w:bookmarkEnd w:id="28"/>
      <w:r>
        <w:rPr>
          <w:rFonts w:ascii="Times New Roman" w:hAnsi="Times New Roman"/>
          <w:b/>
          <w:color w:val="000000"/>
          <w:sz w:val="20"/>
        </w:rPr>
        <w:t>Exhibit 31.2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 Peter Garcia, certify that: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 have reviewed this Quarterly Report on Form 10-Q of ALX Oncology Holdings Inc.;</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3.</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4.</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5.</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324" w:type="dxa"/>
        <w:jc w:val="left"/>
        <w:tblInd w:w="0" w:type="dxa"/>
        <w:tblLayout w:type="fixed"/>
        <w:tblCellMar>
          <w:top w:w="28" w:type="dxa"/>
          <w:left w:w="28" w:type="dxa"/>
          <w:bottom w:w="28" w:type="dxa"/>
          <w:right w:w="28" w:type="dxa"/>
        </w:tblCellMar>
      </w:tblPr>
      <w:tblGrid>
        <w:gridCol w:w="2206"/>
        <w:gridCol w:w="146"/>
        <w:gridCol w:w="406"/>
        <w:gridCol w:w="2566"/>
      </w:tblGrid>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13,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25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 Peter Garcia</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Peter Garcia</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9" w:name="alxo-ex32_1.htm"/>
      <w:bookmarkStart w:id="30" w:name="ksalxoex32_1"/>
      <w:bookmarkEnd w:id="29"/>
      <w:bookmarkEnd w:id="30"/>
      <w:r>
        <w:rPr>
          <w:rFonts w:ascii="Times New Roman" w:hAnsi="Times New Roman"/>
          <w:b/>
          <w:color w:val="000000"/>
          <w:sz w:val="20"/>
        </w:rPr>
        <w:t>Exhibit 32.1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In connection with the Quarterly Report of ALX Oncology Holdings Inc. (the “Company”), on Form 10-Q for the period ended September 30, 2023, as filed with the Securities and Exchange Commission on the date hereof (the “Report”), I certify, pursuant to 18 U.S.C. §1350, as adopted pursuant to section 906 of the Sarbanes-Oxley Act of 2002, that: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6014" w:type="dxa"/>
        <w:jc w:val="left"/>
        <w:tblInd w:w="0" w:type="dxa"/>
        <w:tblLayout w:type="fixed"/>
        <w:tblCellMar>
          <w:top w:w="28" w:type="dxa"/>
          <w:left w:w="28" w:type="dxa"/>
          <w:bottom w:w="28" w:type="dxa"/>
          <w:right w:w="28" w:type="dxa"/>
        </w:tblCellMar>
      </w:tblPr>
      <w:tblGrid>
        <w:gridCol w:w="2206"/>
        <w:gridCol w:w="146"/>
        <w:gridCol w:w="406"/>
        <w:gridCol w:w="3256"/>
      </w:tblGrid>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13,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32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 Jason Lettmann</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Jason Lettmann</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 and Director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1" w:name="alxo-ex32_2.htm"/>
      <w:bookmarkStart w:id="32" w:name="ksalxoex32_2"/>
      <w:bookmarkEnd w:id="31"/>
      <w:bookmarkEnd w:id="32"/>
      <w:r>
        <w:rPr>
          <w:rFonts w:ascii="Times New Roman" w:hAnsi="Times New Roman"/>
          <w:b/>
          <w:color w:val="000000"/>
          <w:sz w:val="20"/>
        </w:rPr>
        <w:t>Exhibit 32.2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In connection with the Quarterly Report of ALX Oncology Holdings Inc. (the “Company”), on Form 10-Q for the period ended September 30, 2023, as filed with the Securities and Exchange Commission on the date hereof (the “Report”), I certify, pursuant to 18 U.S.C. §1350, as adopted pursuant to section 906 of the Sarbanes-Oxley Act of 2002, that: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5324" w:type="dxa"/>
        <w:jc w:val="left"/>
        <w:tblInd w:w="0" w:type="dxa"/>
        <w:tblLayout w:type="fixed"/>
        <w:tblCellMar>
          <w:top w:w="28" w:type="dxa"/>
          <w:left w:w="28" w:type="dxa"/>
          <w:bottom w:w="28" w:type="dxa"/>
          <w:right w:w="28" w:type="dxa"/>
        </w:tblCellMar>
      </w:tblPr>
      <w:tblGrid>
        <w:gridCol w:w="2206"/>
        <w:gridCol w:w="146"/>
        <w:gridCol w:w="406"/>
        <w:gridCol w:w="2566"/>
      </w:tblGrid>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13,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25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 Peter Garcia</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Peter Garcia</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10182/000119312523251917/d534693dex41.htm" TargetMode="External"/><Relationship Id="rId3" Type="http://schemas.openxmlformats.org/officeDocument/2006/relationships/hyperlink" Target="https://www.sec.gov/Archives/edgar/data/1810182/000119312523229584/d846509dex101.htm" TargetMode="External"/><Relationship Id="rId4" Type="http://schemas.openxmlformats.org/officeDocument/2006/relationships/hyperlink" Target="https://www.sec.gov/Archives/edgar/data/1810182/000119312523229584/d846509dex102.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60604</Words>
  <Characters>336877</Characters>
  <CharactersWithSpaces>398098</CharactersWithSpaces>
  <Paragraphs>6489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