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pPr>
      <w:bookmarkStart w:id="0" w:name="alxo_def_14a_2023_proxy.htm"/>
      <w:bookmarkStart w:id="1" w:name="ksalxo_def_14a_2023_proxy"/>
      <w:bookmarkEnd w:id="0"/>
      <w:bookmarkEnd w:id="1"/>
      <w:r>
        <w:rPr/>
        <w:t> </w:t>
      </w:r>
    </w:p>
    <w:p>
      <w:pPr>
        <w:pStyle w:val="TextBody"/>
        <w:spacing w:before="80" w:after="0"/>
        <w:jc w:val="center"/>
        <w:rPr>
          <w:rFonts w:ascii="Times New Roman" w:hAnsi="Times New Roman"/>
          <w:sz w:val="20"/>
        </w:rPr>
      </w:pPr>
      <w:r>
        <w:rPr>
          <w:rFonts w:ascii="Arial;sans-serif" w:hAnsi="Arial;sans-serif"/>
          <w:b/>
          <w:sz w:val="36"/>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36"/>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4"/>
        </w:rPr>
        <w:t>Washington, D.C. 20549</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Arial;sans-serif" w:hAnsi="Arial;sans-serif"/>
          <w:b/>
          <w:sz w:val="36"/>
        </w:rPr>
        <w:t>SCHEDULE 14A</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Arial;sans-serif" w:hAnsi="Arial;sans-serif"/>
          <w:b/>
          <w:sz w:val="24"/>
        </w:rPr>
        <w:t>PROXY STATEMENT PURSUANT TO SECTION 14(a) OF THE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4"/>
        </w:rPr>
        <w:t>SECURITIES EXCHANGE ACT OF 1934</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Arial;sans-serif" w:hAnsi="Arial;sans-serif"/>
          <w:b w:val="false"/>
          <w:sz w:val="20"/>
        </w:rPr>
        <w:t xml:space="preserve">Filed by the Registrant </w:t>
      </w:r>
      <w:r>
        <w:rPr>
          <w:rFonts w:ascii="Times New Roman" w:hAnsi="Times New Roman"/>
          <w:sz w:val="20"/>
        </w:rPr>
        <w:t xml:space="preserve">☒ </w:t>
      </w:r>
      <w:r>
        <w:rPr>
          <w:rFonts w:ascii="Arial;sans-serif" w:hAnsi="Arial;sans-serif"/>
          <w:b w:val="false"/>
          <w:sz w:val="20"/>
        </w:rPr>
        <w:t xml:space="preserve">Filed by a Party other than the Registrant </w:t>
      </w:r>
      <w:r>
        <w:rPr>
          <w:rFonts w:ascii="Times New Roman" w:hAnsi="Times New Roman"/>
          <w:sz w:val="20"/>
        </w:rPr>
        <w:t>☐</w:t>
      </w:r>
    </w:p>
    <w:p>
      <w:pPr>
        <w:pStyle w:val="TextBody"/>
        <w:spacing w:before="80" w:after="0"/>
        <w:jc w:val="left"/>
        <w:rPr>
          <w:rFonts w:ascii="Times New Roman" w:hAnsi="Times New Roman"/>
          <w:sz w:val="20"/>
        </w:rPr>
      </w:pPr>
      <w:r>
        <w:rPr>
          <w:rFonts w:ascii="Arial;sans-serif" w:hAnsi="Arial;sans-serif"/>
          <w:b w:val="false"/>
          <w:sz w:val="20"/>
        </w:rPr>
        <w:t>Check the appropriate box:</w:t>
      </w:r>
      <w:r>
        <w:rPr>
          <w:rFonts w:ascii="Times New Roman" w:hAnsi="Times New Roman"/>
          <w:sz w:val="20"/>
        </w:rPr>
        <w:t xml:space="preserve"> </w:t>
      </w:r>
    </w:p>
    <w:p>
      <w:pPr>
        <w:pStyle w:val="TextBody"/>
        <w:spacing w:before="80" w:after="0"/>
        <w:jc w:val="left"/>
        <w:rPr/>
      </w:pPr>
      <w:r>
        <w:rPr/>
        <w:t> </w:t>
      </w:r>
    </w:p>
    <w:tbl>
      <w:tblPr>
        <w:tblW w:w="7802" w:type="dxa"/>
        <w:jc w:val="left"/>
        <w:tblInd w:w="0" w:type="dxa"/>
        <w:tblCellMar>
          <w:top w:w="28" w:type="dxa"/>
          <w:left w:w="28" w:type="dxa"/>
          <w:bottom w:w="28" w:type="dxa"/>
          <w:right w:w="28" w:type="dxa"/>
        </w:tblCellMar>
      </w:tblPr>
      <w:tblGrid>
        <w:gridCol w:w="331"/>
        <w:gridCol w:w="7471"/>
      </w:tblGrid>
      <w:tr>
        <w:trPr/>
        <w:tc>
          <w:tcPr>
            <w:tcW w:w="331" w:type="dxa"/>
            <w:tcBorders/>
            <w:shd w:fill="auto" w:val="clear"/>
            <w:vAlign w:val="center"/>
          </w:tcPr>
          <w:p>
            <w:pPr>
              <w:pStyle w:val="TableContents"/>
              <w:spacing w:before="0" w:after="283"/>
              <w:rPr>
                <w:sz w:val="4"/>
                <w:szCs w:val="4"/>
              </w:rPr>
            </w:pPr>
            <w:r>
              <w:rPr>
                <w:sz w:val="4"/>
                <w:szCs w:val="4"/>
              </w:rPr>
            </w:r>
          </w:p>
        </w:tc>
        <w:tc>
          <w:tcPr>
            <w:tcW w:w="747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74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Preliminary Proxy Statement</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747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Arial;sans-serif" w:hAnsi="Arial;sans-serif"/>
                <w:b/>
                <w:sz w:val="20"/>
              </w:rPr>
            </w:pPr>
            <w:r>
              <w:rPr>
                <w:rFonts w:ascii="Arial;sans-serif" w:hAnsi="Arial;sans-serif"/>
                <w:b/>
                <w:sz w:val="20"/>
              </w:rPr>
              <w:t>Confidential, for Use of the Commission Only (as permitted by Rule 14a-6(e)(2))</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747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Arial;sans-serif" w:hAnsi="Arial;sans-serif"/>
                <w:b w:val="false"/>
                <w:sz w:val="20"/>
              </w:rPr>
            </w:pPr>
            <w:r>
              <w:rPr>
                <w:rFonts w:ascii="Arial;sans-serif" w:hAnsi="Arial;sans-serif"/>
                <w:b w:val="false"/>
                <w:sz w:val="20"/>
              </w:rPr>
              <w:t>Definitive Proxy Statement</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747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Arial;sans-serif" w:hAnsi="Arial;sans-serif"/>
                <w:b w:val="false"/>
                <w:sz w:val="20"/>
              </w:rPr>
            </w:pPr>
            <w:r>
              <w:rPr>
                <w:rFonts w:ascii="Arial;sans-serif" w:hAnsi="Arial;sans-serif"/>
                <w:b w:val="false"/>
                <w:sz w:val="20"/>
              </w:rPr>
              <w:t>Definitive Additional Materials</w:t>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7471"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Arial;sans-serif" w:hAnsi="Arial;sans-serif"/>
                <w:b w:val="false"/>
                <w:sz w:val="20"/>
              </w:rPr>
            </w:pPr>
            <w:r>
              <w:rPr>
                <w:rFonts w:ascii="Arial;sans-serif" w:hAnsi="Arial;sans-serif"/>
                <w:b w:val="false"/>
                <w:sz w:val="20"/>
              </w:rPr>
              <w:t>Soliciting Material Pursuant to §240.14a-11(c) or §240.14a-2</w:t>
            </w:r>
          </w:p>
        </w:tc>
      </w:tr>
    </w:tbl>
    <w:p>
      <w:pPr>
        <w:pStyle w:val="TextBody"/>
        <w:spacing w:before="160" w:after="0"/>
        <w:jc w:val="center"/>
        <w:rPr>
          <w:rFonts w:ascii="Times New Roman" w:hAnsi="Times New Roman"/>
          <w:sz w:val="20"/>
        </w:rPr>
      </w:pPr>
      <w:r>
        <w:rPr>
          <w:rFonts w:ascii="Arial;sans-serif" w:hAnsi="Arial;sans-serif"/>
          <w:b/>
          <w:sz w:val="44"/>
        </w:rPr>
        <w:t>ALX Oncology Holdings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(Name of Registrant as Specified In Its Charter)</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val="false"/>
          <w:sz w:val="20"/>
        </w:rPr>
        <w:t>Payment of Filing Fee (Check all boxes that apply):</w:t>
      </w:r>
      <w:r>
        <w:rPr>
          <w:rFonts w:ascii="Times New Roman" w:hAnsi="Times New Roman"/>
          <w:sz w:val="20"/>
        </w:rPr>
        <w:t xml:space="preserve"> </w:t>
      </w:r>
    </w:p>
    <w:p>
      <w:pPr>
        <w:pStyle w:val="TextBody"/>
        <w:spacing w:before="80" w:after="0"/>
        <w:jc w:val="left"/>
        <w:rPr/>
      </w:pPr>
      <w:r>
        <w:rPr/>
        <w:t> </w:t>
      </w:r>
    </w:p>
    <w:tbl>
      <w:tblPr>
        <w:tblW w:w="9197" w:type="dxa"/>
        <w:jc w:val="left"/>
        <w:tblInd w:w="0" w:type="dxa"/>
        <w:tblCellMar>
          <w:top w:w="28" w:type="dxa"/>
          <w:left w:w="28" w:type="dxa"/>
          <w:bottom w:w="28" w:type="dxa"/>
          <w:right w:w="28" w:type="dxa"/>
        </w:tblCellMar>
      </w:tblPr>
      <w:tblGrid>
        <w:gridCol w:w="331"/>
        <w:gridCol w:w="8866"/>
      </w:tblGrid>
      <w:tr>
        <w:trPr/>
        <w:tc>
          <w:tcPr>
            <w:tcW w:w="331" w:type="dxa"/>
            <w:tcBorders/>
            <w:shd w:fill="auto" w:val="clear"/>
            <w:vAlign w:val="center"/>
          </w:tcPr>
          <w:p>
            <w:pPr>
              <w:pStyle w:val="TableContents"/>
              <w:spacing w:before="0" w:after="283"/>
              <w:rPr>
                <w:sz w:val="4"/>
                <w:szCs w:val="4"/>
              </w:rPr>
            </w:pPr>
            <w:r>
              <w:rPr>
                <w:sz w:val="4"/>
                <w:szCs w:val="4"/>
              </w:rPr>
            </w:r>
          </w:p>
        </w:tc>
        <w:tc>
          <w:tcPr>
            <w:tcW w:w="886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88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No fee required</w:t>
            </w:r>
          </w:p>
        </w:tc>
      </w:tr>
      <w:tr>
        <w:trPr/>
        <w:tc>
          <w:tcPr>
            <w:tcW w:w="331" w:type="dxa"/>
            <w:tcBorders/>
            <w:shd w:fill="auto" w:val="clear"/>
            <w:tcMar>
              <w:top w:w="0" w:type="dxa"/>
              <w:left w:w="0" w:type="dxa"/>
              <w:bottom w:w="0" w:type="dxa"/>
              <w:right w:w="0" w:type="dxa"/>
            </w:tcMar>
            <w:vAlign w:val="center"/>
          </w:tcPr>
          <w:p>
            <w:pPr>
              <w:pStyle w:val="TableContents"/>
              <w:spacing w:before="160" w:after="0"/>
              <w:ind w:left="0" w:right="0" w:hanging="0"/>
              <w:jc w:val="left"/>
              <w:rPr/>
            </w:pPr>
            <w:r>
              <w:rPr/>
              <w:t>☐</w:t>
            </w:r>
          </w:p>
        </w:tc>
        <w:tc>
          <w:tcPr>
            <w:tcW w:w="8866" w:type="dxa"/>
            <w:tcBorders/>
            <w:shd w:fill="auto" w:val="clear"/>
            <w:tcMar>
              <w:top w:w="0" w:type="dxa"/>
              <w:left w:w="0" w:type="dxa"/>
              <w:bottom w:w="0" w:type="dxa"/>
              <w:right w:w="0" w:type="dxa"/>
            </w:tcMar>
            <w:vAlign w:val="center"/>
          </w:tcPr>
          <w:p>
            <w:pPr>
              <w:pStyle w:val="TableContents"/>
              <w:spacing w:before="160" w:after="0"/>
              <w:ind w:left="0" w:right="0" w:hanging="0"/>
              <w:jc w:val="left"/>
              <w:rPr>
                <w:rFonts w:ascii="Arial;sans-serif" w:hAnsi="Arial;sans-serif"/>
                <w:b w:val="false"/>
                <w:sz w:val="20"/>
              </w:rPr>
            </w:pPr>
            <w:r>
              <w:rPr>
                <w:rFonts w:ascii="Arial;sans-serif" w:hAnsi="Arial;sans-serif"/>
                <w:b w:val="false"/>
                <w:sz w:val="20"/>
              </w:rPr>
              <w:t>Fee paid previously with preliminary materials</w:t>
            </w:r>
          </w:p>
        </w:tc>
      </w:tr>
      <w:tr>
        <w:trPr/>
        <w:tc>
          <w:tcPr>
            <w:tcW w:w="331" w:type="dxa"/>
            <w:tcBorders/>
            <w:shd w:fill="auto" w:val="clear"/>
            <w:tcMar>
              <w:top w:w="0" w:type="dxa"/>
              <w:left w:w="0" w:type="dxa"/>
              <w:bottom w:w="0" w:type="dxa"/>
              <w:right w:w="0" w:type="dxa"/>
            </w:tcMar>
            <w:vAlign w:val="center"/>
          </w:tcPr>
          <w:p>
            <w:pPr>
              <w:pStyle w:val="TableContents"/>
              <w:spacing w:before="160" w:after="0"/>
              <w:ind w:left="0" w:right="0" w:hanging="0"/>
              <w:jc w:val="left"/>
              <w:rPr/>
            </w:pPr>
            <w:r>
              <w:rPr/>
              <w:t>☐</w:t>
            </w:r>
          </w:p>
        </w:tc>
        <w:tc>
          <w:tcPr>
            <w:tcW w:w="8866" w:type="dxa"/>
            <w:tcBorders/>
            <w:shd w:fill="auto" w:val="clear"/>
            <w:tcMar>
              <w:top w:w="0" w:type="dxa"/>
              <w:left w:w="0" w:type="dxa"/>
              <w:bottom w:w="0" w:type="dxa"/>
              <w:right w:w="0" w:type="dxa"/>
            </w:tcMar>
            <w:vAlign w:val="center"/>
          </w:tcPr>
          <w:p>
            <w:pPr>
              <w:pStyle w:val="TableContents"/>
              <w:spacing w:before="160" w:after="0"/>
              <w:ind w:left="0" w:right="0" w:hanging="0"/>
              <w:jc w:val="left"/>
              <w:rPr>
                <w:rFonts w:ascii="Arial;sans-serif" w:hAnsi="Arial;sans-serif"/>
                <w:b w:val="false"/>
                <w:sz w:val="20"/>
              </w:rPr>
            </w:pPr>
            <w:r>
              <w:rPr>
                <w:rFonts w:ascii="Arial;sans-serif" w:hAnsi="Arial;sans-serif"/>
                <w:b w:val="false"/>
                <w:sz w:val="20"/>
              </w:rPr>
              <w:t>Fee computed on table in exhibit required by Item 25(b) per Exchange Act Rules 14a-6(i)(1) and 0-11</w:t>
            </w:r>
          </w:p>
        </w:tc>
      </w:tr>
    </w:tbl>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21717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1700" cy="781050"/>
                    </a:xfrm>
                    <a:prstGeom prst="rect">
                      <a:avLst/>
                    </a:prstGeom>
                  </pic:spPr>
                </pic:pic>
              </a:graphicData>
            </a:graphic>
          </wp:inline>
        </w:drawing>
      </w:r>
      <w:r>
        <w:rPr/>
        <w:t> </w:t>
      </w:r>
    </w:p>
    <w:p>
      <w:pPr>
        <w:pStyle w:val="TextBody"/>
        <w:spacing w:before="240" w:after="0"/>
        <w:jc w:val="left"/>
        <w:rPr>
          <w:rFonts w:ascii="Times New Roman" w:hAnsi="Times New Roman"/>
          <w:sz w:val="20"/>
        </w:rPr>
      </w:pPr>
      <w:r>
        <w:rPr>
          <w:rFonts w:ascii="Arial;sans-serif" w:hAnsi="Arial;sans-serif"/>
          <w:b w:val="false"/>
          <w:sz w:val="20"/>
        </w:rPr>
        <w:t>April 24,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Dear Stockholder: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We are pleased to invite you to attend the 2023 Annual Meeting of Stockholders (the Annual Meeting) of ALX Oncology Holdings Inc. (ALX or the Company), which will be conducted via a live webcast on Friday, June 16, 2023 at 1:00 p.m. Pacific Time. The Annual Meeting will be held in a virtual format only. You will be able to attend the Annual Meeting by visiting www.virtualshareholdermeeting.com/ALXO2023, where you will be able to listen to the meeting live, submit questions and vote online by entering the control number located on your proxy card.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attached Notice of Annual Meeting of Stockholders and Proxy Statement contain details of the business to be conducted at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Whether or not you attend the virtual Annual Meeting, it is important that your shares be represented and voted at the meeting. Therefore, we urge you to promptly vote and submit your proxy via the Internet, by phone, or by signing, dating and returning the enclosed proxy card in the enclosed envelope. If you decide to attend the Annual Meeting, you will be able to change your vote or revoke your proxy, even if you have previously submitted your proxy.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On behalf of the Company’s Board of Directors, we would like to thank you for your continued support of and interest in ALX.</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Sincerely,</w:t>
      </w:r>
      <w:r>
        <w:rPr>
          <w:rFonts w:ascii="Times New Roman" w:hAnsi="Times New Roman"/>
          <w:sz w:val="20"/>
        </w:rPr>
        <w:t xml:space="preserve"> </w:t>
      </w:r>
    </w:p>
    <w:tbl>
      <w:tblPr>
        <w:tblW w:w="8443" w:type="dxa"/>
        <w:jc w:val="left"/>
        <w:tblInd w:w="0" w:type="dxa"/>
        <w:tblCellMar>
          <w:top w:w="28" w:type="dxa"/>
          <w:left w:w="28" w:type="dxa"/>
          <w:bottom w:w="28" w:type="dxa"/>
          <w:right w:w="28" w:type="dxa"/>
        </w:tblCellMar>
      </w:tblPr>
      <w:tblGrid>
        <w:gridCol w:w="4066"/>
        <w:gridCol w:w="146"/>
        <w:gridCol w:w="4231"/>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drawing>
                <wp:inline distT="0" distB="0" distL="0" distR="0">
                  <wp:extent cx="188595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657225"/>
                          </a:xfrm>
                          <a:prstGeom prst="rect">
                            <a:avLst/>
                          </a:prstGeom>
                        </pic:spPr>
                      </pic:pic>
                    </a:graphicData>
                  </a:graphic>
                </wp:inline>
              </w:drawing>
            </w: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drawing>
                <wp:inline distT="0" distB="0" distL="0" distR="0">
                  <wp:extent cx="1733550"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33550" cy="609600"/>
                          </a:xfrm>
                          <a:prstGeom prst="rect">
                            <a:avLst/>
                          </a:prstGeom>
                        </pic:spPr>
                      </pic:pic>
                    </a:graphicData>
                  </a:graphic>
                </wp:inline>
              </w:drawing>
            </w:r>
            <w:r>
              <w:rPr/>
              <w:t> </w:t>
            </w:r>
          </w:p>
        </w:tc>
      </w:tr>
      <w:tr>
        <w:trPr/>
        <w:tc>
          <w:tcPr>
            <w:tcW w:w="40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Corey Goodman, Ph.D.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Jaume Pons, Ph.D.</w:t>
            </w:r>
          </w:p>
        </w:tc>
      </w:tr>
      <w:tr>
        <w:trPr/>
        <w:tc>
          <w:tcPr>
            <w:tcW w:w="40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Executive Chairman of the Board of Directors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i/>
                <w:sz w:val="20"/>
              </w:rPr>
            </w:pPr>
            <w:r>
              <w:rPr>
                <w:rFonts w:ascii="Arial;sans-serif" w:hAnsi="Arial;sans-serif"/>
                <w:b w:val="false"/>
                <w:i/>
                <w:sz w:val="20"/>
              </w:rPr>
              <w:t>President, Chief Executive Officer and Director</w:t>
            </w:r>
          </w:p>
        </w:tc>
      </w:tr>
    </w:tbl>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20"/>
        </w:rPr>
        <w:t>ALX ONCOLOGY HOLDINGS INC.</w:t>
      </w:r>
      <w:r>
        <w:rPr>
          <w:rFonts w:ascii="Times New Roman" w:hAnsi="Times New Roman"/>
          <w:sz w:val="20"/>
        </w:rPr>
        <w:t xml:space="preserve"> </w:t>
      </w:r>
    </w:p>
    <w:p>
      <w:pPr>
        <w:pStyle w:val="TextBody"/>
        <w:spacing w:before="0" w:after="0"/>
        <w:jc w:val="center"/>
        <w:rPr>
          <w:rFonts w:ascii="Arial;sans-serif" w:hAnsi="Arial;sans-serif"/>
          <w:b/>
          <w:sz w:val="20"/>
        </w:rPr>
      </w:pPr>
      <w:r>
        <w:rPr>
          <w:rFonts w:ascii="Arial;sans-serif" w:hAnsi="Arial;sans-serif"/>
          <w:b/>
          <w:sz w:val="20"/>
        </w:rPr>
        <w:t>323 Allerton Avenue</w:t>
      </w:r>
    </w:p>
    <w:p>
      <w:pPr>
        <w:pStyle w:val="TextBody"/>
        <w:spacing w:before="0" w:after="0"/>
        <w:jc w:val="center"/>
        <w:rPr>
          <w:rFonts w:ascii="Arial;sans-serif" w:hAnsi="Arial;sans-serif"/>
          <w:b/>
          <w:sz w:val="20"/>
        </w:rPr>
      </w:pPr>
      <w:r>
        <w:rPr>
          <w:rFonts w:ascii="Arial;sans-serif" w:hAnsi="Arial;sans-serif"/>
          <w:b/>
          <w:sz w:val="20"/>
        </w:rPr>
        <w:t>South San Francisco, California 94080</w:t>
      </w:r>
    </w:p>
    <w:p>
      <w:pPr>
        <w:pStyle w:val="TextBody"/>
        <w:spacing w:before="60" w:after="240"/>
        <w:jc w:val="center"/>
        <w:rPr>
          <w:rFonts w:ascii="Times New Roman" w:hAnsi="Times New Roman"/>
          <w:sz w:val="20"/>
        </w:rPr>
      </w:pPr>
      <w:r>
        <w:rPr>
          <w:rFonts w:ascii="Arial;sans-serif" w:hAnsi="Arial;sans-serif"/>
          <w:b/>
          <w:sz w:val="20"/>
        </w:rPr>
        <w:t>NOTICE OF ANNUAL MEETING OF STOCKHOLDERS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543"/>
        <w:gridCol w:w="8662"/>
      </w:tblGrid>
      <w:tr>
        <w:trPr/>
        <w:tc>
          <w:tcPr>
            <w:tcW w:w="1543" w:type="dxa"/>
            <w:tcBorders/>
            <w:shd w:fill="auto" w:val="clear"/>
            <w:vAlign w:val="center"/>
          </w:tcPr>
          <w:p>
            <w:pPr>
              <w:pStyle w:val="TableContents"/>
              <w:spacing w:before="0" w:after="283"/>
              <w:rPr>
                <w:sz w:val="4"/>
                <w:szCs w:val="4"/>
              </w:rPr>
            </w:pPr>
            <w:r>
              <w:rPr>
                <w:sz w:val="4"/>
                <w:szCs w:val="4"/>
              </w:rPr>
            </w:r>
          </w:p>
        </w:tc>
        <w:tc>
          <w:tcPr>
            <w:tcW w:w="8662" w:type="dxa"/>
            <w:tcBorders/>
            <w:shd w:fill="auto" w:val="clear"/>
            <w:vAlign w:val="center"/>
          </w:tcPr>
          <w:p>
            <w:pPr>
              <w:pStyle w:val="TableContents"/>
              <w:spacing w:before="0" w:after="283"/>
              <w:rPr>
                <w:sz w:val="4"/>
                <w:szCs w:val="4"/>
              </w:rPr>
            </w:pPr>
            <w:r>
              <w:rPr>
                <w:sz w:val="4"/>
                <w:szCs w:val="4"/>
              </w:rPr>
            </w:r>
          </w:p>
        </w:tc>
      </w:tr>
      <w:tr>
        <w:trPr/>
        <w:tc>
          <w:tcPr>
            <w:tcW w:w="1543" w:type="dxa"/>
            <w:tcBorders/>
            <w:shd w:fill="auto" w:val="clear"/>
            <w:tcMar>
              <w:top w:w="0" w:type="dxa"/>
              <w:left w:w="0" w:type="dxa"/>
              <w:bottom w:w="0" w:type="dxa"/>
              <w:right w:w="0" w:type="dxa"/>
            </w:tcMar>
            <w:vAlign w:val="center"/>
          </w:tcPr>
          <w:p>
            <w:pPr>
              <w:pStyle w:val="TableContents"/>
              <w:spacing w:before="60" w:after="60"/>
              <w:ind w:left="0" w:right="0" w:hanging="0"/>
              <w:jc w:val="left"/>
              <w:rPr>
                <w:rFonts w:ascii="Arial;sans-serif" w:hAnsi="Arial;sans-serif"/>
                <w:b/>
                <w:sz w:val="20"/>
              </w:rPr>
            </w:pPr>
            <w:r>
              <w:rPr>
                <w:rFonts w:ascii="Arial;sans-serif" w:hAnsi="Arial;sans-serif"/>
                <w:b/>
                <w:sz w:val="20"/>
              </w:rPr>
              <w:t>Time and Date</w:t>
            </w:r>
          </w:p>
        </w:tc>
        <w:tc>
          <w:tcPr>
            <w:tcW w:w="8662" w:type="dxa"/>
            <w:tcBorders/>
            <w:shd w:fill="auto" w:val="clear"/>
            <w:tcMar>
              <w:top w:w="0" w:type="dxa"/>
              <w:left w:w="0" w:type="dxa"/>
              <w:bottom w:w="0" w:type="dxa"/>
              <w:right w:w="0" w:type="dxa"/>
            </w:tcMar>
            <w:vAlign w:val="center"/>
          </w:tcPr>
          <w:p>
            <w:pPr>
              <w:pStyle w:val="TableContents"/>
              <w:spacing w:before="60" w:after="240"/>
              <w:ind w:left="0" w:right="0" w:hanging="0"/>
              <w:jc w:val="left"/>
              <w:rPr>
                <w:rFonts w:ascii="Arial;sans-serif" w:hAnsi="Arial;sans-serif"/>
                <w:b w:val="false"/>
                <w:sz w:val="20"/>
              </w:rPr>
            </w:pPr>
            <w:r>
              <w:rPr>
                <w:rFonts w:ascii="Arial;sans-serif" w:hAnsi="Arial;sans-serif"/>
                <w:b w:val="false"/>
                <w:sz w:val="20"/>
              </w:rPr>
              <w:t>Friday, June 16, 2023 at 1:00 p.m. Pacific Time</w:t>
            </w:r>
          </w:p>
        </w:tc>
      </w:tr>
      <w:tr>
        <w:trPr/>
        <w:tc>
          <w:tcPr>
            <w:tcW w:w="1543" w:type="dxa"/>
            <w:tcBorders/>
            <w:shd w:fill="auto" w:val="clear"/>
            <w:tcMar>
              <w:top w:w="0" w:type="dxa"/>
              <w:left w:w="0" w:type="dxa"/>
              <w:bottom w:w="0" w:type="dxa"/>
              <w:right w:w="0" w:type="dxa"/>
            </w:tcMar>
            <w:vAlign w:val="center"/>
          </w:tcPr>
          <w:p>
            <w:pPr>
              <w:pStyle w:val="TableContents"/>
              <w:spacing w:before="60" w:after="60"/>
              <w:ind w:left="0" w:right="0" w:hanging="0"/>
              <w:jc w:val="left"/>
              <w:rPr>
                <w:rFonts w:ascii="Arial;sans-serif" w:hAnsi="Arial;sans-serif"/>
                <w:b/>
                <w:sz w:val="20"/>
              </w:rPr>
            </w:pPr>
            <w:r>
              <w:rPr>
                <w:rFonts w:ascii="Arial;sans-serif" w:hAnsi="Arial;sans-serif"/>
                <w:b/>
                <w:sz w:val="20"/>
              </w:rPr>
              <w:t>Place</w:t>
            </w:r>
          </w:p>
        </w:tc>
        <w:tc>
          <w:tcPr>
            <w:tcW w:w="8662" w:type="dxa"/>
            <w:tcBorders/>
            <w:shd w:fill="auto" w:val="clear"/>
            <w:tcMar>
              <w:top w:w="0" w:type="dxa"/>
              <w:left w:w="0" w:type="dxa"/>
              <w:bottom w:w="0" w:type="dxa"/>
              <w:right w:w="0" w:type="dxa"/>
            </w:tcMar>
            <w:vAlign w:val="center"/>
          </w:tcPr>
          <w:p>
            <w:pPr>
              <w:pStyle w:val="TableContents"/>
              <w:spacing w:before="60" w:after="360"/>
              <w:ind w:left="0" w:right="0" w:hanging="0"/>
              <w:jc w:val="left"/>
              <w:rPr>
                <w:rFonts w:ascii="Arial;sans-serif" w:hAnsi="Arial;sans-serif"/>
                <w:b w:val="false"/>
                <w:sz w:val="20"/>
              </w:rPr>
            </w:pPr>
            <w:r>
              <w:rPr>
                <w:rFonts w:ascii="Arial;sans-serif" w:hAnsi="Arial;sans-serif"/>
                <w:b w:val="false"/>
                <w:sz w:val="20"/>
              </w:rPr>
              <w:t>The Annual Meeting will be a completely virtual meeting of stockholders, to be conducted via a live webcast. You will be able to attend the Annual Meeting virtually, submit questions and vote online during the meeting by visiting www.virtualshareholdermeeting.com/ALXO2023.</w:t>
            </w:r>
          </w:p>
        </w:tc>
      </w:tr>
      <w:tr>
        <w:trPr/>
        <w:tc>
          <w:tcPr>
            <w:tcW w:w="1543" w:type="dxa"/>
            <w:tcBorders/>
            <w:shd w:fill="auto" w:val="clear"/>
            <w:tcMar>
              <w:top w:w="0" w:type="dxa"/>
              <w:left w:w="0" w:type="dxa"/>
              <w:bottom w:w="0" w:type="dxa"/>
              <w:right w:w="0" w:type="dxa"/>
            </w:tcMar>
            <w:vAlign w:val="center"/>
          </w:tcPr>
          <w:p>
            <w:pPr>
              <w:pStyle w:val="TableContents"/>
              <w:spacing w:before="60" w:after="60"/>
              <w:ind w:left="0" w:right="0" w:firstLine="360"/>
              <w:jc w:val="left"/>
              <w:rPr>
                <w:rFonts w:ascii="Arial;sans-serif" w:hAnsi="Arial;sans-serif"/>
                <w:b/>
                <w:sz w:val="20"/>
              </w:rPr>
            </w:pPr>
            <w:r>
              <w:rPr>
                <w:rFonts w:ascii="Arial;sans-serif" w:hAnsi="Arial;sans-serif"/>
                <w:b/>
                <w:sz w:val="20"/>
              </w:rPr>
              <w:t>Items of Business</w:t>
            </w:r>
          </w:p>
        </w:tc>
        <w:tc>
          <w:tcPr>
            <w:tcW w:w="8662" w:type="dxa"/>
            <w:tcBorders/>
            <w:shd w:fill="auto" w:val="clear"/>
            <w:tcMar>
              <w:top w:w="0" w:type="dxa"/>
              <w:left w:w="0" w:type="dxa"/>
              <w:bottom w:w="0" w:type="dxa"/>
              <w:right w:w="0" w:type="dxa"/>
            </w:tcMar>
            <w:vAlign w:val="center"/>
          </w:tcPr>
          <w:p>
            <w:pPr>
              <w:pStyle w:val="TableContents"/>
              <w:spacing w:before="60" w:after="60"/>
              <w:ind w:left="0" w:right="0" w:hanging="0"/>
              <w:jc w:val="left"/>
              <w:rPr/>
            </w:pPr>
            <w:r>
              <w:rPr/>
              <w:t>•</w:t>
            </w:r>
          </w:p>
          <w:p>
            <w:pPr>
              <w:pStyle w:val="TableContents"/>
              <w:spacing w:before="60" w:after="60"/>
              <w:jc w:val="left"/>
              <w:rPr>
                <w:rFonts w:ascii="Arial;sans-serif" w:hAnsi="Arial;sans-serif"/>
                <w:b w:val="false"/>
                <w:sz w:val="20"/>
              </w:rPr>
            </w:pPr>
            <w:r>
              <w:rPr>
                <w:rFonts w:ascii="Arial;sans-serif" w:hAnsi="Arial;sans-serif"/>
                <w:b w:val="false"/>
                <w:sz w:val="20"/>
              </w:rPr>
              <w:t>To elect three Class III directors to serve until the 2026 annual meeting of stockholders or until their successors are duly elected and qualified;</w:t>
            </w:r>
          </w:p>
          <w:p>
            <w:pPr>
              <w:pStyle w:val="TableContents"/>
              <w:spacing w:before="200" w:after="60"/>
              <w:ind w:left="0" w:right="0" w:hanging="0"/>
              <w:jc w:val="left"/>
              <w:rPr/>
            </w:pPr>
            <w:r>
              <w:rPr/>
              <w:t>•</w:t>
            </w:r>
          </w:p>
          <w:p>
            <w:pPr>
              <w:pStyle w:val="TableContents"/>
              <w:spacing w:before="200" w:after="60"/>
              <w:jc w:val="left"/>
              <w:rPr>
                <w:rFonts w:ascii="Arial;sans-serif" w:hAnsi="Arial;sans-serif"/>
                <w:b w:val="false"/>
                <w:sz w:val="20"/>
              </w:rPr>
            </w:pPr>
            <w:r>
              <w:rPr>
                <w:rFonts w:ascii="Arial;sans-serif" w:hAnsi="Arial;sans-serif"/>
                <w:b w:val="false"/>
                <w:sz w:val="20"/>
              </w:rPr>
              <w:t>To conduct an advisory vote to approve the compensation of our named executive officers (NEOs);</w:t>
            </w:r>
          </w:p>
          <w:p>
            <w:pPr>
              <w:pStyle w:val="TableContents"/>
              <w:spacing w:before="200" w:after="60"/>
              <w:ind w:left="0" w:right="0" w:hanging="0"/>
              <w:jc w:val="left"/>
              <w:rPr/>
            </w:pPr>
            <w:r>
              <w:rPr/>
              <w:t>•</w:t>
            </w:r>
          </w:p>
          <w:p>
            <w:pPr>
              <w:pStyle w:val="TableContents"/>
              <w:spacing w:before="200" w:after="60"/>
              <w:jc w:val="left"/>
              <w:rPr>
                <w:rFonts w:ascii="Arial;sans-serif" w:hAnsi="Arial;sans-serif"/>
                <w:b w:val="false"/>
                <w:sz w:val="20"/>
              </w:rPr>
            </w:pPr>
            <w:r>
              <w:rPr>
                <w:rFonts w:ascii="Arial;sans-serif" w:hAnsi="Arial;sans-serif"/>
                <w:b w:val="false"/>
                <w:sz w:val="20"/>
              </w:rPr>
              <w:t>To ratify the appointment of KPMG LLP as our independent registered public accounting firm for our fiscal year ending December 31, 2023; and</w:t>
            </w:r>
          </w:p>
          <w:p>
            <w:pPr>
              <w:pStyle w:val="TableContents"/>
              <w:spacing w:before="200" w:after="360"/>
              <w:ind w:left="0" w:right="0" w:hanging="0"/>
              <w:jc w:val="left"/>
              <w:rPr/>
            </w:pPr>
            <w:r>
              <w:rPr/>
              <w:t>•</w:t>
            </w:r>
          </w:p>
          <w:p>
            <w:pPr>
              <w:pStyle w:val="TableContents"/>
              <w:spacing w:before="200" w:after="360"/>
              <w:jc w:val="left"/>
              <w:rPr>
                <w:rFonts w:ascii="Arial;sans-serif" w:hAnsi="Arial;sans-serif"/>
                <w:b w:val="false"/>
                <w:sz w:val="20"/>
              </w:rPr>
            </w:pPr>
            <w:r>
              <w:rPr>
                <w:rFonts w:ascii="Arial;sans-serif" w:hAnsi="Arial;sans-serif"/>
                <w:b w:val="false"/>
                <w:sz w:val="20"/>
              </w:rPr>
              <w:t>To transact such other business as may properly come before the Annual Meeting or any adjournments or postponements thereof.</w:t>
            </w:r>
          </w:p>
        </w:tc>
      </w:tr>
      <w:tr>
        <w:trPr/>
        <w:tc>
          <w:tcPr>
            <w:tcW w:w="1543" w:type="dxa"/>
            <w:tcBorders/>
            <w:shd w:fill="auto" w:val="clear"/>
            <w:tcMar>
              <w:top w:w="0" w:type="dxa"/>
              <w:left w:w="0" w:type="dxa"/>
              <w:bottom w:w="0" w:type="dxa"/>
              <w:right w:w="0" w:type="dxa"/>
            </w:tcMar>
            <w:vAlign w:val="center"/>
          </w:tcPr>
          <w:p>
            <w:pPr>
              <w:pStyle w:val="TableContents"/>
              <w:spacing w:before="60" w:after="60"/>
              <w:ind w:left="0" w:right="0" w:hanging="0"/>
              <w:jc w:val="left"/>
              <w:rPr>
                <w:rFonts w:ascii="Arial;sans-serif" w:hAnsi="Arial;sans-serif"/>
                <w:b/>
                <w:sz w:val="20"/>
              </w:rPr>
            </w:pPr>
            <w:r>
              <w:rPr>
                <w:rFonts w:ascii="Arial;sans-serif" w:hAnsi="Arial;sans-serif"/>
                <w:b/>
                <w:sz w:val="20"/>
              </w:rPr>
              <w:t>Record Date</w:t>
            </w:r>
          </w:p>
        </w:tc>
        <w:tc>
          <w:tcPr>
            <w:tcW w:w="8662" w:type="dxa"/>
            <w:tcBorders/>
            <w:shd w:fill="auto" w:val="clear"/>
            <w:tcMar>
              <w:top w:w="0" w:type="dxa"/>
              <w:left w:w="0" w:type="dxa"/>
              <w:bottom w:w="0" w:type="dxa"/>
              <w:right w:w="0" w:type="dxa"/>
            </w:tcMar>
            <w:vAlign w:val="center"/>
          </w:tcPr>
          <w:p>
            <w:pPr>
              <w:pStyle w:val="TableContents"/>
              <w:spacing w:before="60" w:after="360"/>
              <w:ind w:left="0" w:right="0" w:hanging="0"/>
              <w:jc w:val="left"/>
              <w:rPr>
                <w:rFonts w:ascii="Arial;sans-serif" w:hAnsi="Arial;sans-serif"/>
                <w:b w:val="false"/>
                <w:sz w:val="20"/>
              </w:rPr>
            </w:pPr>
            <w:r>
              <w:rPr>
                <w:rFonts w:ascii="Arial;sans-serif" w:hAnsi="Arial;sans-serif"/>
                <w:b w:val="false"/>
                <w:sz w:val="20"/>
              </w:rPr>
              <w:t>Wednesday, April 19, 2023 (the Record Date). Only stockholders of record at the close of business on the Record Date are entitled to receive notice of, and to vote at, the Annual Meeting.</w:t>
            </w:r>
          </w:p>
        </w:tc>
      </w:tr>
    </w:tbl>
    <w:p>
      <w:pPr>
        <w:pStyle w:val="TextBody"/>
        <w:spacing w:before="120" w:after="0"/>
        <w:jc w:val="left"/>
        <w:rPr>
          <w:rFonts w:ascii="Times New Roman" w:hAnsi="Times New Roman"/>
          <w:sz w:val="20"/>
        </w:rPr>
      </w:pPr>
      <w:r>
        <w:rPr>
          <w:rFonts w:ascii="Arial;sans-serif" w:hAnsi="Arial;sans-serif"/>
          <w:b/>
          <w:sz w:val="20"/>
        </w:rPr>
        <w:t>YOUR VOTE IS IMPORTANT. Whether or not you plan to attend the Annual Meeting virtually,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sz w:val="20"/>
        </w:rPr>
        <w:t xml:space="preserve">Important Notice Regarding the Availability of Proxy Materials for the Annual Meeting to Be Held on June 16, 2023. </w:t>
      </w:r>
      <w:r>
        <w:rPr>
          <w:rFonts w:ascii="Arial;sans-serif" w:hAnsi="Arial;sans-serif"/>
          <w:b w:val="false"/>
          <w:sz w:val="20"/>
        </w:rPr>
        <w:t>Our proxy statement and Annual Report to Stockholders are being made available on or about April 24, 2023 on our investor relations website at https://ir.alxoncology.com/ under “Financials &amp; Filings.” We are providing access to our proxy materials over the Internet under the rules adopted by the Securities and Exchange Commission.</w:t>
      </w:r>
      <w:r>
        <w:rPr>
          <w:rFonts w:ascii="Times New Roman" w:hAnsi="Times New Roman"/>
          <w:sz w:val="20"/>
        </w:rPr>
        <w:t xml:space="preserve"> </w:t>
      </w:r>
    </w:p>
    <w:p>
      <w:pPr>
        <w:pStyle w:val="TextBody"/>
        <w:spacing w:before="120" w:after="0"/>
        <w:jc w:val="right"/>
        <w:rPr>
          <w:rFonts w:ascii="Arial;sans-serif" w:hAnsi="Arial;sans-serif"/>
          <w:b w:val="false"/>
          <w:sz w:val="20"/>
        </w:rPr>
      </w:pPr>
      <w:r>
        <w:rPr>
          <w:rFonts w:ascii="Arial;sans-serif" w:hAnsi="Arial;sans-serif"/>
          <w:b w:val="false"/>
          <w:sz w:val="20"/>
        </w:rPr>
        <w:t>By order of the Board of Directors,</w:t>
      </w:r>
    </w:p>
    <w:p>
      <w:pPr>
        <w:pStyle w:val="TextBody"/>
        <w:spacing w:before="120" w:after="0"/>
        <w:jc w:val="right"/>
        <w:rPr/>
      </w:pPr>
      <w:r>
        <w:rPr/>
        <w:drawing>
          <wp:inline distT="0" distB="0" distL="0" distR="0">
            <wp:extent cx="1733550" cy="60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33550" cy="609600"/>
                    </a:xfrm>
                    <a:prstGeom prst="rect">
                      <a:avLst/>
                    </a:prstGeom>
                  </pic:spPr>
                </pic:pic>
              </a:graphicData>
            </a:graphic>
          </wp:inline>
        </w:drawing>
      </w:r>
      <w:r>
        <w:rPr/>
        <w:t> </w:t>
      </w:r>
    </w:p>
    <w:p>
      <w:pPr>
        <w:pStyle w:val="TextBody"/>
        <w:spacing w:before="0" w:after="0"/>
        <w:jc w:val="right"/>
        <w:rPr>
          <w:rFonts w:ascii="Times New Roman" w:hAnsi="Times New Roman"/>
          <w:sz w:val="20"/>
        </w:rPr>
      </w:pPr>
      <w:r>
        <w:rPr>
          <w:rFonts w:ascii="Arial;sans-serif" w:hAnsi="Arial;sans-serif"/>
          <w:b w:val="false"/>
          <w:sz w:val="20"/>
        </w:rPr>
        <w:t>Jaume Pons, Ph.D.</w:t>
      </w:r>
      <w:r>
        <w:rPr>
          <w:rFonts w:ascii="Times New Roman" w:hAnsi="Times New Roman"/>
          <w:sz w:val="20"/>
        </w:rPr>
        <w:t xml:space="preserve"> </w:t>
      </w:r>
    </w:p>
    <w:p>
      <w:pPr>
        <w:pStyle w:val="TextBody"/>
        <w:spacing w:before="120" w:after="0"/>
        <w:jc w:val="right"/>
        <w:rPr>
          <w:rFonts w:ascii="Times New Roman" w:hAnsi="Times New Roman"/>
          <w:sz w:val="20"/>
        </w:rPr>
      </w:pPr>
      <w:r>
        <w:rPr>
          <w:rFonts w:ascii="Arial;sans-serif" w:hAnsi="Arial;sans-serif"/>
          <w:b w:val="false"/>
          <w:i/>
          <w:sz w:val="20"/>
        </w:rPr>
        <w:t>President, Chief Executive Officer and Director</w:t>
      </w:r>
      <w:r>
        <w:rPr>
          <w:rFonts w:ascii="Times New Roman" w:hAnsi="Times New Roman"/>
          <w:sz w:val="20"/>
        </w:rPr>
        <w:t xml:space="preserve"> </w:t>
      </w:r>
    </w:p>
    <w:p>
      <w:pPr>
        <w:pStyle w:val="TextBody"/>
        <w:spacing w:before="120" w:after="0"/>
        <w:jc w:val="right"/>
        <w:rPr>
          <w:rFonts w:ascii="Times New Roman" w:hAnsi="Times New Roman"/>
          <w:sz w:val="20"/>
        </w:rPr>
      </w:pPr>
      <w:r>
        <w:rPr>
          <w:rFonts w:ascii="Arial;sans-serif" w:hAnsi="Arial;sans-serif"/>
          <w:b w:val="false"/>
          <w:sz w:val="20"/>
        </w:rPr>
        <w:t>South San Francisco, California</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April 24, 2023</w:t>
      </w:r>
      <w:r>
        <w:rPr>
          <w:rFonts w:ascii="Times New Roman" w:hAnsi="Times New Roman"/>
          <w:sz w:val="20"/>
        </w:rPr>
        <w:t xml:space="preserve"> </w:t>
      </w:r>
    </w:p>
    <w:p>
      <w:pPr>
        <w:pStyle w:val="TextBody"/>
        <w:spacing w:before="200" w:after="0"/>
        <w:jc w:val="left"/>
        <w:rPr>
          <w:rFonts w:ascii="Arial;sans-serif" w:hAnsi="Arial;sans-serif"/>
          <w:b/>
          <w:sz w:val="20"/>
        </w:rPr>
      </w:pPr>
      <w:r>
        <w:rPr>
          <w:rFonts w:ascii="Arial;sans-serif" w:hAnsi="Arial;sans-serif"/>
          <w:b/>
          <w:sz w:val="20"/>
        </w:rPr>
        <w:t>This proxy statement is being mailed to stockholders on or about April 24, 2023.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Arial;sans-serif" w:hAnsi="Arial;sans-serif"/>
          <w:b/>
          <w:sz w:val="20"/>
        </w:rPr>
      </w:pPr>
      <w:r>
        <w:rPr>
          <w:rFonts w:ascii="Arial;sans-serif" w:hAnsi="Arial;sans-serif"/>
          <w:b/>
          <w:sz w:val="20"/>
        </w:rPr>
        <w:t>TABLE OF CONTENTS</w:t>
      </w:r>
    </w:p>
    <w:tbl>
      <w:tblPr>
        <w:tblW w:w="10205" w:type="dxa"/>
        <w:jc w:val="left"/>
        <w:tblInd w:w="0" w:type="dxa"/>
        <w:tblCellMar>
          <w:top w:w="28" w:type="dxa"/>
          <w:left w:w="28" w:type="dxa"/>
          <w:bottom w:w="28" w:type="dxa"/>
          <w:right w:w="28" w:type="dxa"/>
        </w:tblCellMar>
      </w:tblPr>
      <w:tblGrid>
        <w:gridCol w:w="9441"/>
        <w:gridCol w:w="764"/>
      </w:tblGrid>
      <w:tr>
        <w:trPr/>
        <w:tc>
          <w:tcPr>
            <w:tcW w:w="944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r>
      <w:tr>
        <w:trPr/>
        <w:tc>
          <w:tcPr>
            <w:tcW w:w="9441" w:type="dxa"/>
            <w:tcBorders/>
            <w:shd w:fill="auto" w:val="clear"/>
            <w:vAlign w:val="center"/>
          </w:tcPr>
          <w:p>
            <w:pPr>
              <w:pStyle w:val="TableContents"/>
              <w:spacing w:before="0" w:after="0"/>
              <w:ind w:left="0" w:right="0" w:hanging="0"/>
              <w:jc w:val="left"/>
              <w:rPr/>
            </w:pPr>
            <w:r>
              <w:rPr/>
              <w:t> </w:t>
            </w:r>
          </w:p>
        </w:tc>
        <w:tc>
          <w:tcPr>
            <w:tcW w:w="76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Page</w:t>
            </w:r>
          </w:p>
        </w:tc>
      </w:tr>
      <w:tr>
        <w:trPr/>
        <w:tc>
          <w:tcPr>
            <w:tcW w:w="9441" w:type="dxa"/>
            <w:tcBorders/>
            <w:shd w:fill="auto" w:val="clear"/>
            <w:vAlign w:val="center"/>
          </w:tcPr>
          <w:p>
            <w:pPr>
              <w:pStyle w:val="TableContents"/>
              <w:spacing w:before="0" w:after="0"/>
              <w:ind w:left="0" w:right="0" w:hanging="0"/>
              <w:jc w:val="left"/>
              <w:rPr/>
            </w:pPr>
            <w:hyperlink w:anchor="questions_answers">
              <w:r>
                <w:rPr>
                  <w:rStyle w:val="InternetLink"/>
                  <w:rFonts w:ascii="Arial;sans-serif" w:hAnsi="Arial;sans-serif"/>
                  <w:b w:val="false"/>
                  <w:sz w:val="20"/>
                  <w:u w:val="single"/>
                </w:rPr>
                <w:t>QUESTIONS AND ANSWERS ABOUT THE ANNUAL MEETING</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r>
      <w:tr>
        <w:trPr/>
        <w:tc>
          <w:tcPr>
            <w:tcW w:w="9441" w:type="dxa"/>
            <w:tcBorders/>
            <w:shd w:fill="auto" w:val="clear"/>
            <w:vAlign w:val="center"/>
          </w:tcPr>
          <w:p>
            <w:pPr>
              <w:pStyle w:val="TableContents"/>
              <w:spacing w:before="0" w:after="0"/>
              <w:ind w:left="0" w:right="0" w:hanging="0"/>
              <w:jc w:val="left"/>
              <w:rPr/>
            </w:pPr>
            <w:hyperlink w:anchor="board_of_directors_and_corporate">
              <w:r>
                <w:rPr>
                  <w:rStyle w:val="InternetLink"/>
                  <w:rFonts w:ascii="Arial;sans-serif" w:hAnsi="Arial;sans-serif"/>
                  <w:b w:val="false"/>
                  <w:sz w:val="20"/>
                  <w:u w:val="single"/>
                </w:rPr>
                <w:t>BOARD OF DIRECTORS AND CORPORATE GOVERNANCE</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9</w:t>
            </w:r>
          </w:p>
        </w:tc>
      </w:tr>
      <w:tr>
        <w:trPr/>
        <w:tc>
          <w:tcPr>
            <w:tcW w:w="9441" w:type="dxa"/>
            <w:tcBorders/>
            <w:shd w:fill="auto" w:val="clear"/>
            <w:vAlign w:val="center"/>
          </w:tcPr>
          <w:p>
            <w:pPr>
              <w:pStyle w:val="TableContents"/>
              <w:spacing w:before="0" w:after="0"/>
              <w:ind w:left="400" w:right="0" w:hanging="0"/>
              <w:jc w:val="left"/>
              <w:rPr/>
            </w:pPr>
            <w:hyperlink w:anchor="director_nominees">
              <w:r>
                <w:rPr>
                  <w:rStyle w:val="InternetLink"/>
                  <w:rFonts w:ascii="Arial;sans-serif" w:hAnsi="Arial;sans-serif"/>
                  <w:b w:val="false"/>
                  <w:sz w:val="20"/>
                  <w:u w:val="single"/>
                </w:rPr>
                <w:t>Director Nominees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9</w:t>
            </w:r>
          </w:p>
        </w:tc>
      </w:tr>
      <w:tr>
        <w:trPr/>
        <w:tc>
          <w:tcPr>
            <w:tcW w:w="9441" w:type="dxa"/>
            <w:tcBorders/>
            <w:shd w:fill="auto" w:val="clear"/>
            <w:vAlign w:val="center"/>
          </w:tcPr>
          <w:p>
            <w:pPr>
              <w:pStyle w:val="TableContents"/>
              <w:spacing w:before="0" w:after="0"/>
              <w:ind w:left="400" w:right="0" w:hanging="0"/>
              <w:jc w:val="left"/>
              <w:rPr/>
            </w:pPr>
            <w:hyperlink w:anchor="continuing_directors">
              <w:r>
                <w:rPr>
                  <w:rStyle w:val="InternetLink"/>
                  <w:rFonts w:ascii="Arial;sans-serif" w:hAnsi="Arial;sans-serif"/>
                  <w:b w:val="false"/>
                  <w:sz w:val="20"/>
                  <w:u w:val="single"/>
                </w:rPr>
                <w:t>Continuing Directors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10</w:t>
            </w:r>
          </w:p>
        </w:tc>
      </w:tr>
      <w:tr>
        <w:trPr/>
        <w:tc>
          <w:tcPr>
            <w:tcW w:w="9441" w:type="dxa"/>
            <w:tcBorders/>
            <w:shd w:fill="auto" w:val="clear"/>
            <w:vAlign w:val="center"/>
          </w:tcPr>
          <w:p>
            <w:pPr>
              <w:pStyle w:val="TableContents"/>
              <w:spacing w:before="0" w:after="0"/>
              <w:ind w:left="400" w:right="0" w:hanging="0"/>
              <w:jc w:val="left"/>
              <w:rPr/>
            </w:pPr>
            <w:hyperlink w:anchor="family_relationships">
              <w:r>
                <w:rPr>
                  <w:rStyle w:val="InternetLink"/>
                  <w:rFonts w:ascii="Arial;sans-serif" w:hAnsi="Arial;sans-serif"/>
                  <w:b w:val="false"/>
                  <w:sz w:val="20"/>
                  <w:u w:val="single"/>
                </w:rPr>
                <w:t>Family Relationships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12</w:t>
            </w:r>
          </w:p>
        </w:tc>
      </w:tr>
      <w:tr>
        <w:trPr/>
        <w:tc>
          <w:tcPr>
            <w:tcW w:w="9441" w:type="dxa"/>
            <w:tcBorders/>
            <w:shd w:fill="auto" w:val="clear"/>
            <w:vAlign w:val="center"/>
          </w:tcPr>
          <w:p>
            <w:pPr>
              <w:pStyle w:val="TableContents"/>
              <w:spacing w:before="0" w:after="0"/>
              <w:ind w:left="400" w:right="0" w:hanging="0"/>
              <w:jc w:val="left"/>
              <w:rPr/>
            </w:pPr>
            <w:hyperlink w:anchor="director_independence">
              <w:r>
                <w:rPr>
                  <w:rStyle w:val="InternetLink"/>
                  <w:rFonts w:ascii="Arial;sans-serif" w:hAnsi="Arial;sans-serif"/>
                  <w:b w:val="false"/>
                  <w:sz w:val="20"/>
                  <w:u w:val="single"/>
                </w:rPr>
                <w:t>Director Independence</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12</w:t>
            </w:r>
          </w:p>
        </w:tc>
      </w:tr>
      <w:tr>
        <w:trPr/>
        <w:tc>
          <w:tcPr>
            <w:tcW w:w="9441" w:type="dxa"/>
            <w:tcBorders/>
            <w:shd w:fill="auto" w:val="clear"/>
            <w:vAlign w:val="center"/>
          </w:tcPr>
          <w:p>
            <w:pPr>
              <w:pStyle w:val="TableContents"/>
              <w:spacing w:before="0" w:after="0"/>
              <w:ind w:left="400" w:right="0" w:hanging="0"/>
              <w:jc w:val="left"/>
              <w:rPr/>
            </w:pPr>
            <w:hyperlink w:anchor="board_leadership_structure">
              <w:r>
                <w:rPr>
                  <w:rStyle w:val="InternetLink"/>
                  <w:rFonts w:ascii="Arial;sans-serif" w:hAnsi="Arial;sans-serif"/>
                  <w:b w:val="false"/>
                  <w:sz w:val="20"/>
                  <w:u w:val="single"/>
                </w:rPr>
                <w:t>Board Leadership Structure</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13</w:t>
            </w:r>
          </w:p>
        </w:tc>
      </w:tr>
      <w:tr>
        <w:trPr/>
        <w:tc>
          <w:tcPr>
            <w:tcW w:w="9441" w:type="dxa"/>
            <w:tcBorders/>
            <w:shd w:fill="auto" w:val="clear"/>
            <w:vAlign w:val="center"/>
          </w:tcPr>
          <w:p>
            <w:pPr>
              <w:pStyle w:val="TableContents"/>
              <w:spacing w:before="0" w:after="0"/>
              <w:ind w:left="400" w:right="0" w:hanging="0"/>
              <w:jc w:val="left"/>
              <w:rPr/>
            </w:pPr>
            <w:hyperlink w:anchor="board_diversity">
              <w:r>
                <w:rPr>
                  <w:rStyle w:val="InternetLink"/>
                  <w:rFonts w:ascii="Arial;sans-serif" w:hAnsi="Arial;sans-serif"/>
                  <w:b w:val="false"/>
                  <w:sz w:val="20"/>
                  <w:u w:val="single"/>
                </w:rPr>
                <w:t>Board Diversity</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13</w:t>
            </w:r>
          </w:p>
        </w:tc>
      </w:tr>
      <w:tr>
        <w:trPr/>
        <w:tc>
          <w:tcPr>
            <w:tcW w:w="9441" w:type="dxa"/>
            <w:tcBorders/>
            <w:shd w:fill="auto" w:val="clear"/>
            <w:vAlign w:val="center"/>
          </w:tcPr>
          <w:p>
            <w:pPr>
              <w:pStyle w:val="TableContents"/>
              <w:spacing w:before="0" w:after="0"/>
              <w:ind w:left="400" w:right="0" w:hanging="0"/>
              <w:jc w:val="left"/>
              <w:rPr/>
            </w:pPr>
            <w:hyperlink w:anchor="role_of_the_board_in_risk_oversight">
              <w:r>
                <w:rPr>
                  <w:rStyle w:val="InternetLink"/>
                  <w:rFonts w:ascii="Arial;sans-serif" w:hAnsi="Arial;sans-serif"/>
                  <w:b w:val="false"/>
                  <w:sz w:val="20"/>
                  <w:u w:val="single"/>
                </w:rPr>
                <w:t>Role of the Board in Risk Oversight</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14</w:t>
            </w:r>
          </w:p>
        </w:tc>
      </w:tr>
      <w:tr>
        <w:trPr/>
        <w:tc>
          <w:tcPr>
            <w:tcW w:w="9441" w:type="dxa"/>
            <w:tcBorders/>
            <w:shd w:fill="auto" w:val="clear"/>
            <w:vAlign w:val="center"/>
          </w:tcPr>
          <w:p>
            <w:pPr>
              <w:pStyle w:val="TableContents"/>
              <w:spacing w:before="0" w:after="0"/>
              <w:ind w:left="403" w:right="0" w:hanging="0"/>
              <w:jc w:val="left"/>
              <w:rPr/>
            </w:pPr>
            <w:hyperlink w:anchor="esg_practices">
              <w:r>
                <w:rPr>
                  <w:rStyle w:val="InternetLink"/>
                  <w:rFonts w:ascii="Arial;sans-serif" w:hAnsi="Arial;sans-serif"/>
                  <w:b w:val="false"/>
                  <w:sz w:val="20"/>
                  <w:u w:val="single"/>
                </w:rPr>
                <w:t>Environmental, Social and Governance (ESG) Practices</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w:t>
            </w:r>
          </w:p>
        </w:tc>
      </w:tr>
      <w:tr>
        <w:trPr/>
        <w:tc>
          <w:tcPr>
            <w:tcW w:w="9441" w:type="dxa"/>
            <w:tcBorders/>
            <w:shd w:fill="auto" w:val="clear"/>
            <w:vAlign w:val="center"/>
          </w:tcPr>
          <w:p>
            <w:pPr>
              <w:pStyle w:val="TableContents"/>
              <w:spacing w:before="0" w:after="0"/>
              <w:ind w:left="0" w:right="0" w:hanging="0"/>
              <w:jc w:val="left"/>
              <w:rPr/>
            </w:pPr>
            <w:hyperlink w:anchor="committees_of_our_board_of_directors">
              <w:r>
                <w:rPr>
                  <w:rStyle w:val="InternetLink"/>
                  <w:rFonts w:ascii="Arial;sans-serif" w:hAnsi="Arial;sans-serif"/>
                  <w:b w:val="false"/>
                  <w:sz w:val="20"/>
                  <w:u w:val="single"/>
                </w:rPr>
                <w:t>Committees of our Board of Directors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15</w:t>
            </w:r>
          </w:p>
        </w:tc>
      </w:tr>
      <w:tr>
        <w:trPr/>
        <w:tc>
          <w:tcPr>
            <w:tcW w:w="9441" w:type="dxa"/>
            <w:tcBorders/>
            <w:shd w:fill="auto" w:val="clear"/>
            <w:vAlign w:val="center"/>
          </w:tcPr>
          <w:p>
            <w:pPr>
              <w:pStyle w:val="TableContents"/>
              <w:spacing w:before="0" w:after="0"/>
              <w:ind w:left="400" w:right="0" w:hanging="0"/>
              <w:jc w:val="left"/>
              <w:rPr/>
            </w:pPr>
            <w:hyperlink w:anchor="attendance_at_board_stockholder_meetings">
              <w:r>
                <w:rPr>
                  <w:rStyle w:val="InternetLink"/>
                  <w:rFonts w:ascii="Arial;sans-serif" w:hAnsi="Arial;sans-serif"/>
                  <w:b w:val="false"/>
                  <w:sz w:val="20"/>
                  <w:u w:val="single"/>
                </w:rPr>
                <w:t>Attendance at Board and Stockholder Meetings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16</w:t>
            </w:r>
          </w:p>
        </w:tc>
      </w:tr>
      <w:tr>
        <w:trPr/>
        <w:tc>
          <w:tcPr>
            <w:tcW w:w="9441" w:type="dxa"/>
            <w:tcBorders/>
            <w:shd w:fill="auto" w:val="clear"/>
            <w:vAlign w:val="center"/>
          </w:tcPr>
          <w:p>
            <w:pPr>
              <w:pStyle w:val="TableContents"/>
              <w:spacing w:before="0" w:after="0"/>
              <w:ind w:left="400" w:right="0" w:hanging="0"/>
              <w:jc w:val="left"/>
              <w:rPr/>
            </w:pPr>
            <w:hyperlink w:anchor="comp_committee_interlocks_and_insider_p">
              <w:r>
                <w:rPr>
                  <w:rStyle w:val="InternetLink"/>
                  <w:rFonts w:ascii="Arial;sans-serif" w:hAnsi="Arial;sans-serif"/>
                  <w:b w:val="false"/>
                  <w:sz w:val="20"/>
                  <w:u w:val="single"/>
                </w:rPr>
                <w:t>Compensation Committee Interlocks and Insider Participation</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17</w:t>
            </w:r>
          </w:p>
        </w:tc>
      </w:tr>
      <w:tr>
        <w:trPr/>
        <w:tc>
          <w:tcPr>
            <w:tcW w:w="9441" w:type="dxa"/>
            <w:tcBorders/>
            <w:shd w:fill="auto" w:val="clear"/>
            <w:vAlign w:val="center"/>
          </w:tcPr>
          <w:p>
            <w:pPr>
              <w:pStyle w:val="TableContents"/>
              <w:spacing w:before="0" w:after="0"/>
              <w:ind w:left="400" w:right="0" w:hanging="0"/>
              <w:jc w:val="left"/>
              <w:rPr/>
            </w:pPr>
            <w:hyperlink w:anchor="considerations_in_evaluating_directornom">
              <w:r>
                <w:rPr>
                  <w:rStyle w:val="InternetLink"/>
                  <w:rFonts w:ascii="Arial;sans-serif" w:hAnsi="Arial;sans-serif"/>
                  <w:b w:val="false"/>
                  <w:sz w:val="20"/>
                  <w:u w:val="single"/>
                </w:rPr>
                <w:t>Considerations in Evaluating Director Nominees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17</w:t>
            </w:r>
          </w:p>
        </w:tc>
      </w:tr>
      <w:tr>
        <w:trPr/>
        <w:tc>
          <w:tcPr>
            <w:tcW w:w="9441" w:type="dxa"/>
            <w:tcBorders/>
            <w:shd w:fill="auto" w:val="clear"/>
            <w:vAlign w:val="center"/>
          </w:tcPr>
          <w:p>
            <w:pPr>
              <w:pStyle w:val="TableContents"/>
              <w:spacing w:before="0" w:after="0"/>
              <w:ind w:left="400" w:right="0" w:hanging="0"/>
              <w:jc w:val="left"/>
              <w:rPr/>
            </w:pPr>
            <w:hyperlink w:anchor="stockholder_recommendations_for_bod_noms">
              <w:r>
                <w:rPr>
                  <w:rStyle w:val="InternetLink"/>
                  <w:rFonts w:ascii="Arial;sans-serif" w:hAnsi="Arial;sans-serif"/>
                  <w:b w:val="false"/>
                  <w:sz w:val="20"/>
                  <w:u w:val="single"/>
                </w:rPr>
                <w:t>Stockholder Recommendations for Nominations to the Board of Directors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18</w:t>
            </w:r>
          </w:p>
        </w:tc>
      </w:tr>
      <w:tr>
        <w:trPr/>
        <w:tc>
          <w:tcPr>
            <w:tcW w:w="9441" w:type="dxa"/>
            <w:tcBorders/>
            <w:shd w:fill="auto" w:val="clear"/>
            <w:vAlign w:val="center"/>
          </w:tcPr>
          <w:p>
            <w:pPr>
              <w:pStyle w:val="TableContents"/>
              <w:spacing w:before="0" w:after="0"/>
              <w:ind w:left="400" w:right="0" w:hanging="0"/>
              <w:jc w:val="left"/>
              <w:rPr/>
            </w:pPr>
            <w:hyperlink w:anchor="communications_with_the_board_of_direct">
              <w:r>
                <w:rPr>
                  <w:rStyle w:val="InternetLink"/>
                  <w:rFonts w:ascii="Arial;sans-serif" w:hAnsi="Arial;sans-serif"/>
                  <w:b w:val="false"/>
                  <w:sz w:val="20"/>
                  <w:u w:val="single"/>
                </w:rPr>
                <w:t>Communications with the Board of Directors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18</w:t>
            </w:r>
          </w:p>
        </w:tc>
      </w:tr>
      <w:tr>
        <w:trPr/>
        <w:tc>
          <w:tcPr>
            <w:tcW w:w="9441" w:type="dxa"/>
            <w:tcBorders/>
            <w:shd w:fill="auto" w:val="clear"/>
            <w:vAlign w:val="center"/>
          </w:tcPr>
          <w:p>
            <w:pPr>
              <w:pStyle w:val="TableContents"/>
              <w:spacing w:before="0" w:after="0"/>
              <w:ind w:left="400" w:right="0" w:hanging="0"/>
              <w:jc w:val="left"/>
              <w:rPr/>
            </w:pPr>
            <w:hyperlink w:anchor="corp_governance_guidelines_code_of_condu">
              <w:r>
                <w:rPr>
                  <w:rStyle w:val="InternetLink"/>
                  <w:rFonts w:ascii="Arial;sans-serif" w:hAnsi="Arial;sans-serif"/>
                  <w:b w:val="false"/>
                  <w:sz w:val="20"/>
                  <w:u w:val="single"/>
                </w:rPr>
                <w:t>Corporate Governance Guidelines and Code of Business Conduct and Ethics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18</w:t>
            </w:r>
          </w:p>
        </w:tc>
      </w:tr>
      <w:tr>
        <w:trPr/>
        <w:tc>
          <w:tcPr>
            <w:tcW w:w="9441" w:type="dxa"/>
            <w:tcBorders/>
            <w:shd w:fill="auto" w:val="clear"/>
            <w:vAlign w:val="center"/>
          </w:tcPr>
          <w:p>
            <w:pPr>
              <w:pStyle w:val="TableContents"/>
              <w:spacing w:before="0" w:after="0"/>
              <w:ind w:left="400" w:right="0" w:hanging="0"/>
              <w:jc w:val="left"/>
              <w:rPr/>
            </w:pPr>
            <w:hyperlink w:anchor="director_compensation">
              <w:r>
                <w:rPr>
                  <w:rStyle w:val="InternetLink"/>
                  <w:rFonts w:ascii="Arial;sans-serif" w:hAnsi="Arial;sans-serif"/>
                  <w:b w:val="false"/>
                  <w:sz w:val="20"/>
                  <w:u w:val="single"/>
                </w:rPr>
                <w:t>Director Compensation</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r>
      <w:tr>
        <w:trPr/>
        <w:tc>
          <w:tcPr>
            <w:tcW w:w="9441" w:type="dxa"/>
            <w:tcBorders/>
            <w:shd w:fill="auto" w:val="clear"/>
            <w:vAlign w:val="center"/>
          </w:tcPr>
          <w:p>
            <w:pPr>
              <w:pStyle w:val="TableContents"/>
              <w:spacing w:before="0" w:after="0"/>
              <w:ind w:left="0" w:right="0" w:hanging="0"/>
              <w:jc w:val="left"/>
              <w:rPr/>
            </w:pPr>
            <w:hyperlink w:anchor="proposal_no_1">
              <w:r>
                <w:rPr>
                  <w:rStyle w:val="InternetLink"/>
                  <w:rFonts w:ascii="Arial;sans-serif" w:hAnsi="Arial;sans-serif"/>
                  <w:b w:val="false"/>
                  <w:sz w:val="20"/>
                  <w:u w:val="single"/>
                </w:rPr>
                <w:t>PROPOSAL NO. 1—ELECTION OF DIRECTORS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23</w:t>
            </w:r>
          </w:p>
        </w:tc>
      </w:tr>
      <w:tr>
        <w:trPr/>
        <w:tc>
          <w:tcPr>
            <w:tcW w:w="9441" w:type="dxa"/>
            <w:tcBorders/>
            <w:shd w:fill="auto" w:val="clear"/>
            <w:vAlign w:val="center"/>
          </w:tcPr>
          <w:p>
            <w:pPr>
              <w:pStyle w:val="TableContents"/>
              <w:spacing w:before="0" w:after="0"/>
              <w:ind w:left="400" w:right="0" w:hanging="0"/>
              <w:jc w:val="left"/>
              <w:rPr/>
            </w:pPr>
            <w:hyperlink w:anchor="nominees">
              <w:r>
                <w:rPr>
                  <w:rStyle w:val="InternetLink"/>
                  <w:rFonts w:ascii="Arial;sans-serif" w:hAnsi="Arial;sans-serif"/>
                  <w:b w:val="false"/>
                  <w:sz w:val="20"/>
                  <w:u w:val="single"/>
                </w:rPr>
                <w:t>Nominees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23</w:t>
            </w:r>
          </w:p>
        </w:tc>
      </w:tr>
      <w:tr>
        <w:trPr/>
        <w:tc>
          <w:tcPr>
            <w:tcW w:w="9441" w:type="dxa"/>
            <w:tcBorders/>
            <w:shd w:fill="auto" w:val="clear"/>
            <w:vAlign w:val="center"/>
          </w:tcPr>
          <w:p>
            <w:pPr>
              <w:pStyle w:val="TableContents"/>
              <w:spacing w:before="0" w:after="0"/>
              <w:ind w:left="400" w:right="0" w:hanging="0"/>
              <w:jc w:val="left"/>
              <w:rPr/>
            </w:pPr>
            <w:hyperlink w:anchor="vote">
              <w:r>
                <w:rPr>
                  <w:rStyle w:val="InternetLink"/>
                  <w:rFonts w:ascii="Arial;sans-serif" w:hAnsi="Arial;sans-serif"/>
                  <w:b w:val="false"/>
                  <w:sz w:val="20"/>
                  <w:u w:val="single"/>
                </w:rPr>
                <w:t>Vote Required</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w:t>
            </w:r>
          </w:p>
        </w:tc>
      </w:tr>
      <w:tr>
        <w:trPr/>
        <w:tc>
          <w:tcPr>
            <w:tcW w:w="9441" w:type="dxa"/>
            <w:tcBorders/>
            <w:shd w:fill="auto" w:val="clear"/>
            <w:vAlign w:val="center"/>
          </w:tcPr>
          <w:p>
            <w:pPr>
              <w:pStyle w:val="TableContents"/>
              <w:spacing w:before="0" w:after="0"/>
              <w:ind w:left="0" w:right="0" w:hanging="0"/>
              <w:jc w:val="left"/>
              <w:rPr/>
            </w:pPr>
            <w:hyperlink w:anchor="proposal_no_2">
              <w:r>
                <w:rPr>
                  <w:rStyle w:val="InternetLink"/>
                  <w:rFonts w:ascii="Arial;sans-serif" w:hAnsi="Arial;sans-serif"/>
                  <w:b w:val="false"/>
                  <w:sz w:val="20"/>
                  <w:u w:val="single"/>
                </w:rPr>
                <w:t>PROPOSAL NO. 2—ADVISORY VOTE TO APPROVE NAMED EXECUTIVE OFFICER COMPENSATION</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w:t>
            </w:r>
          </w:p>
        </w:tc>
      </w:tr>
      <w:tr>
        <w:trPr/>
        <w:tc>
          <w:tcPr>
            <w:tcW w:w="9441" w:type="dxa"/>
            <w:tcBorders/>
            <w:shd w:fill="auto" w:val="clear"/>
            <w:vAlign w:val="center"/>
          </w:tcPr>
          <w:p>
            <w:pPr>
              <w:pStyle w:val="TableContents"/>
              <w:spacing w:before="0" w:after="0"/>
              <w:ind w:left="0" w:right="0" w:hanging="0"/>
              <w:jc w:val="left"/>
              <w:rPr/>
            </w:pPr>
            <w:hyperlink w:anchor="proposal_no_3">
              <w:r>
                <w:rPr>
                  <w:rStyle w:val="InternetLink"/>
                  <w:rFonts w:ascii="Arial;sans-serif" w:hAnsi="Arial;sans-serif"/>
                  <w:b w:val="false"/>
                  <w:sz w:val="20"/>
                  <w:u w:val="single"/>
                </w:rPr>
                <w:t>PROPOSAL NO. 3—RATIFICATION OF APPOINTMENT OF INDEPENDENT REGISTERED PUBLIC ACCOUNTING FIRM</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25</w:t>
            </w:r>
          </w:p>
        </w:tc>
      </w:tr>
      <w:tr>
        <w:trPr/>
        <w:tc>
          <w:tcPr>
            <w:tcW w:w="9441" w:type="dxa"/>
            <w:tcBorders/>
            <w:shd w:fill="auto" w:val="clear"/>
            <w:vAlign w:val="center"/>
          </w:tcPr>
          <w:p>
            <w:pPr>
              <w:pStyle w:val="TableContents"/>
              <w:spacing w:before="0" w:after="0"/>
              <w:ind w:left="403" w:right="0" w:hanging="0"/>
              <w:jc w:val="left"/>
              <w:rPr/>
            </w:pPr>
            <w:hyperlink w:anchor="audit_firm_fees_paid">
              <w:r>
                <w:rPr>
                  <w:rStyle w:val="InternetLink"/>
                  <w:rFonts w:ascii="Arial;sans-serif" w:hAnsi="Arial;sans-serif"/>
                  <w:b w:val="false"/>
                  <w:sz w:val="20"/>
                  <w:u w:val="single"/>
                </w:rPr>
                <w:t>Fees Paid to the Independent Registered Public Accounting Firm</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25</w:t>
            </w:r>
          </w:p>
        </w:tc>
      </w:tr>
      <w:tr>
        <w:trPr/>
        <w:tc>
          <w:tcPr>
            <w:tcW w:w="9441" w:type="dxa"/>
            <w:tcBorders/>
            <w:shd w:fill="auto" w:val="clear"/>
            <w:vAlign w:val="center"/>
          </w:tcPr>
          <w:p>
            <w:pPr>
              <w:pStyle w:val="TableContents"/>
              <w:spacing w:before="0" w:after="0"/>
              <w:ind w:left="0" w:right="0" w:firstLine="403"/>
              <w:jc w:val="left"/>
              <w:rPr/>
            </w:pPr>
            <w:hyperlink w:anchor="auditor_independence">
              <w:r>
                <w:rPr>
                  <w:rStyle w:val="InternetLink"/>
                  <w:rFonts w:ascii="Arial;sans-serif" w:hAnsi="Arial;sans-serif"/>
                  <w:b w:val="false"/>
                  <w:sz w:val="20"/>
                  <w:u w:val="single"/>
                </w:rPr>
                <w:t>Auditor Independence</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25</w:t>
            </w:r>
          </w:p>
        </w:tc>
      </w:tr>
      <w:tr>
        <w:trPr/>
        <w:tc>
          <w:tcPr>
            <w:tcW w:w="9441" w:type="dxa"/>
            <w:tcBorders/>
            <w:shd w:fill="auto" w:val="clear"/>
            <w:vAlign w:val="center"/>
          </w:tcPr>
          <w:p>
            <w:pPr>
              <w:pStyle w:val="TableContents"/>
              <w:spacing w:before="0" w:after="0"/>
              <w:ind w:left="403" w:right="0" w:hanging="0"/>
              <w:jc w:val="left"/>
              <w:rPr/>
            </w:pPr>
            <w:hyperlink w:anchor="ac_policy_audit_service_preapproval">
              <w:r>
                <w:rPr>
                  <w:rStyle w:val="InternetLink"/>
                  <w:rFonts w:ascii="Arial;sans-serif" w:hAnsi="Arial;sans-serif"/>
                  <w:b w:val="false"/>
                  <w:sz w:val="20"/>
                  <w:u w:val="single"/>
                </w:rPr>
                <w:t>Audit Committee Policy on Pre-Approval of Audit and Permissible Non-Audit Services of Independent Registered Public Accounting Firm</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26</w:t>
            </w:r>
          </w:p>
        </w:tc>
      </w:tr>
      <w:tr>
        <w:trPr/>
        <w:tc>
          <w:tcPr>
            <w:tcW w:w="9441" w:type="dxa"/>
            <w:tcBorders/>
            <w:shd w:fill="auto" w:val="clear"/>
            <w:vAlign w:val="center"/>
          </w:tcPr>
          <w:p>
            <w:pPr>
              <w:pStyle w:val="TableContents"/>
              <w:spacing w:before="0" w:after="0"/>
              <w:ind w:left="400" w:right="0" w:hanging="0"/>
              <w:jc w:val="left"/>
              <w:rPr/>
            </w:pPr>
            <w:hyperlink w:anchor="audit_firm_vote">
              <w:r>
                <w:rPr>
                  <w:rStyle w:val="InternetLink"/>
                  <w:rFonts w:ascii="Arial;sans-serif" w:hAnsi="Arial;sans-serif"/>
                  <w:b w:val="false"/>
                  <w:sz w:val="20"/>
                  <w:u w:val="single"/>
                </w:rPr>
                <w:t>Vote Required</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r>
      <w:tr>
        <w:trPr/>
        <w:tc>
          <w:tcPr>
            <w:tcW w:w="9441" w:type="dxa"/>
            <w:tcBorders/>
            <w:shd w:fill="auto" w:val="clear"/>
            <w:vAlign w:val="center"/>
          </w:tcPr>
          <w:p>
            <w:pPr>
              <w:pStyle w:val="TableContents"/>
              <w:spacing w:before="0" w:after="0"/>
              <w:ind w:left="0" w:right="0" w:hanging="0"/>
              <w:jc w:val="left"/>
              <w:rPr/>
            </w:pPr>
            <w:hyperlink w:anchor="audit_committee_report">
              <w:r>
                <w:rPr>
                  <w:rStyle w:val="InternetLink"/>
                  <w:rFonts w:ascii="Arial;sans-serif" w:hAnsi="Arial;sans-serif"/>
                  <w:b w:val="false"/>
                  <w:sz w:val="20"/>
                  <w:u w:val="single"/>
                </w:rPr>
                <w:t>AUDIT COMMITTEE REPORT</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w:t>
            </w:r>
          </w:p>
        </w:tc>
      </w:tr>
      <w:tr>
        <w:trPr/>
        <w:tc>
          <w:tcPr>
            <w:tcW w:w="9441" w:type="dxa"/>
            <w:tcBorders/>
            <w:shd w:fill="auto" w:val="clear"/>
            <w:vAlign w:val="center"/>
          </w:tcPr>
          <w:p>
            <w:pPr>
              <w:pStyle w:val="TableContents"/>
              <w:spacing w:before="0" w:after="0"/>
              <w:ind w:left="0" w:right="0" w:hanging="0"/>
              <w:jc w:val="left"/>
              <w:rPr/>
            </w:pPr>
            <w:hyperlink w:anchor="executive_officers">
              <w:r>
                <w:rPr>
                  <w:rStyle w:val="InternetLink"/>
                  <w:rFonts w:ascii="Arial;sans-serif" w:hAnsi="Arial;sans-serif"/>
                  <w:b w:val="false"/>
                  <w:sz w:val="20"/>
                  <w:u w:val="single"/>
                </w:rPr>
                <w:t>EXECUTIVE OFFICERS</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w:t>
            </w:r>
          </w:p>
        </w:tc>
      </w:tr>
      <w:tr>
        <w:trPr/>
        <w:tc>
          <w:tcPr>
            <w:tcW w:w="9441" w:type="dxa"/>
            <w:tcBorders/>
            <w:shd w:fill="auto" w:val="clear"/>
            <w:vAlign w:val="center"/>
          </w:tcPr>
          <w:p>
            <w:pPr>
              <w:pStyle w:val="TableContents"/>
              <w:spacing w:before="0" w:after="0"/>
              <w:ind w:left="0" w:right="0" w:hanging="0"/>
              <w:jc w:val="left"/>
              <w:rPr/>
            </w:pPr>
            <w:hyperlink w:anchor="executive_compensation">
              <w:r>
                <w:rPr>
                  <w:rStyle w:val="InternetLink"/>
                  <w:rFonts w:ascii="Arial;sans-serif" w:hAnsi="Arial;sans-serif"/>
                  <w:b w:val="false"/>
                  <w:sz w:val="20"/>
                  <w:u w:val="single"/>
                </w:rPr>
                <w:t>EXECUTIVE COMPENSATION</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29</w:t>
            </w:r>
          </w:p>
        </w:tc>
      </w:tr>
      <w:tr>
        <w:trPr/>
        <w:tc>
          <w:tcPr>
            <w:tcW w:w="9441" w:type="dxa"/>
            <w:tcBorders/>
            <w:shd w:fill="auto" w:val="clear"/>
            <w:vAlign w:val="center"/>
          </w:tcPr>
          <w:p>
            <w:pPr>
              <w:pStyle w:val="TableContents"/>
              <w:spacing w:before="0" w:after="0"/>
              <w:ind w:left="403" w:right="0" w:hanging="0"/>
              <w:jc w:val="left"/>
              <w:rPr/>
            </w:pPr>
            <w:hyperlink w:anchor="named_executive_officers">
              <w:r>
                <w:rPr>
                  <w:rStyle w:val="InternetLink"/>
                  <w:rFonts w:ascii="Arial;sans-serif" w:hAnsi="Arial;sans-serif"/>
                  <w:b w:val="false"/>
                  <w:sz w:val="20"/>
                  <w:u w:val="single"/>
                </w:rPr>
                <w:t>Named Executive Officers</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29</w:t>
            </w:r>
          </w:p>
        </w:tc>
      </w:tr>
      <w:tr>
        <w:trPr/>
        <w:tc>
          <w:tcPr>
            <w:tcW w:w="9441" w:type="dxa"/>
            <w:tcBorders/>
            <w:shd w:fill="auto" w:val="clear"/>
            <w:vAlign w:val="center"/>
          </w:tcPr>
          <w:p>
            <w:pPr>
              <w:pStyle w:val="TableContents"/>
              <w:spacing w:before="0" w:after="0"/>
              <w:ind w:left="403" w:right="0" w:hanging="0"/>
              <w:jc w:val="left"/>
              <w:rPr/>
            </w:pPr>
            <w:hyperlink w:anchor="executive_comp_summary">
              <w:r>
                <w:rPr>
                  <w:rStyle w:val="InternetLink"/>
                  <w:rFonts w:ascii="Arial;sans-serif" w:hAnsi="Arial;sans-serif"/>
                  <w:b w:val="false"/>
                  <w:sz w:val="20"/>
                  <w:u w:val="single"/>
                </w:rPr>
                <w:t>Summary</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29</w:t>
            </w:r>
          </w:p>
        </w:tc>
      </w:tr>
      <w:tr>
        <w:trPr/>
        <w:tc>
          <w:tcPr>
            <w:tcW w:w="9441" w:type="dxa"/>
            <w:tcBorders/>
            <w:shd w:fill="auto" w:val="clear"/>
            <w:vAlign w:val="center"/>
          </w:tcPr>
          <w:p>
            <w:pPr>
              <w:pStyle w:val="TableContents"/>
              <w:spacing w:before="0" w:after="0"/>
              <w:ind w:left="403" w:right="0" w:hanging="0"/>
              <w:jc w:val="left"/>
              <w:rPr/>
            </w:pPr>
            <w:hyperlink w:anchor="compensation_philosophy">
              <w:r>
                <w:rPr>
                  <w:rStyle w:val="InternetLink"/>
                  <w:rFonts w:ascii="Arial;sans-serif" w:hAnsi="Arial;sans-serif"/>
                  <w:b w:val="false"/>
                  <w:sz w:val="20"/>
                  <w:u w:val="single"/>
                </w:rPr>
                <w:t>Compensation Philosophy</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29</w:t>
            </w:r>
          </w:p>
        </w:tc>
      </w:tr>
      <w:tr>
        <w:trPr/>
        <w:tc>
          <w:tcPr>
            <w:tcW w:w="9441" w:type="dxa"/>
            <w:tcBorders/>
            <w:shd w:fill="auto" w:val="clear"/>
            <w:vAlign w:val="center"/>
          </w:tcPr>
          <w:p>
            <w:pPr>
              <w:pStyle w:val="TableContents"/>
              <w:spacing w:before="0" w:after="0"/>
              <w:ind w:left="403" w:right="0" w:hanging="0"/>
              <w:jc w:val="left"/>
              <w:rPr/>
            </w:pPr>
            <w:hyperlink w:anchor="say_on_pay_voting">
              <w:r>
                <w:rPr>
                  <w:rStyle w:val="InternetLink"/>
                  <w:u w:val="single"/>
                </w:rPr>
                <w:t>“</w:t>
              </w:r>
            </w:hyperlink>
            <w:hyperlink w:anchor="say_on_pay_voting">
              <w:r>
                <w:rPr>
                  <w:rStyle w:val="InternetLink"/>
                  <w:rFonts w:ascii="Arial;sans-serif" w:hAnsi="Arial;sans-serif"/>
                  <w:b w:val="false"/>
                  <w:sz w:val="20"/>
                  <w:u w:val="single"/>
                </w:rPr>
                <w:t>Say-on-Pay” Voting</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30</w:t>
            </w:r>
          </w:p>
        </w:tc>
      </w:tr>
      <w:tr>
        <w:trPr/>
        <w:tc>
          <w:tcPr>
            <w:tcW w:w="9441" w:type="dxa"/>
            <w:tcBorders/>
            <w:shd w:fill="auto" w:val="clear"/>
            <w:vAlign w:val="center"/>
          </w:tcPr>
          <w:p>
            <w:pPr>
              <w:pStyle w:val="TableContents"/>
              <w:spacing w:before="0" w:after="0"/>
              <w:ind w:left="403" w:right="0" w:hanging="0"/>
              <w:jc w:val="left"/>
              <w:rPr/>
            </w:pPr>
            <w:hyperlink w:anchor="pay_components">
              <w:r>
                <w:rPr>
                  <w:rStyle w:val="InternetLink"/>
                  <w:rFonts w:ascii="Arial;sans-serif" w:hAnsi="Arial;sans-serif"/>
                  <w:b w:val="false"/>
                  <w:sz w:val="20"/>
                  <w:u w:val="single"/>
                </w:rPr>
                <w:t>Pay Components</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32</w:t>
            </w:r>
          </w:p>
        </w:tc>
      </w:tr>
      <w:tr>
        <w:trPr/>
        <w:tc>
          <w:tcPr>
            <w:tcW w:w="9441" w:type="dxa"/>
            <w:tcBorders/>
            <w:shd w:fill="auto" w:val="clear"/>
            <w:vAlign w:val="center"/>
          </w:tcPr>
          <w:p>
            <w:pPr>
              <w:pStyle w:val="TableContents"/>
              <w:spacing w:before="0" w:after="0"/>
              <w:ind w:left="403" w:right="0" w:hanging="0"/>
              <w:jc w:val="left"/>
              <w:rPr/>
            </w:pPr>
            <w:hyperlink w:anchor="severance_and_change_control_protections">
              <w:r>
                <w:rPr>
                  <w:rStyle w:val="InternetLink"/>
                  <w:rFonts w:ascii="Arial;sans-serif" w:hAnsi="Arial;sans-serif"/>
                  <w:b w:val="false"/>
                  <w:sz w:val="20"/>
                  <w:u w:val="single"/>
                </w:rPr>
                <w:t>Severance and Change in Control Protections</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33</w:t>
            </w:r>
          </w:p>
        </w:tc>
      </w:tr>
      <w:tr>
        <w:trPr/>
        <w:tc>
          <w:tcPr>
            <w:tcW w:w="9441" w:type="dxa"/>
            <w:tcBorders/>
            <w:shd w:fill="auto" w:val="clear"/>
            <w:vAlign w:val="center"/>
          </w:tcPr>
          <w:p>
            <w:pPr>
              <w:pStyle w:val="TableContents"/>
              <w:spacing w:before="0" w:after="0"/>
              <w:ind w:left="403" w:right="0" w:hanging="0"/>
              <w:jc w:val="left"/>
              <w:rPr/>
            </w:pPr>
            <w:hyperlink w:anchor="other_compensation">
              <w:r>
                <w:rPr>
                  <w:rStyle w:val="InternetLink"/>
                  <w:rFonts w:ascii="Arial;sans-serif" w:hAnsi="Arial;sans-serif"/>
                  <w:b w:val="false"/>
                  <w:sz w:val="20"/>
                  <w:u w:val="single"/>
                </w:rPr>
                <w:t>Other Compensation</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33</w:t>
            </w:r>
          </w:p>
        </w:tc>
      </w:tr>
      <w:tr>
        <w:trPr/>
        <w:tc>
          <w:tcPr>
            <w:tcW w:w="9441" w:type="dxa"/>
            <w:tcBorders/>
            <w:shd w:fill="auto" w:val="clear"/>
            <w:vAlign w:val="center"/>
          </w:tcPr>
          <w:p>
            <w:pPr>
              <w:pStyle w:val="TableContents"/>
              <w:spacing w:before="0" w:after="0"/>
              <w:ind w:left="403" w:right="0" w:hanging="0"/>
              <w:jc w:val="left"/>
              <w:rPr/>
            </w:pPr>
            <w:hyperlink w:anchor="additional_policies_and_practices">
              <w:r>
                <w:rPr>
                  <w:rStyle w:val="InternetLink"/>
                  <w:rFonts w:ascii="Arial;sans-serif" w:hAnsi="Arial;sans-serif"/>
                  <w:b w:val="false"/>
                  <w:sz w:val="20"/>
                  <w:u w:val="single"/>
                </w:rPr>
                <w:t>Additional Policies and Practices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34</w:t>
            </w:r>
          </w:p>
        </w:tc>
      </w:tr>
      <w:tr>
        <w:trPr/>
        <w:tc>
          <w:tcPr>
            <w:tcW w:w="9441" w:type="dxa"/>
            <w:tcBorders/>
            <w:shd w:fill="auto" w:val="clear"/>
            <w:vAlign w:val="center"/>
          </w:tcPr>
          <w:p>
            <w:pPr>
              <w:pStyle w:val="TableContents"/>
              <w:spacing w:before="0" w:after="0"/>
              <w:ind w:left="400" w:right="0" w:hanging="0"/>
              <w:jc w:val="left"/>
              <w:rPr/>
            </w:pPr>
            <w:hyperlink w:anchor="summary_compensation_table">
              <w:r>
                <w:rPr>
                  <w:rStyle w:val="InternetLink"/>
                  <w:rFonts w:ascii="Arial;sans-serif" w:hAnsi="Arial;sans-serif"/>
                  <w:b w:val="false"/>
                  <w:sz w:val="20"/>
                  <w:u w:val="single"/>
                </w:rPr>
                <w:t>Summary Compensation Table</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35</w:t>
            </w:r>
          </w:p>
        </w:tc>
      </w:tr>
      <w:tr>
        <w:trPr/>
        <w:tc>
          <w:tcPr>
            <w:tcW w:w="9441" w:type="dxa"/>
            <w:tcBorders/>
            <w:shd w:fill="auto" w:val="clear"/>
            <w:vAlign w:val="center"/>
          </w:tcPr>
          <w:p>
            <w:pPr>
              <w:pStyle w:val="TableContents"/>
              <w:spacing w:before="0" w:after="0"/>
              <w:ind w:left="400" w:right="0" w:hanging="0"/>
              <w:jc w:val="left"/>
              <w:rPr/>
            </w:pPr>
            <w:hyperlink w:anchor="outstanding_equity_at_ye">
              <w:r>
                <w:rPr>
                  <w:rStyle w:val="InternetLink"/>
                  <w:rFonts w:ascii="Arial;sans-serif" w:hAnsi="Arial;sans-serif"/>
                  <w:b w:val="false"/>
                  <w:sz w:val="20"/>
                  <w:u w:val="single"/>
                </w:rPr>
                <w:t>Outstanding Equity Awards at 2022 Year-End</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36</w:t>
            </w:r>
          </w:p>
        </w:tc>
      </w:tr>
      <w:tr>
        <w:trPr/>
        <w:tc>
          <w:tcPr>
            <w:tcW w:w="9441" w:type="dxa"/>
            <w:tcBorders/>
            <w:shd w:fill="auto" w:val="clear"/>
            <w:vAlign w:val="center"/>
          </w:tcPr>
          <w:p>
            <w:pPr>
              <w:pStyle w:val="TableContents"/>
              <w:spacing w:before="0" w:after="0"/>
              <w:ind w:left="403" w:right="0" w:hanging="0"/>
              <w:jc w:val="left"/>
              <w:rPr/>
            </w:pPr>
            <w:hyperlink w:anchor="executive_employment_letter_agreements">
              <w:r>
                <w:rPr>
                  <w:rStyle w:val="InternetLink"/>
                  <w:rFonts w:ascii="Arial;sans-serif" w:hAnsi="Arial;sans-serif"/>
                  <w:b w:val="false"/>
                  <w:sz w:val="20"/>
                  <w:u w:val="single"/>
                </w:rPr>
                <w:t>Executive Employment Letter Agreements</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37</w:t>
            </w:r>
          </w:p>
        </w:tc>
      </w:tr>
      <w:tr>
        <w:trPr/>
        <w:tc>
          <w:tcPr>
            <w:tcW w:w="9441" w:type="dxa"/>
            <w:tcBorders/>
            <w:shd w:fill="auto" w:val="clear"/>
            <w:vAlign w:val="center"/>
          </w:tcPr>
          <w:p>
            <w:pPr>
              <w:pStyle w:val="TableContents"/>
              <w:spacing w:before="0" w:after="0"/>
              <w:ind w:left="403" w:right="0" w:hanging="0"/>
              <w:jc w:val="left"/>
              <w:rPr/>
            </w:pPr>
            <w:hyperlink w:anchor="change_in_control_and_severance">
              <w:r>
                <w:rPr>
                  <w:rStyle w:val="InternetLink"/>
                  <w:rFonts w:ascii="Arial;sans-serif" w:hAnsi="Arial;sans-serif"/>
                  <w:b w:val="false"/>
                  <w:sz w:val="20"/>
                  <w:u w:val="single"/>
                </w:rPr>
                <w:t>Change in Control and Severance Agreements</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37</w:t>
            </w:r>
          </w:p>
        </w:tc>
      </w:tr>
      <w:tr>
        <w:trPr/>
        <w:tc>
          <w:tcPr>
            <w:tcW w:w="9441" w:type="dxa"/>
            <w:tcBorders/>
            <w:shd w:fill="auto" w:val="clear"/>
            <w:vAlign w:val="center"/>
          </w:tcPr>
          <w:p>
            <w:pPr>
              <w:pStyle w:val="TableContents"/>
              <w:spacing w:before="0" w:after="0"/>
              <w:ind w:left="403" w:right="0" w:hanging="0"/>
              <w:jc w:val="left"/>
              <w:rPr/>
            </w:pPr>
            <w:hyperlink w:anchor="executive_incentive_compensation_plan">
              <w:r>
                <w:rPr>
                  <w:rStyle w:val="InternetLink"/>
                  <w:rFonts w:ascii="Arial;sans-serif" w:hAnsi="Arial;sans-serif"/>
                  <w:b w:val="false"/>
                  <w:sz w:val="20"/>
                  <w:u w:val="single"/>
                </w:rPr>
                <w:t>Executive Incentive Compensation Plan</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39</w:t>
            </w:r>
          </w:p>
        </w:tc>
      </w:tr>
      <w:tr>
        <w:trPr/>
        <w:tc>
          <w:tcPr>
            <w:tcW w:w="9441" w:type="dxa"/>
            <w:tcBorders/>
            <w:shd w:fill="auto" w:val="clear"/>
            <w:vAlign w:val="center"/>
          </w:tcPr>
          <w:p>
            <w:pPr>
              <w:pStyle w:val="TableContents"/>
              <w:spacing w:before="0" w:after="0"/>
              <w:ind w:left="403" w:right="0" w:hanging="0"/>
              <w:jc w:val="left"/>
              <w:rPr/>
            </w:pPr>
            <w:hyperlink w:anchor="equity_comp_plan_info">
              <w:r>
                <w:rPr>
                  <w:rStyle w:val="InternetLink"/>
                  <w:rFonts w:ascii="Arial;sans-serif" w:hAnsi="Arial;sans-serif"/>
                  <w:b w:val="false"/>
                  <w:sz w:val="20"/>
                  <w:u w:val="single"/>
                </w:rPr>
                <w:t>Equity Compensation Plan Information</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40</w:t>
            </w:r>
          </w:p>
        </w:tc>
      </w:tr>
      <w:tr>
        <w:trPr/>
        <w:tc>
          <w:tcPr>
            <w:tcW w:w="9441" w:type="dxa"/>
            <w:tcBorders/>
            <w:shd w:fill="auto" w:val="clear"/>
            <w:vAlign w:val="center"/>
          </w:tcPr>
          <w:p>
            <w:pPr>
              <w:pStyle w:val="TableContents"/>
              <w:spacing w:before="0" w:after="0"/>
              <w:ind w:left="403" w:right="0" w:hanging="0"/>
              <w:jc w:val="left"/>
              <w:rPr/>
            </w:pPr>
            <w:hyperlink w:anchor="pay_versus_performance">
              <w:r>
                <w:rPr>
                  <w:rStyle w:val="InternetLink"/>
                  <w:rFonts w:ascii="Arial;sans-serif" w:hAnsi="Arial;sans-serif"/>
                  <w:b w:val="false"/>
                  <w:sz w:val="20"/>
                  <w:u w:val="single"/>
                </w:rPr>
                <w:t>Pay Versus Performance</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w:t>
            </w:r>
          </w:p>
        </w:tc>
      </w:tr>
      <w:tr>
        <w:trPr/>
        <w:tc>
          <w:tcPr>
            <w:tcW w:w="9441" w:type="dxa"/>
            <w:tcBorders/>
            <w:shd w:fill="auto" w:val="clear"/>
            <w:vAlign w:val="center"/>
          </w:tcPr>
          <w:p>
            <w:pPr>
              <w:pStyle w:val="TableContents"/>
              <w:spacing w:before="0" w:after="0"/>
              <w:ind w:left="0" w:right="0" w:hanging="0"/>
              <w:jc w:val="left"/>
              <w:rPr/>
            </w:pPr>
            <w:hyperlink w:anchor="security_ownership_of_certain_beneficial">
              <w:r>
                <w:rPr>
                  <w:rStyle w:val="InternetLink"/>
                  <w:rFonts w:ascii="Arial;sans-serif" w:hAnsi="Arial;sans-serif"/>
                  <w:b w:val="false"/>
                  <w:sz w:val="20"/>
                  <w:u w:val="single"/>
                </w:rPr>
                <w:t>SECURITY OWNERSHIP OF CERTAIN BENEFICIAL OWNERS AND MANAGEMENT</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w:t>
            </w:r>
          </w:p>
        </w:tc>
      </w:tr>
      <w:tr>
        <w:trPr/>
        <w:tc>
          <w:tcPr>
            <w:tcW w:w="9441" w:type="dxa"/>
            <w:tcBorders/>
            <w:shd w:fill="auto" w:val="clear"/>
            <w:vAlign w:val="center"/>
          </w:tcPr>
          <w:p>
            <w:pPr>
              <w:pStyle w:val="TableContents"/>
              <w:spacing w:before="0" w:after="0"/>
              <w:ind w:left="0" w:right="0" w:hanging="0"/>
              <w:jc w:val="left"/>
              <w:rPr/>
            </w:pPr>
            <w:hyperlink w:anchor="certain_relationships_related_party">
              <w:r>
                <w:rPr>
                  <w:rStyle w:val="InternetLink"/>
                  <w:rFonts w:ascii="Arial;sans-serif" w:hAnsi="Arial;sans-serif"/>
                  <w:b w:val="false"/>
                  <w:sz w:val="20"/>
                  <w:u w:val="single"/>
                </w:rPr>
                <w:t>CERTAIN RELATIONSHIPS, RELATED PARTY AND OTHER TRANSACTIONS</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47</w:t>
            </w:r>
          </w:p>
        </w:tc>
      </w:tr>
      <w:tr>
        <w:trPr/>
        <w:tc>
          <w:tcPr>
            <w:tcW w:w="9441" w:type="dxa"/>
            <w:tcBorders/>
            <w:shd w:fill="auto" w:val="clear"/>
            <w:vAlign w:val="center"/>
          </w:tcPr>
          <w:p>
            <w:pPr>
              <w:pStyle w:val="TableContents"/>
              <w:spacing w:before="0" w:after="0"/>
              <w:ind w:left="400" w:right="0" w:hanging="0"/>
              <w:jc w:val="left"/>
              <w:rPr/>
            </w:pPr>
            <w:hyperlink w:anchor="investors_rights_agreement">
              <w:r>
                <w:rPr>
                  <w:rStyle w:val="InternetLink"/>
                  <w:rFonts w:ascii="Arial;sans-serif" w:hAnsi="Arial;sans-serif"/>
                  <w:b w:val="false"/>
                  <w:sz w:val="20"/>
                  <w:u w:val="single"/>
                </w:rPr>
                <w:t>Investors’ Rights Agreement</w:t>
              </w:r>
            </w:hyperlink>
            <w:hyperlink w:anchor="investors_rights_agreement">
              <w:r>
                <w:rPr>
                  <w:rStyle w:val="InternetLink"/>
                  <w:rFonts w:ascii="Times New Roman" w:hAnsi="Times New Roman"/>
                  <w:sz w:val="20"/>
                </w:rPr>
                <w:t xml:space="preserve"> </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47</w:t>
            </w:r>
          </w:p>
        </w:tc>
      </w:tr>
      <w:tr>
        <w:trPr/>
        <w:tc>
          <w:tcPr>
            <w:tcW w:w="9441" w:type="dxa"/>
            <w:tcBorders/>
            <w:shd w:fill="auto" w:val="clear"/>
            <w:vAlign w:val="center"/>
          </w:tcPr>
          <w:p>
            <w:pPr>
              <w:pStyle w:val="TableContents"/>
              <w:spacing w:before="0" w:after="0"/>
              <w:ind w:left="403" w:right="0" w:hanging="0"/>
              <w:jc w:val="left"/>
              <w:rPr/>
            </w:pPr>
            <w:hyperlink w:anchor="venbio_consulting_agreement">
              <w:r>
                <w:rPr>
                  <w:rStyle w:val="InternetLink"/>
                  <w:rFonts w:ascii="Arial;sans-serif" w:hAnsi="Arial;sans-serif"/>
                  <w:b w:val="false"/>
                  <w:sz w:val="20"/>
                  <w:u w:val="single"/>
                </w:rPr>
                <w:t>venBio Consulting Agreement</w:t>
              </w:r>
            </w:hyperlink>
          </w:p>
        </w:tc>
        <w:tc>
          <w:tcPr>
            <w:tcW w:w="764"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47</w:t>
            </w:r>
          </w:p>
        </w:tc>
      </w:tr>
      <w:tr>
        <w:trPr/>
        <w:tc>
          <w:tcPr>
            <w:tcW w:w="9441" w:type="dxa"/>
            <w:tcBorders/>
            <w:shd w:fill="auto" w:val="clear"/>
            <w:vAlign w:val="center"/>
          </w:tcPr>
          <w:p>
            <w:pPr>
              <w:pStyle w:val="TableContents"/>
              <w:spacing w:before="0" w:after="0"/>
              <w:ind w:left="400" w:right="0" w:hanging="0"/>
              <w:jc w:val="left"/>
              <w:rPr/>
            </w:pPr>
            <w:hyperlink w:anchor="tallac_therapeutics_agreements">
              <w:r>
                <w:rPr>
                  <w:rStyle w:val="InternetLink"/>
                  <w:rFonts w:ascii="Arial;sans-serif" w:hAnsi="Arial;sans-serif"/>
                  <w:b w:val="false"/>
                  <w:sz w:val="20"/>
                  <w:u w:val="single"/>
                </w:rPr>
                <w:t>Tallac Therapeutics Agreements</w:t>
              </w:r>
            </w:hyperlink>
          </w:p>
        </w:tc>
        <w:tc>
          <w:tcPr>
            <w:tcW w:w="764" w:type="dxa"/>
            <w:tcBorders/>
            <w:shd w:fill="auto" w:val="clear"/>
            <w:vAlign w:val="center"/>
          </w:tcPr>
          <w:p>
            <w:pPr>
              <w:pStyle w:val="TableContents"/>
              <w:spacing w:before="0" w:after="0"/>
              <w:ind w:left="0" w:right="0" w:firstLine="403"/>
              <w:jc w:val="right"/>
              <w:rPr>
                <w:rFonts w:ascii="Arial;sans-serif" w:hAnsi="Arial;sans-serif"/>
                <w:b w:val="false"/>
                <w:sz w:val="20"/>
              </w:rPr>
            </w:pPr>
            <w:r>
              <w:rPr>
                <w:rFonts w:ascii="Arial;sans-serif" w:hAnsi="Arial;sans-serif"/>
                <w:b w:val="false"/>
                <w:sz w:val="20"/>
              </w:rPr>
              <w:t>47</w:t>
            </w:r>
          </w:p>
        </w:tc>
      </w:tr>
      <w:tr>
        <w:trPr/>
        <w:tc>
          <w:tcPr>
            <w:tcW w:w="9441" w:type="dxa"/>
            <w:tcBorders/>
            <w:shd w:fill="auto" w:val="clear"/>
            <w:vAlign w:val="center"/>
          </w:tcPr>
          <w:p>
            <w:pPr>
              <w:pStyle w:val="TableContents"/>
              <w:spacing w:before="0" w:after="0"/>
              <w:ind w:left="403" w:right="0" w:hanging="0"/>
              <w:jc w:val="left"/>
              <w:rPr/>
            </w:pPr>
            <w:hyperlink w:anchor="acquisition_of_scalmibio_inc">
              <w:r>
                <w:rPr>
                  <w:rStyle w:val="InternetLink"/>
                  <w:rFonts w:ascii="Arial;sans-serif" w:hAnsi="Arial;sans-serif"/>
                  <w:b w:val="false"/>
                  <w:sz w:val="20"/>
                  <w:u w:val="single"/>
                </w:rPr>
                <w:t>Acquisition of ScalmiBio, Inc.</w:t>
              </w:r>
            </w:hyperlink>
          </w:p>
        </w:tc>
        <w:tc>
          <w:tcPr>
            <w:tcW w:w="7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w:t>
            </w:r>
          </w:p>
        </w:tc>
      </w:tr>
    </w:tbl>
    <w:p>
      <w:pPr>
        <w:pStyle w:val="TextBody"/>
        <w:spacing w:before="0" w:after="0"/>
        <w:jc w:val="left"/>
        <w:rPr/>
      </w:pPr>
      <w:r>
        <w:rPr/>
        <w:t> </w:t>
      </w:r>
    </w:p>
    <w:p>
      <w:pPr>
        <w:pStyle w:val="HorizontalLine"/>
        <w:rPr/>
      </w:pPr>
      <w:r>
        <w:rPr/>
      </w:r>
    </w:p>
    <w:p>
      <w:pPr>
        <w:pStyle w:val="TextBody"/>
        <w:spacing w:before="0" w:after="0"/>
        <w:jc w:val="left"/>
        <w:rPr/>
      </w:pPr>
      <w:r>
        <w:rPr/>
        <w:t> </w:t>
      </w:r>
    </w:p>
    <w:tbl>
      <w:tblPr>
        <w:tblW w:w="5112" w:type="dxa"/>
        <w:jc w:val="left"/>
        <w:tblInd w:w="0" w:type="dxa"/>
        <w:tblCellMar>
          <w:top w:w="28" w:type="dxa"/>
          <w:left w:w="28" w:type="dxa"/>
          <w:bottom w:w="28" w:type="dxa"/>
          <w:right w:w="28" w:type="dxa"/>
        </w:tblCellMar>
      </w:tblPr>
      <w:tblGrid>
        <w:gridCol w:w="4351"/>
        <w:gridCol w:w="761"/>
      </w:tblGrid>
      <w:tr>
        <w:trPr/>
        <w:tc>
          <w:tcPr>
            <w:tcW w:w="435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ind w:left="0" w:right="0" w:firstLine="400"/>
              <w:rPr>
                <w:sz w:val="4"/>
                <w:szCs w:val="4"/>
              </w:rPr>
            </w:pPr>
            <w:r>
              <w:rPr>
                <w:sz w:val="4"/>
                <w:szCs w:val="4"/>
              </w:rPr>
            </w:r>
          </w:p>
        </w:tc>
      </w:tr>
      <w:tr>
        <w:trPr/>
        <w:tc>
          <w:tcPr>
            <w:tcW w:w="4351" w:type="dxa"/>
            <w:tcBorders/>
            <w:shd w:fill="auto" w:val="clear"/>
            <w:vAlign w:val="center"/>
          </w:tcPr>
          <w:p>
            <w:pPr>
              <w:pStyle w:val="TableContents"/>
              <w:spacing w:before="0" w:after="0"/>
              <w:ind w:left="400" w:right="0" w:hanging="0"/>
              <w:jc w:val="left"/>
              <w:rPr/>
            </w:pPr>
            <w:hyperlink w:anchor="indemnification_agreements">
              <w:r>
                <w:rPr>
                  <w:rStyle w:val="InternetLink"/>
                  <w:rFonts w:ascii="Arial;sans-serif" w:hAnsi="Arial;sans-serif"/>
                  <w:b w:val="false"/>
                  <w:sz w:val="20"/>
                  <w:u w:val="single"/>
                </w:rPr>
                <w:t>Indemnification Agreements</w:t>
              </w:r>
            </w:hyperlink>
          </w:p>
        </w:tc>
        <w:tc>
          <w:tcPr>
            <w:tcW w:w="761"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48</w:t>
            </w:r>
          </w:p>
        </w:tc>
      </w:tr>
      <w:tr>
        <w:trPr/>
        <w:tc>
          <w:tcPr>
            <w:tcW w:w="4351" w:type="dxa"/>
            <w:tcBorders/>
            <w:shd w:fill="auto" w:val="clear"/>
            <w:vAlign w:val="center"/>
          </w:tcPr>
          <w:p>
            <w:pPr>
              <w:pStyle w:val="TableContents"/>
              <w:spacing w:before="0" w:after="0"/>
              <w:ind w:left="400" w:right="0" w:hanging="0"/>
              <w:jc w:val="left"/>
              <w:rPr/>
            </w:pPr>
            <w:hyperlink w:anchor="related_party_transaction_policy">
              <w:r>
                <w:rPr>
                  <w:rStyle w:val="InternetLink"/>
                  <w:rFonts w:ascii="Arial;sans-serif" w:hAnsi="Arial;sans-serif"/>
                  <w:b w:val="false"/>
                  <w:sz w:val="20"/>
                  <w:u w:val="single"/>
                </w:rPr>
                <w:t>Related-Party Transaction Policy</w:t>
              </w:r>
            </w:hyperlink>
          </w:p>
        </w:tc>
        <w:tc>
          <w:tcPr>
            <w:tcW w:w="7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w:t>
            </w:r>
          </w:p>
        </w:tc>
      </w:tr>
      <w:tr>
        <w:trPr/>
        <w:tc>
          <w:tcPr>
            <w:tcW w:w="4351" w:type="dxa"/>
            <w:tcBorders/>
            <w:shd w:fill="auto" w:val="clear"/>
            <w:vAlign w:val="center"/>
          </w:tcPr>
          <w:p>
            <w:pPr>
              <w:pStyle w:val="TableContents"/>
              <w:spacing w:before="0" w:after="0"/>
              <w:ind w:left="0" w:right="0" w:hanging="0"/>
              <w:jc w:val="left"/>
              <w:rPr/>
            </w:pPr>
            <w:hyperlink w:anchor="other_matters">
              <w:r>
                <w:rPr>
                  <w:rStyle w:val="InternetLink"/>
                  <w:rFonts w:ascii="Arial;sans-serif" w:hAnsi="Arial;sans-serif"/>
                  <w:b w:val="false"/>
                  <w:sz w:val="20"/>
                  <w:u w:val="single"/>
                </w:rPr>
                <w:t>OTHER MATTERS</w:t>
              </w:r>
            </w:hyperlink>
          </w:p>
        </w:tc>
        <w:tc>
          <w:tcPr>
            <w:tcW w:w="761"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49</w:t>
            </w:r>
          </w:p>
        </w:tc>
      </w:tr>
      <w:tr>
        <w:trPr/>
        <w:tc>
          <w:tcPr>
            <w:tcW w:w="4351" w:type="dxa"/>
            <w:tcBorders/>
            <w:shd w:fill="auto" w:val="clear"/>
            <w:vAlign w:val="center"/>
          </w:tcPr>
          <w:p>
            <w:pPr>
              <w:pStyle w:val="TableContents"/>
              <w:spacing w:before="0" w:after="0"/>
              <w:ind w:left="400" w:right="0" w:hanging="0"/>
              <w:jc w:val="left"/>
              <w:rPr/>
            </w:pPr>
            <w:hyperlink w:anchor="delinquent_section_16a_reports">
              <w:r>
                <w:rPr>
                  <w:rStyle w:val="InternetLink"/>
                  <w:rFonts w:ascii="Arial;sans-serif" w:hAnsi="Arial;sans-serif"/>
                  <w:b w:val="false"/>
                  <w:sz w:val="20"/>
                  <w:u w:val="single"/>
                </w:rPr>
                <w:t>Delinquent Section 16(a) Reports</w:t>
              </w:r>
            </w:hyperlink>
          </w:p>
        </w:tc>
        <w:tc>
          <w:tcPr>
            <w:tcW w:w="761" w:type="dxa"/>
            <w:tcBorders/>
            <w:shd w:fill="auto" w:val="clear"/>
            <w:vAlign w:val="center"/>
          </w:tcPr>
          <w:p>
            <w:pPr>
              <w:pStyle w:val="TableContents"/>
              <w:spacing w:before="0" w:after="0"/>
              <w:ind w:left="0" w:right="0" w:firstLine="400"/>
              <w:jc w:val="right"/>
              <w:rPr>
                <w:rFonts w:ascii="Arial;sans-serif" w:hAnsi="Arial;sans-serif"/>
                <w:b w:val="false"/>
                <w:sz w:val="20"/>
              </w:rPr>
            </w:pPr>
            <w:r>
              <w:rPr>
                <w:rFonts w:ascii="Arial;sans-serif" w:hAnsi="Arial;sans-serif"/>
                <w:b w:val="false"/>
                <w:sz w:val="20"/>
              </w:rPr>
              <w:t>49</w:t>
            </w:r>
          </w:p>
        </w:tc>
      </w:tr>
      <w:tr>
        <w:trPr/>
        <w:tc>
          <w:tcPr>
            <w:tcW w:w="4351" w:type="dxa"/>
            <w:tcBorders/>
            <w:shd w:fill="auto" w:val="clear"/>
            <w:vAlign w:val="center"/>
          </w:tcPr>
          <w:p>
            <w:pPr>
              <w:pStyle w:val="TableContents"/>
              <w:spacing w:before="0" w:after="0"/>
              <w:ind w:left="400" w:right="0" w:hanging="0"/>
              <w:jc w:val="left"/>
              <w:rPr/>
            </w:pPr>
            <w:hyperlink w:anchor="fy_annual_filings_and_sec_filings">
              <w:r>
                <w:rPr>
                  <w:rStyle w:val="InternetLink"/>
                  <w:rFonts w:ascii="Arial;sans-serif" w:hAnsi="Arial;sans-serif"/>
                  <w:b w:val="false"/>
                  <w:sz w:val="20"/>
                  <w:u w:val="single"/>
                </w:rPr>
                <w:t>Fiscal Year 2022 Annual Report and SEC Filings</w:t>
              </w:r>
            </w:hyperlink>
          </w:p>
        </w:tc>
        <w:tc>
          <w:tcPr>
            <w:tcW w:w="7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Arial;sans-serif" w:hAnsi="Arial;sans-serif"/>
          <w:b/>
          <w:sz w:val="20"/>
        </w:rPr>
        <w:t>ALX ONCOLOGY HOLDINGS INC.</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Arial;sans-serif" w:hAnsi="Arial;sans-serif"/>
          <w:b/>
          <w:sz w:val="20"/>
        </w:rPr>
        <w:t>PROXY STATEMENT</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FOR THE 2023 ANNUAL MEETING OF STOCKHOLDERS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To Be Held at 1:00 p.m. Pacific Time on Friday, June 16,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This proxy statement and the enclosed form of proxy are furnished in connection with the solicitation of proxies by our board of directors for use at the 2023 annual meeting of stockholders of ALX Oncology Holdings Inc. (the Annual Meeting), and any postponements, adjournments or continuations thereof. The Annual Meeting will be held on Friday, June 16, 2023 at 1:00 p.m. Pacific Time virtually via a live webcast. You will be able to attend the Annual Meeting virtually by visiting www.virtualshareholdermeeting.com/ALXO2023, where you will be able to listen to the meeting live, submit questions and vote online by entering the control number on your proxy card.</w:t>
      </w:r>
      <w:r>
        <w:rPr>
          <w:rFonts w:ascii="Times New Roman" w:hAnsi="Times New Roman"/>
          <w:sz w:val="20"/>
        </w:rPr>
        <w:t xml:space="preserve"> </w:t>
      </w:r>
    </w:p>
    <w:p>
      <w:pPr>
        <w:pStyle w:val="TextBody"/>
        <w:spacing w:before="240" w:after="0"/>
        <w:jc w:val="center"/>
        <w:rPr>
          <w:rFonts w:ascii="Times New Roman" w:hAnsi="Times New Roman"/>
          <w:sz w:val="20"/>
        </w:rPr>
      </w:pPr>
      <w:bookmarkStart w:id="2" w:name="questions_answers"/>
      <w:bookmarkEnd w:id="2"/>
      <w:r>
        <w:rPr>
          <w:rFonts w:ascii="Arial;sans-serif" w:hAnsi="Arial;sans-serif"/>
          <w:b/>
          <w:sz w:val="20"/>
        </w:rPr>
        <w:t>QUESTIONS AND ANSWERS</w:t>
      </w:r>
      <w:r>
        <w:rPr>
          <w:rFonts w:ascii="Times New Roman" w:hAnsi="Times New Roman"/>
          <w:sz w:val="20"/>
        </w:rPr>
        <w:t xml:space="preserve"> </w:t>
      </w:r>
      <w:r>
        <w:rPr>
          <w:rFonts w:ascii="Arial;sans-serif" w:hAnsi="Arial;sans-serif"/>
          <w:b/>
          <w:sz w:val="20"/>
        </w:rPr>
        <w:t>ABOUT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Why am I receiving these materials?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board of directors is providing these proxy materials to you in connection with its solicitation of proxies for use at the Annual Meeting, which will take place on June 16, 2023. Stockholders are invited to attend the virtual Annual Meeting and are requested to vote on the proposals described in this proxy statement. This proxy statement and the accompanying proxy card are being mailed on or about April 24, 2023. The proxy materials and our Annual Report on Form 10-K as filed with the Securities and Exchange Commission (the SEC) on March 9, 2023 (the Annual Report) will also be accessible on the SEC’s website at www.sec.gov, and our investor relations website at https://ir.alxoncology.com.</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What proposals will be voted on at the Annual Meeting?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There are three proposals scheduled to be voted on at the Annual Meeting:</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the election of Scott Garland, Rekha Hemrajani and Jaume Pons, Ph.D. as Class III directors to serve until the 2026 annual meeting of stockholders or until their successors are duly elected and qualified;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an advisory vote to approve the compensation of our named executive officers; and</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the ratification of the appointment of KPMG LLP as our independent registered public accounting firm for our fiscal year ending December 31, 2023. </w:t>
      </w:r>
    </w:p>
    <w:p>
      <w:pPr>
        <w:pStyle w:val="TextBody"/>
        <w:spacing w:before="240" w:after="0"/>
        <w:jc w:val="left"/>
        <w:rPr>
          <w:rFonts w:ascii="Times New Roman" w:hAnsi="Times New Roman"/>
          <w:sz w:val="20"/>
        </w:rPr>
      </w:pPr>
      <w:r>
        <w:rPr>
          <w:rFonts w:ascii="Arial;sans-serif" w:hAnsi="Arial;sans-serif"/>
          <w:b w:val="false"/>
          <w:sz w:val="20"/>
        </w:rPr>
        <w:t>At the time this proxy statement was mailed, our management and board of directors were not aware of any other matters to be presented at the Annual Meeting other than those set forth in this proxy statement and in the notice accompanying this proxy statement.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How does our board of directors recommend that I vote?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board of directors recommends that you vote:</w:t>
      </w:r>
      <w:r>
        <w:rPr>
          <w:rFonts w:ascii="Times New Roman" w:hAnsi="Times New Roman"/>
          <w:sz w:val="20"/>
        </w:rPr>
        <w:t xml:space="preserve"> </w:t>
      </w:r>
    </w:p>
    <w:p>
      <w:pPr>
        <w:pStyle w:val="TextBody"/>
        <w:spacing w:before="240" w:after="0"/>
        <w:jc w:val="both"/>
        <w:rPr/>
      </w:pPr>
      <w:r>
        <w:rPr/>
        <w:t>•</w:t>
      </w:r>
    </w:p>
    <w:p>
      <w:pPr>
        <w:pStyle w:val="TextBody"/>
        <w:spacing w:before="240" w:after="283"/>
        <w:jc w:val="both"/>
        <w:rPr>
          <w:rFonts w:ascii="Arial;sans-serif" w:hAnsi="Arial;sans-serif"/>
          <w:b w:val="false"/>
          <w:sz w:val="20"/>
        </w:rPr>
      </w:pPr>
      <w:r>
        <w:rPr>
          <w:rFonts w:ascii="Arial;sans-serif" w:hAnsi="Arial;sans-serif"/>
          <w:b w:val="false"/>
          <w:sz w:val="20"/>
        </w:rPr>
        <w:t>FOR the election of each of Scott Garland, Rekha Hemrajani and Jaume Pons, Ph.D. as Class III directors;</w:t>
      </w:r>
    </w:p>
    <w:p>
      <w:pPr>
        <w:pStyle w:val="TextBody"/>
        <w:spacing w:before="200" w:after="0"/>
        <w:jc w:val="center"/>
        <w:rPr>
          <w:rFonts w:ascii="Arial;sans-serif" w:hAnsi="Arial;sans-serif"/>
          <w:b w:val="false"/>
          <w:sz w:val="20"/>
        </w:rPr>
      </w:pPr>
      <w:r>
        <w:rPr>
          <w:rFonts w:ascii="Arial;sans-serif" w:hAnsi="Arial;sans-serif"/>
          <w:b w:val="false"/>
          <w:sz w:val="20"/>
        </w:rPr>
        <w:t>1</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FOR the approval, on an advisory basis, of the compensation of our named executive officers; and</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FOR the ratification of the appointment of KPMG LLP as our independent registered public accounting firm for our fiscal year ending December 31, 2023. </w:t>
      </w:r>
    </w:p>
    <w:p>
      <w:pPr>
        <w:pStyle w:val="TextBody"/>
        <w:spacing w:before="360" w:after="0"/>
        <w:jc w:val="left"/>
        <w:rPr>
          <w:rFonts w:ascii="Times New Roman" w:hAnsi="Times New Roman"/>
          <w:sz w:val="20"/>
        </w:rPr>
      </w:pPr>
      <w:r>
        <w:rPr>
          <w:rFonts w:ascii="Arial;sans-serif" w:hAnsi="Arial;sans-serif"/>
          <w:b/>
          <w:sz w:val="20"/>
        </w:rPr>
        <w:t>Who is entitled to vote at the Annual Meeting?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Holders of our common stock at the close of business on April 19, 2023, the record date for the Annual Meeting (the Record Date), are entitled to notice of and to vote at the Annual Meeting. Each stockholder is entitled to one vote for each share of our common stock held as of the Record Date. As of the Record Date, there were 40,863,049 shares of common stock outstanding and entitled to vote. Stockholders are not permitted to cumulate votes with respect to the election of directors.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Stockholders of Record – Shares Registered in Your Name</w:t>
      </w:r>
      <w:r>
        <w:rPr>
          <w:rFonts w:ascii="Arial;sans-serif" w:hAnsi="Arial;sans-serif"/>
          <w:b w:val="false"/>
          <w:sz w:val="20"/>
        </w:rPr>
        <w:t>. If, at the close of business on the Record Date, your shares were registered 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Street Name Stockholders – Shares Registered in the Name of a Broker, Bank or Other Nominee</w:t>
      </w:r>
      <w:r>
        <w:rPr>
          <w:rFonts w:ascii="Arial;sans-serif" w:hAnsi="Arial;sans-serif"/>
          <w:b w:val="false"/>
          <w:sz w:val="20"/>
        </w:rPr>
        <w:t>. If, at the close of business on the Record 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How many votes are needed for approval of each proposal?</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pPr>
      <w:r>
        <w:rPr>
          <w:rFonts w:ascii="Arial;sans-serif" w:hAnsi="Arial;sans-serif"/>
          <w:b w:val="false"/>
          <w:i/>
          <w:sz w:val="20"/>
        </w:rPr>
        <w:t>Proposal No. 1:</w:t>
      </w:r>
      <w:r>
        <w:rPr/>
        <w:t xml:space="preserve"> </w:t>
      </w:r>
      <w:r>
        <w:rPr>
          <w:rFonts w:ascii="Arial;sans-serif" w:hAnsi="Arial;sans-serif"/>
          <w:b w:val="false"/>
          <w:sz w:val="20"/>
        </w:rPr>
        <w:t xml:space="preserve">The election of each Class III director requires a plurality of the votes of the shares of our common stock present in person (including virtually) or represented by proxy at the Annual Meeting and entitled to vote thereon to be approved. “Plurality” means that the three nominees who receive the most votes cast FOR will be elected as Class III 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w:t>
      </w:r>
    </w:p>
    <w:p>
      <w:pPr>
        <w:pStyle w:val="TextBody"/>
        <w:spacing w:before="120" w:after="0"/>
        <w:jc w:val="both"/>
        <w:rPr/>
      </w:pPr>
      <w:r>
        <w:rPr/>
        <w:t>•</w:t>
      </w:r>
    </w:p>
    <w:p>
      <w:pPr>
        <w:pStyle w:val="TextBody"/>
        <w:spacing w:before="120" w:after="283"/>
        <w:jc w:val="both"/>
        <w:rPr/>
      </w:pPr>
      <w:r>
        <w:rPr>
          <w:rFonts w:ascii="Arial;sans-serif" w:hAnsi="Arial;sans-serif"/>
          <w:b w:val="false"/>
          <w:i/>
          <w:sz w:val="20"/>
        </w:rPr>
        <w:t>Proposal No. 2:</w:t>
      </w:r>
      <w:r>
        <w:rPr/>
        <w:t xml:space="preserve"> </w:t>
      </w:r>
      <w:r>
        <w:rPr>
          <w:rFonts w:ascii="Arial;sans-serif" w:hAnsi="Arial;sans-serif"/>
          <w:b w:val="false"/>
          <w:sz w:val="20"/>
        </w:rPr>
        <w:t>The approval, on an advisory basis, of the compensation of our named executive officers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2, the abstention will have the same effect as a vote AGAINST the proposal. Broker non-votes will have no effect on the outcome of this proposal. Because this vote is advisory only, it will not be binding on us, our compensation committee or our board of directors. However, we value our stockholders’ input and will take the vote into consideration when evaluating executive compensation decisions.</w:t>
      </w:r>
    </w:p>
    <w:p>
      <w:pPr>
        <w:pStyle w:val="TextBody"/>
        <w:spacing w:before="200" w:after="0"/>
        <w:jc w:val="center"/>
        <w:rPr>
          <w:rFonts w:ascii="Arial;sans-serif" w:hAnsi="Arial;sans-serif"/>
          <w:b w:val="false"/>
          <w:sz w:val="20"/>
        </w:rPr>
      </w:pPr>
      <w:r>
        <w:rPr>
          <w:rFonts w:ascii="Arial;sans-serif" w:hAnsi="Arial;sans-serif"/>
          <w:b w:val="false"/>
          <w:sz w:val="20"/>
        </w:rPr>
        <w:t>2</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283"/>
        <w:jc w:val="both"/>
        <w:rPr/>
      </w:pPr>
      <w:r>
        <w:rPr>
          <w:rFonts w:ascii="Arial;sans-serif" w:hAnsi="Arial;sans-serif"/>
          <w:b w:val="false"/>
          <w:i/>
          <w:sz w:val="20"/>
        </w:rPr>
        <w:t>Proposal No. 3:</w:t>
      </w:r>
      <w:r>
        <w:rPr/>
        <w:t xml:space="preserve"> </w:t>
      </w:r>
      <w:r>
        <w:rPr>
          <w:rFonts w:ascii="Arial;sans-serif" w:hAnsi="Arial;sans-serif"/>
          <w:b w:val="false"/>
          <w:sz w:val="20"/>
        </w:rPr>
        <w:t xml:space="preserve">The ratification of the appointment of KPMG LLP as our independent registered public accounting firm for our fiscal year ended December 31, 2023 requires an affirmative FOR vote of a majority of the shares of our common stock present in person (including virtually) or represented by proxy at the Annual Meeting and entitled to vote thereon to be approved. You may vote FOR, AGAINST or ABSTAIN. If you ABSTAIN from voting on Proposal No. 3, the abstention will have the same effect as a vote AGAINST the proposal. Broker non-votes will have no effect on the outcome of this proposal. </w:t>
      </w:r>
    </w:p>
    <w:p>
      <w:pPr>
        <w:pStyle w:val="TextBody"/>
        <w:spacing w:before="360" w:after="0"/>
        <w:jc w:val="left"/>
        <w:rPr>
          <w:rFonts w:ascii="Times New Roman" w:hAnsi="Times New Roman"/>
          <w:sz w:val="20"/>
        </w:rPr>
      </w:pPr>
      <w:r>
        <w:rPr>
          <w:rFonts w:ascii="Arial;sans-serif" w:hAnsi="Arial;sans-serif"/>
          <w:b/>
          <w:sz w:val="20"/>
        </w:rPr>
        <w:t>What is a quorum?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A quorum is the minimum number of shares required to be present at the Annual Meeting for the annual meeting of stockholders to be properly held under our amended and restated bylaws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What do I need to do to attend the Annual Meeting?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You will be able to attend the Annual Meeting virtually, submit your questions during the meeting and vote your shares electronically at the meeting by visiting www.virtualshareholdermeeting.com/ALXO2023.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r>
        <w:rPr>
          <w:rFonts w:ascii="Times New Roman" w:hAnsi="Times New Roman"/>
          <w:sz w:val="20"/>
        </w:rPr>
        <w:t xml:space="preserve"> </w:t>
      </w:r>
    </w:p>
    <w:p>
      <w:pPr>
        <w:pStyle w:val="TextBody"/>
        <w:spacing w:before="360" w:after="0"/>
        <w:jc w:val="left"/>
        <w:rPr>
          <w:rFonts w:ascii="Arial;sans-serif" w:hAnsi="Arial;sans-serif"/>
          <w:b/>
          <w:sz w:val="20"/>
        </w:rPr>
      </w:pPr>
      <w:r>
        <w:rPr>
          <w:rFonts w:ascii="Arial;sans-serif" w:hAnsi="Arial;sans-serif"/>
          <w:b/>
          <w:sz w:val="20"/>
        </w:rPr>
        <w:t>Why is the Annual Meeting held virtually?</w:t>
      </w:r>
    </w:p>
    <w:p>
      <w:pPr>
        <w:pStyle w:val="TextBody"/>
        <w:spacing w:before="120" w:after="0"/>
        <w:jc w:val="left"/>
        <w:rPr>
          <w:rFonts w:ascii="Arial;sans-serif" w:hAnsi="Arial;sans-serif"/>
          <w:b w:val="false"/>
          <w:sz w:val="20"/>
        </w:rPr>
      </w:pPr>
      <w:r>
        <w:rPr>
          <w:rFonts w:ascii="Arial;sans-serif" w:hAnsi="Arial;sans-serif"/>
          <w:b w:val="false"/>
          <w:sz w:val="20"/>
        </w:rPr>
        <w:t>Our board of directors believes that a virtual Annual Meeting allows for participation by a broader group of stockholders, reduces the costs to stockholders associated with holding an in-person meeting, and is the best option for ensuring the health and safety of the participants in light of the ongoing pandemic. The virtual meeting format is intended to facilitate a level of transparency as close as possible to an in-person meeting by providing for, among other things, the ability of stockholders to submit appropriate questions in advance of the meeting to ensure thoughtful responses from management and our board of directors.</w:t>
      </w:r>
    </w:p>
    <w:p>
      <w:pPr>
        <w:pStyle w:val="TextBody"/>
        <w:spacing w:before="360" w:after="0"/>
        <w:jc w:val="left"/>
        <w:rPr>
          <w:rFonts w:ascii="Times New Roman" w:hAnsi="Times New Roman"/>
          <w:sz w:val="20"/>
        </w:rPr>
      </w:pPr>
      <w:r>
        <w:rPr>
          <w:rFonts w:ascii="Arial;sans-serif" w:hAnsi="Arial;sans-serif"/>
          <w:b/>
          <w:sz w:val="20"/>
        </w:rPr>
        <w:t>How do I vote and what are the voting deadlines?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0"/>
        </w:rPr>
        <w:t>Stockholders of Record</w:t>
      </w:r>
      <w:r>
        <w:rPr>
          <w:rFonts w:ascii="Arial;sans-serif" w:hAnsi="Arial;sans-serif"/>
          <w:b w:val="false"/>
          <w:sz w:val="20"/>
        </w:rPr>
        <w:t>. If you are a stockholder of record, you can vote in one of the following ways:</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pPr>
      <w:r>
        <w:rPr>
          <w:rFonts w:ascii="Arial;sans-serif" w:hAnsi="Arial;sans-serif"/>
          <w:b/>
          <w:sz w:val="20"/>
        </w:rPr>
        <w:t>You may vote via the Internet</w:t>
      </w:r>
      <w:r>
        <w:rPr>
          <w:rFonts w:ascii="Arial;sans-serif" w:hAnsi="Arial;sans-serif"/>
          <w:b w:val="false"/>
          <w:sz w:val="20"/>
        </w:rPr>
        <w:t xml:space="preserve">. To vote via the Internet prior to the Annual Meeting, go to http://www.proxyvote.com to complete an electronic proxy card. You will be asked to provide the control number from the proxy card you receive. Your vote must be received by 11:59 p.m. Eastern Time on June 15, 2023 to be counted. If you vote via the Internet prior to the Annual Meeting, you do not need to return a proxy card by mail. </w:t>
      </w:r>
    </w:p>
    <w:p>
      <w:pPr>
        <w:pStyle w:val="TextBody"/>
        <w:spacing w:before="120" w:after="0"/>
        <w:jc w:val="both"/>
        <w:rPr/>
      </w:pPr>
      <w:r>
        <w:rPr/>
        <w:t>•</w:t>
      </w:r>
    </w:p>
    <w:p>
      <w:pPr>
        <w:pStyle w:val="TextBody"/>
        <w:spacing w:before="120" w:after="283"/>
        <w:jc w:val="both"/>
        <w:rPr/>
      </w:pPr>
      <w:r>
        <w:rPr>
          <w:rFonts w:ascii="Arial;sans-serif" w:hAnsi="Arial;sans-serif"/>
          <w:b/>
          <w:sz w:val="20"/>
        </w:rPr>
        <w:t xml:space="preserve">You may vote by telephone. </w:t>
      </w:r>
      <w:r>
        <w:rPr>
          <w:rFonts w:ascii="Arial;sans-serif" w:hAnsi="Arial;sans-serif"/>
          <w:b w:val="false"/>
          <w:sz w:val="20"/>
        </w:rPr>
        <w:t xml:space="preserve">To vote by telephone, dial 1-800-690-6903 (toll-free in the United States and Canada; toll charges apply to calls from other countries) and follow the recorded instructions. You will be asked to provide the control number from the proxy card. Your vote must be received by 11:59 p.m. Eastern Time on June 15, 2023 to be counted. If you vote by telephone, you do not need to return a proxy card by mail. </w:t>
      </w:r>
    </w:p>
    <w:p>
      <w:pPr>
        <w:pStyle w:val="TextBody"/>
        <w:spacing w:before="200" w:after="0"/>
        <w:jc w:val="center"/>
        <w:rPr>
          <w:rFonts w:ascii="Arial;sans-serif" w:hAnsi="Arial;sans-serif"/>
          <w:b w:val="false"/>
          <w:sz w:val="20"/>
        </w:rPr>
      </w:pPr>
      <w:r>
        <w:rPr>
          <w:rFonts w:ascii="Arial;sans-serif" w:hAnsi="Arial;sans-serif"/>
          <w:b w:val="false"/>
          <w:sz w:val="20"/>
        </w:rPr>
        <w:t>3</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pPr>
      <w:r>
        <w:rPr>
          <w:rFonts w:ascii="Arial;sans-serif" w:hAnsi="Arial;sans-serif"/>
          <w:b/>
          <w:sz w:val="20"/>
        </w:rPr>
        <w:t>You may vote by mail</w:t>
      </w:r>
      <w:r>
        <w:rPr>
          <w:rFonts w:ascii="Arial;sans-serif" w:hAnsi="Arial;sans-serif"/>
          <w:b w:val="false"/>
          <w:sz w:val="20"/>
        </w:rPr>
        <w:t xml:space="preserve">. To vote by mail, you need to complete, date and sign the proxy card that accompanies this proxy statement and return it promptly by mail in the enclosed postage-paid envelope so that it is received no later than June 15, 2023.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 </w:t>
      </w:r>
    </w:p>
    <w:p>
      <w:pPr>
        <w:pStyle w:val="TextBody"/>
        <w:spacing w:before="120" w:after="0"/>
        <w:jc w:val="both"/>
        <w:rPr/>
      </w:pPr>
      <w:r>
        <w:rPr/>
        <w:t>•</w:t>
      </w:r>
    </w:p>
    <w:p>
      <w:pPr>
        <w:pStyle w:val="TextBody"/>
        <w:spacing w:before="120" w:after="283"/>
        <w:jc w:val="both"/>
        <w:rPr/>
      </w:pPr>
      <w:r>
        <w:rPr>
          <w:rFonts w:ascii="Arial;sans-serif" w:hAnsi="Arial;sans-serif"/>
          <w:b/>
          <w:sz w:val="20"/>
        </w:rPr>
        <w:t>You may vote virtually during the Annual Meeting</w:t>
      </w:r>
      <w:r>
        <w:rPr>
          <w:rFonts w:ascii="Arial;sans-serif" w:hAnsi="Arial;sans-serif"/>
          <w:b w:val="false"/>
          <w:sz w:val="20"/>
        </w:rPr>
        <w:t xml:space="preserve">. If you plan to attend the Annual Meeting by visiting www.virtualshareholdermeeting.com/ALXO2023, you may vote electronically and submit questions during the meeting. Please have your proxy card in hand when you visit the website. </w:t>
      </w:r>
    </w:p>
    <w:p>
      <w:pPr>
        <w:pStyle w:val="TextBody"/>
        <w:spacing w:before="240" w:after="0"/>
        <w:jc w:val="left"/>
        <w:rPr>
          <w:rFonts w:ascii="Times New Roman" w:hAnsi="Times New Roman"/>
          <w:sz w:val="20"/>
        </w:rPr>
      </w:pPr>
      <w:r>
        <w:rPr>
          <w:rFonts w:ascii="Arial;sans-serif" w:hAnsi="Arial;sans-serif"/>
          <w:b w:val="false"/>
          <w:sz w:val="20"/>
        </w:rPr>
        <w:t>Even if you plan to attend the Annual Meeting, we recommend that you also vote by proxy so that your vote will be counted if you later decide not to attend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Street Name Stockholders</w:t>
      </w:r>
      <w:r>
        <w:rPr>
          <w:rFonts w:ascii="Arial;sans-serif" w:hAnsi="Arial;sans-serif"/>
          <w:b w:val="false"/>
          <w:sz w:val="20"/>
        </w:rPr>
        <w:t xml:space="preserve">. If you are the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sans-serif" w:hAnsi="Arial;sans-serif"/>
          <w:b/>
          <w:sz w:val="20"/>
        </w:rPr>
        <w:t>As discussed above, if you are a street name stockholder, you may not vote your shares live at the Annual Meeting unless you obtain a legal proxy from your broker, bank or other nominee.</w:t>
      </w:r>
    </w:p>
    <w:p>
      <w:pPr>
        <w:pStyle w:val="TextBody"/>
        <w:spacing w:before="360" w:after="0"/>
        <w:jc w:val="left"/>
        <w:rPr>
          <w:rFonts w:ascii="Times New Roman" w:hAnsi="Times New Roman"/>
          <w:sz w:val="20"/>
        </w:rPr>
      </w:pPr>
      <w:r>
        <w:rPr>
          <w:rFonts w:ascii="Arial;sans-serif" w:hAnsi="Arial;sans-serif"/>
          <w:b/>
          <w:sz w:val="20"/>
        </w:rPr>
        <w:t>Can I change my vote or revoke my proxy?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0"/>
        </w:rPr>
        <w:t>Stockholders of Record</w:t>
      </w:r>
      <w:r>
        <w:rPr>
          <w:rFonts w:ascii="Arial;sans-serif" w:hAnsi="Arial;sans-serif"/>
          <w:b w:val="false"/>
          <w:sz w:val="20"/>
        </w:rPr>
        <w:t>. If you are a stockholder of record, you may revoke your proxy or change your proxy instructions at any time before your proxy is voted at the Annual Meeting by:</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entering a new vote by Internet or telephone;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signing and returning a new proxy card with a later date;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delivering a written revocation to our Secretary at ALX Oncology Holdings Inc., 323 Allerton Avenue, South San Francisco, California 94080, by 11:59 p.m. Eastern Time on June 15, 2023; or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attending the Annual Meeting and voting in person (including virtually). </w:t>
      </w:r>
    </w:p>
    <w:p>
      <w:pPr>
        <w:pStyle w:val="TextBody"/>
        <w:spacing w:before="240" w:after="0"/>
        <w:jc w:val="left"/>
        <w:rPr>
          <w:rFonts w:ascii="Times New Roman" w:hAnsi="Times New Roman"/>
          <w:sz w:val="20"/>
        </w:rPr>
      </w:pPr>
      <w:r>
        <w:rPr>
          <w:rFonts w:ascii="Arial;sans-serif" w:hAnsi="Arial;sans-serif"/>
          <w:b w:val="false"/>
          <w:i/>
          <w:sz w:val="20"/>
        </w:rPr>
        <w:t>Street Name Stockholders</w:t>
      </w:r>
      <w:r>
        <w:rPr>
          <w:rFonts w:ascii="Arial;sans-serif" w:hAnsi="Arial;sans-serif"/>
          <w:b w:val="false"/>
          <w:sz w:val="20"/>
        </w:rPr>
        <w:t>. If you are a street name stockholder, you must contact the broker, bank or other nominee holding your shares and follow their instructions to change your vote or revoke your proxy.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What is the effect of giving a proxy?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Proxies are solicited by and on behalf of our board of directors. Jaume Pons, Ph.D. and Peter Garcia have been designated as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Arial;sans-serif" w:hAnsi="Arial;sans-serif"/>
          <w:b/>
          <w:sz w:val="20"/>
        </w:rPr>
        <w:t>What if I do not specify how my shares are to be voted?</w:t>
      </w:r>
      <w:r>
        <w:rPr>
          <w:rFonts w:ascii="Times New Roman" w:hAnsi="Times New Roman"/>
          <w:sz w:val="20"/>
        </w:rPr>
        <w:t xml:space="preserve"> </w:t>
      </w:r>
    </w:p>
    <w:p>
      <w:pPr>
        <w:pStyle w:val="TextBody"/>
        <w:spacing w:before="120" w:after="240"/>
        <w:jc w:val="left"/>
        <w:rPr>
          <w:rFonts w:ascii="Times New Roman" w:hAnsi="Times New Roman"/>
          <w:sz w:val="20"/>
        </w:rPr>
      </w:pPr>
      <w:r>
        <w:rPr>
          <w:rFonts w:ascii="Arial;sans-serif" w:hAnsi="Arial;sans-serif"/>
          <w:b w:val="false"/>
          <w:i/>
          <w:sz w:val="20"/>
        </w:rPr>
        <w:t>Stockholders of Record</w:t>
      </w:r>
      <w:r>
        <w:rPr>
          <w:rFonts w:ascii="Arial;sans-serif" w:hAnsi="Arial;sans-serif"/>
          <w:b w:val="false"/>
          <w:sz w:val="20"/>
        </w:rPr>
        <w:t>. If you are a stockholder of record and you submit a proxy but you do not provide voting instructions, your shares will be voted:</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FOR the election of each of the three directors nominated by our board of directors and named in this proxy statement as Class III directors (Proposal No. 1);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FOR the approval, on an advisory basis, of the compensation of our named executive officers (Proposal No. 2);</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FOR the ratification of the appointment of KPMG LLP as our independent registered public accounting firm for our fiscal year ending December 31, 2023 (Proposal No. 3);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In the discretion of the named proxy holders regarding any other matters properly presented for a vote at the Annual Meeting. </w:t>
      </w:r>
    </w:p>
    <w:p>
      <w:pPr>
        <w:pStyle w:val="TextBody"/>
        <w:spacing w:before="240" w:after="0"/>
        <w:jc w:val="left"/>
        <w:rPr>
          <w:rFonts w:ascii="Times New Roman" w:hAnsi="Times New Roman"/>
          <w:sz w:val="20"/>
        </w:rPr>
      </w:pPr>
      <w:r>
        <w:rPr>
          <w:rFonts w:ascii="Arial;sans-serif" w:hAnsi="Arial;sans-serif"/>
          <w:b w:val="false"/>
          <w:i/>
          <w:sz w:val="20"/>
        </w:rPr>
        <w:t>Street Name Stockholders</w:t>
      </w:r>
      <w:r>
        <w:rPr>
          <w:rFonts w:ascii="Arial;sans-serif" w:hAnsi="Arial;sans-serif"/>
          <w:b w:val="false"/>
          <w:sz w:val="20"/>
        </w:rPr>
        <w:t>. If you are a street name stockholder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and Proposal No. 2 (approval, on an advisory basis, of the compensation of our named executive officers) are non-routine matters, while Proposal No. 3 (ratification of the appointment of our independent registered public accounting firm) is a routine matter. As a result, if you do not provide voting instructions to your broker, bank or other nominee, then your broker, bank or other nominee may not vote your shares with respect to Proposal No. 1 or Proposal No. 2, which would result in a “broker non-vote,” but may, in its discretion, vote your shares with respect to Proposal No. 3. For additional information regarding broker non-votes, see “—What are the effects of abstentions and broker non-votes?” below.</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What are the effects of abstentions and broker non-votes?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Arial;sans-serif" w:hAnsi="Arial;sans-serif"/>
          <w:b w:val="false"/>
          <w:i/>
          <w:sz w:val="20"/>
        </w:rPr>
        <w:t>e.g.</w:t>
      </w:r>
      <w:r>
        <w:rPr>
          <w:rFonts w:ascii="Arial;sans-serif" w:hAnsi="Arial;sans-serif"/>
          <w:b w:val="false"/>
          <w:sz w:val="20"/>
        </w:rPr>
        <w:t>, Proposal No. 2 and Proposal No. 3). However, because the outcome of Proposal No. 1 (election of directors) will be determined by a plurality vote, abstentions will have no impact on the outcome of such proposal as long as a quorum exists.</w:t>
      </w:r>
    </w:p>
    <w:p>
      <w:pPr>
        <w:pStyle w:val="TextBody"/>
        <w:spacing w:before="240" w:after="0"/>
        <w:jc w:val="left"/>
        <w:rPr>
          <w:rFonts w:ascii="Times New Roman" w:hAnsi="Times New Roman"/>
          <w:sz w:val="20"/>
        </w:rPr>
      </w:pPr>
      <w:r>
        <w:rPr>
          <w:rFonts w:ascii="Arial;sans-serif" w:hAnsi="Arial;sans-serif"/>
          <w:b w:val="false"/>
          <w:sz w:val="20"/>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5</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Arial;sans-serif" w:hAnsi="Arial;sans-serif"/>
          <w:b/>
          <w:sz w:val="20"/>
        </w:rPr>
        <w:t>How are proxies solicited for the Annual Meeting and who is paying for such solicitation?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If you choose to access the proxy materials and/or vote over the Internet, you are responsible for Internet access charges you may incur. If you choose to vote by telephone, you are responsible for telephone charges you may incur.</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What does it mean if I received more than one Notice?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If you receive more than one Notice, your shares may be registered in more than one name or in different accounts. Please follow the voting instructions on each Notice to ensure that all of your shares are voted.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Is my vote confidential?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I share an address with another stockholder, and we received only one paper copy of the proxy materials. How may I obtain an additional copy of the proxy materials?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Arial;sans-serif" w:hAnsi="Arial;sans-serif"/>
          <w:b w:val="false"/>
          <w:sz w:val="20"/>
        </w:rPr>
        <w:t>ALX Oncology Holdings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Attention: Secretary</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323 Allerton Avenue</w:t>
      </w:r>
    </w:p>
    <w:p>
      <w:pPr>
        <w:pStyle w:val="TextBody"/>
        <w:spacing w:before="0" w:after="0"/>
        <w:jc w:val="center"/>
        <w:rPr>
          <w:rFonts w:ascii="Arial;sans-serif" w:hAnsi="Arial;sans-serif"/>
          <w:b w:val="false"/>
          <w:sz w:val="20"/>
        </w:rPr>
      </w:pPr>
      <w:r>
        <w:rPr>
          <w:rFonts w:ascii="Arial;sans-serif" w:hAnsi="Arial;sans-serif"/>
          <w:b w:val="false"/>
          <w:sz w:val="20"/>
        </w:rPr>
        <w:t>South San Francisco, California 94080</w:t>
      </w:r>
    </w:p>
    <w:p>
      <w:pPr>
        <w:pStyle w:val="TextBody"/>
        <w:spacing w:before="0" w:after="0"/>
        <w:jc w:val="center"/>
        <w:rPr>
          <w:rFonts w:ascii="Arial;sans-serif" w:hAnsi="Arial;sans-serif"/>
          <w:b w:val="false"/>
          <w:sz w:val="20"/>
        </w:rPr>
      </w:pPr>
      <w:r>
        <w:rPr>
          <w:rFonts w:ascii="Arial;sans-serif" w:hAnsi="Arial;sans-serif"/>
          <w:b w:val="false"/>
          <w:sz w:val="20"/>
        </w:rPr>
        <w:t>(650) 466-7125</w:t>
      </w:r>
    </w:p>
    <w:p>
      <w:pPr>
        <w:pStyle w:val="TextBody"/>
        <w:spacing w:before="240" w:after="0"/>
        <w:jc w:val="left"/>
        <w:rPr>
          <w:rFonts w:ascii="Times New Roman" w:hAnsi="Times New Roman"/>
          <w:sz w:val="20"/>
        </w:rPr>
      </w:pPr>
      <w:r>
        <w:rPr>
          <w:rFonts w:ascii="Arial;sans-serif" w:hAnsi="Arial;sans-serif"/>
          <w:b w:val="false"/>
          <w:sz w:val="20"/>
        </w:rPr>
        <w:t>Stockholders who hold shares in street name may contact their brokerage firm, bank, broker-dealer or other nominee to request information about householding.</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Arial;sans-serif" w:hAnsi="Arial;sans-serif"/>
          <w:b/>
          <w:sz w:val="20"/>
        </w:rPr>
        <w:t>How can I find out the results of the voting at the Annual Meeting?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What is the deadline to propose actions for consideration at next year’s annual meeting of stockholders or to nominate individuals to serve as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0"/>
        </w:rPr>
        <w:t>Stockholder Proposals or Director Nominations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2024 annual meeting of stockholders, our Secretary must receive the written proposal at our principal executive offices not later than December 26, 2023.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Arial;sans-serif" w:hAnsi="Arial;sans-serif"/>
          <w:b w:val="false"/>
          <w:sz w:val="20"/>
        </w:rPr>
        <w:t>ALX Oncology Holdings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Attention: Secretary</w:t>
      </w:r>
      <w:r>
        <w:rPr>
          <w:rFonts w:ascii="Times New Roman" w:hAnsi="Times New Roman"/>
          <w:sz w:val="20"/>
        </w:rPr>
        <w:t xml:space="preserve"> </w:t>
      </w:r>
    </w:p>
    <w:p>
      <w:pPr>
        <w:pStyle w:val="TextBody"/>
        <w:spacing w:before="0" w:after="0"/>
        <w:jc w:val="center"/>
        <w:rPr>
          <w:rFonts w:ascii="Arial;sans-serif" w:hAnsi="Arial;sans-serif"/>
          <w:b w:val="false"/>
          <w:sz w:val="20"/>
        </w:rPr>
      </w:pPr>
      <w:r>
        <w:rPr>
          <w:rFonts w:ascii="Arial;sans-serif" w:hAnsi="Arial;sans-serif"/>
          <w:b w:val="false"/>
          <w:sz w:val="20"/>
        </w:rPr>
        <w:t>323 Allerton Avenue</w:t>
      </w:r>
    </w:p>
    <w:p>
      <w:pPr>
        <w:pStyle w:val="TextBody"/>
        <w:spacing w:before="0" w:after="0"/>
        <w:jc w:val="center"/>
        <w:rPr>
          <w:rFonts w:ascii="Arial;sans-serif" w:hAnsi="Arial;sans-serif"/>
          <w:b w:val="false"/>
          <w:sz w:val="20"/>
        </w:rPr>
      </w:pPr>
      <w:r>
        <w:rPr>
          <w:rFonts w:ascii="Arial;sans-serif" w:hAnsi="Arial;sans-serif"/>
          <w:b w:val="false"/>
          <w:sz w:val="20"/>
        </w:rPr>
        <w:t>South San Francisco, California 94080</w:t>
      </w:r>
    </w:p>
    <w:p>
      <w:pPr>
        <w:pStyle w:val="TextBody"/>
        <w:spacing w:before="240" w:after="0"/>
        <w:jc w:val="left"/>
        <w:rPr>
          <w:rFonts w:ascii="Times New Roman" w:hAnsi="Times New Roman"/>
          <w:sz w:val="20"/>
        </w:rPr>
      </w:pPr>
      <w:r>
        <w:rPr>
          <w:rFonts w:ascii="Arial;sans-serif" w:hAnsi="Arial;sans-serif"/>
          <w:b w:val="false"/>
          <w:sz w:val="20"/>
        </w:rPr>
        <w:t>Our Bylaws also establish an advance notice procedure for stockholders who wish to present a proposal or nominate a director at an annual meeting of stockholders but do not intend for the proposal or director nominee to be included in our proxy statement. In addition to satisfying the requirements of our Bylaws, shareholders who intend to nominate directors other than the directors we have nominated must also comply with the additional requirements of Rule 14a-19 under the Exchange Act. Our Bylaws provide that the only business that may be conducted at an annual meeting is business that is (i) specified 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Secretary, which notice must contain the information specified in our Bylaws. To be timely for our 2024 annual meeting of stockholders, our Secretary must receive the written notice at our principal executive offices:</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not earlier than February 9, 2024;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not later than March 10, 2024. </w:t>
      </w:r>
    </w:p>
    <w:p>
      <w:pPr>
        <w:pStyle w:val="TextBody"/>
        <w:spacing w:before="240" w:after="0"/>
        <w:jc w:val="left"/>
        <w:rPr>
          <w:rFonts w:ascii="Times New Roman" w:hAnsi="Times New Roman"/>
          <w:sz w:val="20"/>
        </w:rPr>
      </w:pPr>
      <w:r>
        <w:rPr>
          <w:rFonts w:ascii="Arial;sans-serif" w:hAnsi="Arial;sans-serif"/>
          <w:b w:val="false"/>
          <w:sz w:val="20"/>
        </w:rPr>
        <w:t>In the event that we hold our 2024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the 90th day prior to such annual meeting; or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the 10th day following the day on which public announcement of the date of such annual meeting is first made. </w:t>
      </w:r>
    </w:p>
    <w:p>
      <w:pPr>
        <w:pStyle w:val="TextBody"/>
        <w:spacing w:before="200" w:after="0"/>
        <w:jc w:val="center"/>
        <w:rPr>
          <w:rFonts w:ascii="Arial;sans-serif" w:hAnsi="Arial;sans-serif"/>
          <w:b w:val="false"/>
          <w:sz w:val="20"/>
        </w:rPr>
      </w:pPr>
      <w:r>
        <w:rPr>
          <w:rFonts w:ascii="Arial;sans-serif" w:hAnsi="Arial;sans-serif"/>
          <w:b w:val="false"/>
          <w:sz w:val="20"/>
        </w:rPr>
        <w:t>7</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If a stockholder who has notified us of their intention to present a proposal at an annual meeting does not appear to present their proposal at such annual meeting, we are not required to present the proposal for a vote at such annual meeting.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val="false"/>
          <w:i/>
          <w:sz w:val="20"/>
        </w:rPr>
        <w:t>Availability of Bylaws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A copy of our Bylaws may be obtained by accessing our public filings on the SEC’s website at http://www.sec.gov. You may also contact our Secretary at our principal executive office for a copy of the relevant provisions in our Bylaws regarding the requirements for making stockholder proposals and nominating director candidates.</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3" w:name="board_of_directors_and_corporate"/>
      <w:bookmarkEnd w:id="3"/>
      <w:r>
        <w:rPr>
          <w:rFonts w:ascii="Arial;sans-serif" w:hAnsi="Arial;sans-serif"/>
          <w:b/>
          <w:sz w:val="20"/>
        </w:rPr>
        <w:t>BOARD OF DIRECTORS AND CORPORATE GOVERNANCE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business affairs are managed under the direction of our board of directors, which currently consists of eight members. Our board of directors has affirmatively determined that six of our eight directors qualify as “independent” within the meaning of the listing standards of the Nasdaq Stock Market LLC. Our board of directors is divided into three classes with staggered three-year terms. At each annual meeting of stockholders, a class of director(s) will be elected for a three-year term to succeed the same class whose term is then expiring.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Upon the recommendation of our corporate governance and nominating committee, we are nominating Scott Garland, Rekha Hemrajani and Jaume Pons, Ph.D. as Class III directors at the Annual Meeting. If elected, Mr. Garland, Ms. Hemrajani and Dr. Pons will each hold office for a three-year term until the annual meeting of stockholders to be held in 2026 or until their successors are duly elected and qualified.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following table sets forth the names, ages and certain other information, including the composition of the committees, as of the date of this proxy statement, for each of the directors with terms expiring at the Annual Meeting (who are also nominees for election as a director at the Annual Meeting), and for each of the continuing directors: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92"/>
        <w:gridCol w:w="146"/>
        <w:gridCol w:w="541"/>
        <w:gridCol w:w="146"/>
        <w:gridCol w:w="421"/>
        <w:gridCol w:w="146"/>
        <w:gridCol w:w="2194"/>
        <w:gridCol w:w="146"/>
        <w:gridCol w:w="197"/>
        <w:gridCol w:w="718"/>
        <w:gridCol w:w="146"/>
        <w:gridCol w:w="146"/>
        <w:gridCol w:w="241"/>
        <w:gridCol w:w="871"/>
        <w:gridCol w:w="146"/>
        <w:gridCol w:w="146"/>
        <w:gridCol w:w="405"/>
        <w:gridCol w:w="1462"/>
        <w:gridCol w:w="195"/>
      </w:tblGrid>
      <w:tr>
        <w:trPr/>
        <w:tc>
          <w:tcPr>
            <w:tcW w:w="17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7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Director Since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Current Term Expires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Expiration of Term For Which Nominated</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9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Director Nominees</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r>
      <w:tr>
        <w:trPr/>
        <w:tc>
          <w:tcPr>
            <w:tcW w:w="17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Scott Garland</w:t>
            </w:r>
            <w:r>
              <w:rPr>
                <w:rFonts w:ascii="Arial;sans-serif" w:hAnsi="Arial;sans-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III</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54</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14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2026</w:t>
            </w:r>
          </w:p>
        </w:tc>
        <w:tc>
          <w:tcPr>
            <w:tcW w:w="195" w:type="dxa"/>
            <w:tcBorders/>
            <w:shd w:fill="auto" w:val="clear"/>
            <w:vAlign w:val="center"/>
          </w:tcPr>
          <w:p>
            <w:pPr>
              <w:pStyle w:val="TableContents"/>
              <w:spacing w:before="0" w:after="0"/>
              <w:ind w:left="0" w:right="0" w:hanging="0"/>
              <w:jc w:val="left"/>
              <w:rPr/>
            </w:pPr>
            <w:r>
              <w:rPr/>
              <w:t> </w:t>
            </w:r>
          </w:p>
        </w:tc>
      </w:tr>
      <w:tr>
        <w:trPr/>
        <w:tc>
          <w:tcPr>
            <w:tcW w:w="17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Rekha Hemrajani</w:t>
            </w:r>
            <w:r>
              <w:rPr>
                <w:rFonts w:ascii="Arial;sans-serif" w:hAnsi="Arial;sans-serif"/>
                <w:b w:val="false"/>
                <w:sz w:val="13"/>
              </w:rPr>
              <w:t>(1)(3)</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III</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53</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14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2026</w:t>
            </w:r>
          </w:p>
        </w:tc>
        <w:tc>
          <w:tcPr>
            <w:tcW w:w="195" w:type="dxa"/>
            <w:tcBorders/>
            <w:shd w:fill="auto" w:val="clear"/>
            <w:vAlign w:val="center"/>
          </w:tcPr>
          <w:p>
            <w:pPr>
              <w:pStyle w:val="TableContents"/>
              <w:spacing w:before="0" w:after="0"/>
              <w:ind w:left="0" w:right="0" w:hanging="0"/>
              <w:jc w:val="left"/>
              <w:rPr/>
            </w:pPr>
            <w:r>
              <w:rPr/>
              <w:t> </w:t>
            </w:r>
          </w:p>
        </w:tc>
      </w:tr>
      <w:tr>
        <w:trPr/>
        <w:tc>
          <w:tcPr>
            <w:tcW w:w="179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Jaume Pons, Ph.D.</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III</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57</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President, Chief Executive Officer and Director</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14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2026</w:t>
            </w:r>
          </w:p>
        </w:tc>
        <w:tc>
          <w:tcPr>
            <w:tcW w:w="195" w:type="dxa"/>
            <w:tcBorders/>
            <w:shd w:fill="auto" w:val="clear"/>
            <w:vAlign w:val="center"/>
          </w:tcPr>
          <w:p>
            <w:pPr>
              <w:pStyle w:val="TableContents"/>
              <w:spacing w:before="0" w:after="0"/>
              <w:ind w:left="0" w:right="0" w:hanging="0"/>
              <w:jc w:val="left"/>
              <w:rPr/>
            </w:pPr>
            <w:r>
              <w:rPr/>
              <w:t> </w:t>
            </w:r>
          </w:p>
        </w:tc>
      </w:tr>
      <w:tr>
        <w:trPr/>
        <w:tc>
          <w:tcPr>
            <w:tcW w:w="179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Continuing Directors</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rFonts w:cs="Arial;sans-serif"/>
                <w:bCs w:val="false"/>
                <w:szCs w:val="20"/>
              </w:rPr>
            </w:pPr>
            <w:r>
              <w:rPr>
                <w:rFonts w:cs="Arial;sans-serif"/>
                <w:bCs w:val="false"/>
                <w:szCs w:val="20"/>
              </w:rPr>
              <w:t>﻿</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rFonts w:cs="Arial;sans-serif"/>
                <w:bCs w:val="false"/>
                <w:szCs w:val="20"/>
              </w:rPr>
            </w:pPr>
            <w:r>
              <w:rPr>
                <w:rFonts w:cs="Arial;sans-serif"/>
                <w:bCs w:val="false"/>
                <w:szCs w:val="20"/>
              </w:rPr>
              <w:t>﻿</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r>
      <w:tr>
        <w:trPr/>
        <w:tc>
          <w:tcPr>
            <w:tcW w:w="17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Corey Goodman, Ph.D.</w:t>
            </w:r>
            <w:r>
              <w:rPr>
                <w:rFonts w:ascii="Arial;sans-serif" w:hAnsi="Arial;sans-serif"/>
                <w:b w:val="false"/>
                <w:sz w:val="13"/>
              </w:rPr>
              <w:t>(2)(3)</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I</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71</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Executive Chairman</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7" w:type="dxa"/>
            <w:gridSpan w:val="2"/>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right"/>
              <w:rPr/>
            </w:pPr>
            <w:r>
              <w:rPr/>
              <w:t> </w:t>
            </w:r>
          </w:p>
        </w:tc>
      </w:tr>
      <w:tr>
        <w:trPr/>
        <w:tc>
          <w:tcPr>
            <w:tcW w:w="17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Jason Lettmann</w:t>
            </w:r>
            <w:r>
              <w:rPr>
                <w:rFonts w:ascii="Arial;sans-serif" w:hAnsi="Arial;sans-serif"/>
                <w:b w:val="false"/>
                <w:sz w:val="13"/>
              </w:rPr>
              <w:t>(1)(2)(3)</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I</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45</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7" w:type="dxa"/>
            <w:gridSpan w:val="2"/>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right"/>
              <w:rPr/>
            </w:pPr>
            <w:r>
              <w:rPr/>
              <w:t> </w:t>
            </w:r>
          </w:p>
        </w:tc>
      </w:tr>
      <w:tr>
        <w:trPr/>
        <w:tc>
          <w:tcPr>
            <w:tcW w:w="179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Sophia Randolph, M.D., Ph.D.</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I</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55</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Chief Medical Officer and Director</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7" w:type="dxa"/>
            <w:gridSpan w:val="2"/>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right"/>
              <w:rPr/>
            </w:pPr>
            <w:r>
              <w:rPr/>
              <w:t> </w:t>
            </w:r>
          </w:p>
        </w:tc>
      </w:tr>
      <w:tr>
        <w:trPr/>
        <w:tc>
          <w:tcPr>
            <w:tcW w:w="17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Itziar Canamasas, Ph.D.</w:t>
            </w:r>
            <w:r>
              <w:rPr>
                <w:rFonts w:ascii="Arial;sans-serif" w:hAnsi="Arial;sans-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II</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49</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7" w:type="dxa"/>
            <w:gridSpan w:val="2"/>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right"/>
              <w:rPr/>
            </w:pPr>
            <w:r>
              <w:rPr/>
              <w:t> </w:t>
            </w:r>
          </w:p>
        </w:tc>
      </w:tr>
      <w:tr>
        <w:trPr/>
        <w:tc>
          <w:tcPr>
            <w:tcW w:w="1792"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Jack Nielsen</w:t>
            </w:r>
            <w:r>
              <w:rPr>
                <w:rFonts w:ascii="Arial;sans-serif" w:hAnsi="Arial;sans-serif"/>
                <w:b w:val="false"/>
                <w:sz w:val="13"/>
              </w:rPr>
              <w:t>(1)(2)</w:t>
            </w:r>
          </w:p>
        </w:tc>
        <w:tc>
          <w:tcPr>
            <w:tcW w:w="146"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II</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59</w:t>
            </w:r>
          </w:p>
        </w:tc>
        <w:tc>
          <w:tcPr>
            <w:tcW w:w="146" w:type="dxa"/>
            <w:tcBorders/>
            <w:shd w:fill="auto" w:val="clear"/>
            <w:vAlign w:val="center"/>
          </w:tcPr>
          <w:p>
            <w:pPr>
              <w:pStyle w:val="TableContents"/>
              <w:spacing w:before="0" w:after="0"/>
              <w:ind w:left="0" w:right="0" w:hanging="0"/>
              <w:jc w:val="left"/>
              <w:rPr/>
            </w:pPr>
            <w:r>
              <w:rPr/>
              <w:t> </w:t>
            </w:r>
          </w:p>
        </w:tc>
        <w:tc>
          <w:tcPr>
            <w:tcW w:w="219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Director</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71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7" w:type="dxa"/>
            <w:gridSpan w:val="2"/>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(1)</w:t>
      </w:r>
    </w:p>
    <w:p>
      <w:pPr>
        <w:pStyle w:val="TextBody"/>
        <w:spacing w:before="0" w:after="0"/>
        <w:jc w:val="left"/>
        <w:rPr>
          <w:rFonts w:ascii="Arial;sans-serif" w:hAnsi="Arial;sans-serif"/>
          <w:b w:val="false"/>
          <w:sz w:val="18"/>
        </w:rPr>
      </w:pPr>
      <w:r>
        <w:rPr>
          <w:rFonts w:ascii="Arial;sans-serif" w:hAnsi="Arial;sans-serif"/>
          <w:b w:val="false"/>
          <w:sz w:val="18"/>
        </w:rPr>
        <w:t>Member of our audit committee</w:t>
      </w:r>
    </w:p>
    <w:p>
      <w:pPr>
        <w:pStyle w:val="TextBody"/>
        <w:spacing w:before="120" w:after="0"/>
        <w:jc w:val="left"/>
        <w:rPr>
          <w:rFonts w:ascii="Arial" w:hAnsi="Arial"/>
          <w:b w:val="false"/>
          <w:sz w:val="18"/>
        </w:rPr>
      </w:pPr>
      <w:r>
        <w:rPr>
          <w:rFonts w:ascii="Arial" w:hAnsi="Arial"/>
          <w:b w:val="false"/>
          <w:sz w:val="18"/>
        </w:rPr>
        <w:t>(2)</w:t>
      </w:r>
    </w:p>
    <w:p>
      <w:pPr>
        <w:pStyle w:val="TextBody"/>
        <w:spacing w:before="120" w:after="0"/>
        <w:jc w:val="left"/>
        <w:rPr>
          <w:rFonts w:ascii="Arial;sans-serif" w:hAnsi="Arial;sans-serif"/>
          <w:b w:val="false"/>
          <w:sz w:val="18"/>
        </w:rPr>
      </w:pPr>
      <w:r>
        <w:rPr>
          <w:rFonts w:ascii="Arial;sans-serif" w:hAnsi="Arial;sans-serif"/>
          <w:b w:val="false"/>
          <w:sz w:val="18"/>
        </w:rPr>
        <w:t>Member of our compensation committee</w:t>
      </w:r>
    </w:p>
    <w:p>
      <w:pPr>
        <w:pStyle w:val="TextBody"/>
        <w:spacing w:before="120" w:after="0"/>
        <w:jc w:val="left"/>
        <w:rPr>
          <w:rFonts w:ascii="Arial" w:hAnsi="Arial"/>
          <w:b w:val="false"/>
          <w:sz w:val="18"/>
        </w:rPr>
      </w:pPr>
      <w:r>
        <w:rPr>
          <w:rFonts w:ascii="Arial" w:hAnsi="Arial"/>
          <w:b w:val="false"/>
          <w:sz w:val="18"/>
        </w:rPr>
        <w:t>(3)</w:t>
      </w:r>
    </w:p>
    <w:p>
      <w:pPr>
        <w:pStyle w:val="TextBody"/>
        <w:spacing w:before="120" w:after="283"/>
        <w:jc w:val="left"/>
        <w:rPr>
          <w:rFonts w:ascii="Arial;sans-serif" w:hAnsi="Arial;sans-serif"/>
          <w:b w:val="false"/>
          <w:sz w:val="18"/>
        </w:rPr>
      </w:pPr>
      <w:r>
        <w:rPr>
          <w:rFonts w:ascii="Arial;sans-serif" w:hAnsi="Arial;sans-serif"/>
          <w:b w:val="false"/>
          <w:sz w:val="18"/>
        </w:rPr>
        <w:t>Member of our corporate governance and nominating committee</w:t>
      </w:r>
    </w:p>
    <w:p>
      <w:pPr>
        <w:pStyle w:val="TextBody"/>
        <w:spacing w:before="360" w:after="0"/>
        <w:jc w:val="left"/>
        <w:rPr>
          <w:rFonts w:ascii="Times New Roman" w:hAnsi="Times New Roman"/>
          <w:sz w:val="20"/>
        </w:rPr>
      </w:pPr>
      <w:bookmarkStart w:id="4" w:name="director_nominees"/>
      <w:bookmarkEnd w:id="4"/>
      <w:r>
        <w:rPr>
          <w:rFonts w:ascii="Arial;sans-serif" w:hAnsi="Arial;sans-serif"/>
          <w:b/>
          <w:sz w:val="20"/>
        </w:rPr>
        <w:t>Director Nominees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i/>
          <w:sz w:val="20"/>
        </w:rPr>
        <w:t>Scott Garland</w:t>
      </w:r>
      <w:r>
        <w:rPr>
          <w:rFonts w:ascii="Times New Roman" w:hAnsi="Times New Roman"/>
          <w:sz w:val="20"/>
        </w:rPr>
        <w:t xml:space="preserve"> </w:t>
      </w:r>
      <w:r>
        <w:rPr>
          <w:rFonts w:ascii="Arial;sans-serif" w:hAnsi="Arial;sans-serif"/>
          <w:b w:val="false"/>
          <w:sz w:val="20"/>
        </w:rPr>
        <w:t>has served as a member of our board of directors since November 2022. He served as the Chief Executive Officer of PACT Pharma, Inc., an immuno-oncology company, from March 2021 to February 2023. Mr. Garland remains a member of PACT’s board of directors</w:t>
      </w:r>
      <w:r>
        <w:rPr>
          <w:rFonts w:ascii="Arial;sans-serif" w:hAnsi="Arial;sans-serif"/>
          <w:b w:val="false"/>
          <w:sz w:val="22"/>
        </w:rPr>
        <w:t xml:space="preserve">. </w:t>
      </w:r>
      <w:r>
        <w:rPr>
          <w:rFonts w:ascii="Arial;sans-serif" w:hAnsi="Arial;sans-serif"/>
          <w:b w:val="false"/>
          <w:sz w:val="20"/>
        </w:rPr>
        <w:t>Mr. Garland previously served as President, Chief Executive Officer and a member of the board of Portola Pharmaceuticals, Inc., a biopharmaceutical company, from October 2018 until July 2020 when it was acquired by Alexion Pharmaceuticals, Inc. From April 2017 to September 2018, he served as President of Relypsa Inc., a biopharmaceutical company, and as Senior Vice President and Chief Commercial Officer from October 2014 to April 2017. From October 2011 to October 2014, Mr. Garland served as Executive Vice President and Chief Commercial Officer of Exelixis, Inc., a biopharmaceutical company focused on developing and commercializing cancer treatments. He currently serves as a member of the board of directors of Calithera Biosciences, Inc. and Day One Pharmaceuticals, Inc., and previously served on the board of directors of</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9</w:t>
      </w:r>
    </w:p>
    <w:p>
      <w:pPr>
        <w:pStyle w:val="HorizontalLine"/>
        <w:rPr/>
      </w:pPr>
      <w:r>
        <w:rPr/>
      </w:r>
    </w:p>
    <w:p>
      <w:pPr>
        <w:pStyle w:val="TextBody"/>
        <w:spacing w:before="0" w:after="0"/>
        <w:jc w:val="left"/>
        <w:rPr/>
      </w:pPr>
      <w:r>
        <w:rPr/>
        <w:t> </w:t>
      </w:r>
    </w:p>
    <w:p>
      <w:pPr>
        <w:pStyle w:val="TextBody"/>
        <w:spacing w:before="240" w:after="0"/>
        <w:jc w:val="both"/>
        <w:rPr>
          <w:rFonts w:ascii="Arial;sans-serif" w:hAnsi="Arial;sans-serif"/>
          <w:b w:val="false"/>
          <w:sz w:val="20"/>
        </w:rPr>
      </w:pPr>
      <w:r>
        <w:rPr>
          <w:rFonts w:ascii="Arial;sans-serif" w:hAnsi="Arial;sans-serif"/>
          <w:b w:val="false"/>
          <w:sz w:val="20"/>
        </w:rPr>
        <w:t>Karyopharm Therapeutics Inc. Mr. Garland holds a B.S. in Biological Sciences from California Polytechnic State University (San Luis Obispo) and an M.B.A. from Duke University’s Fuqua School of Business.</w:t>
      </w:r>
    </w:p>
    <w:p>
      <w:pPr>
        <w:pStyle w:val="TextBody"/>
        <w:spacing w:before="240" w:after="0"/>
        <w:jc w:val="both"/>
        <w:rPr>
          <w:rFonts w:ascii="Arial;sans-serif" w:hAnsi="Arial;sans-serif"/>
          <w:b w:val="false"/>
          <w:sz w:val="20"/>
        </w:rPr>
      </w:pPr>
      <w:r>
        <w:rPr>
          <w:rFonts w:ascii="Arial;sans-serif" w:hAnsi="Arial;sans-serif"/>
          <w:b w:val="false"/>
          <w:sz w:val="20"/>
        </w:rPr>
        <w:t>We believe Mr. Garland’s experience in the biotechnology industry qualifies him to serve on our board of directors.</w:t>
      </w:r>
    </w:p>
    <w:p>
      <w:pPr>
        <w:pStyle w:val="TextBody"/>
        <w:spacing w:before="240" w:after="0"/>
        <w:jc w:val="both"/>
        <w:rPr>
          <w:rFonts w:ascii="Times New Roman" w:hAnsi="Times New Roman"/>
          <w:sz w:val="20"/>
        </w:rPr>
      </w:pPr>
      <w:r>
        <w:rPr>
          <w:rFonts w:ascii="Arial;sans-serif" w:hAnsi="Arial;sans-serif"/>
          <w:b/>
          <w:i/>
          <w:sz w:val="20"/>
        </w:rPr>
        <w:t xml:space="preserve">Rekha Hemrajani </w:t>
      </w:r>
      <w:r>
        <w:rPr>
          <w:rFonts w:ascii="Arial;sans-serif" w:hAnsi="Arial;sans-serif"/>
          <w:b w:val="false"/>
          <w:sz w:val="20"/>
        </w:rPr>
        <w:t>has served as a member of our board of directors since April 2020. Ms. Hemrajani served as Chief Executive Officer and Director of Jiya Acquisition Corporation from August 2020 to November 2022.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 She currently serves as a director of MaxCyte, Inc., a provider of cell-engineering platform technologies, and a privately-held company and previously served as a director of Adverum Biotechnologies, Inc., Aravive, Inc. and Jiya Acquisition Corp. She holds a B.S. in Economics and Computer Science from the University of Michigan and an M.B.A. from the Kellogg Graduate School of Management at Northwestern University.</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20"/>
        </w:rPr>
        <w:t>We believe Ms. Hemrajani is qualified to serve on our board of directors due to her executive and financial experience at multiple companies in the biopharmaceutical and biotechnology industries.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i/>
          <w:sz w:val="20"/>
        </w:rPr>
        <w:t xml:space="preserve">Jaume Pons, Ph.D. </w:t>
      </w:r>
      <w:r>
        <w:rPr>
          <w:rFonts w:ascii="Arial;sans-serif" w:hAnsi="Arial;sans-serif"/>
          <w:b w:val="false"/>
          <w:sz w:val="20"/>
        </w:rPr>
        <w:t>has served as our President, Chief Executive Officer and as a member of our board of directors since April 2015. He has also 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Worldwide Research and Development Leadership Team and Chief Technology Officer for Pfizer Biotherapeutics from September 2009 to February 2015. From October 2007 to February 2015, he served as Chief Scientific Officer at Rinat Neuroscience Corporation, a subsidiary of Pfizer. Dr. Pons holds a B.S. in Biochemistry from Autonomous University of Barcelona and an M.S. in Biotechnology and a Ph.D. in Molecular and Cell Biology from the Institute on Fundamental Biology, Barcelona (Autonomous University of Barcelona).</w:t>
      </w:r>
      <w:r>
        <w:rPr>
          <w:rFonts w:ascii="Times New Roman" w:hAnsi="Times New Roman"/>
          <w:sz w:val="20"/>
        </w:rPr>
        <w:t xml:space="preserve"> </w:t>
      </w:r>
    </w:p>
    <w:p>
      <w:pPr>
        <w:pStyle w:val="TextBody"/>
        <w:spacing w:before="240" w:after="0"/>
        <w:jc w:val="both"/>
        <w:rPr>
          <w:rFonts w:ascii="Arial;sans-serif" w:hAnsi="Arial;sans-serif"/>
          <w:b w:val="false"/>
          <w:sz w:val="20"/>
        </w:rPr>
      </w:pPr>
      <w:r>
        <w:rPr>
          <w:rFonts w:ascii="Arial;sans-serif" w:hAnsi="Arial;sans-serif"/>
          <w:b w:val="false"/>
          <w:sz w:val="20"/>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expertise.</w:t>
      </w:r>
    </w:p>
    <w:p>
      <w:pPr>
        <w:pStyle w:val="TextBody"/>
        <w:spacing w:before="360" w:after="0"/>
        <w:jc w:val="left"/>
        <w:rPr>
          <w:rFonts w:ascii="Arial;sans-serif" w:hAnsi="Arial;sans-serif"/>
          <w:b/>
          <w:sz w:val="20"/>
        </w:rPr>
      </w:pPr>
      <w:bookmarkStart w:id="5" w:name="continuing_directors"/>
      <w:bookmarkEnd w:id="5"/>
      <w:r>
        <w:rPr>
          <w:rFonts w:ascii="Arial;sans-serif" w:hAnsi="Arial;sans-serif"/>
          <w:b/>
          <w:sz w:val="20"/>
        </w:rPr>
        <w:t>Continuing Directors</w:t>
      </w:r>
    </w:p>
    <w:p>
      <w:pPr>
        <w:pStyle w:val="TextBody"/>
        <w:spacing w:before="240" w:after="0"/>
        <w:jc w:val="both"/>
        <w:rPr>
          <w:rFonts w:ascii="Times New Roman" w:hAnsi="Times New Roman"/>
          <w:sz w:val="20"/>
        </w:rPr>
      </w:pPr>
      <w:r>
        <w:rPr>
          <w:rFonts w:ascii="Arial;sans-serif" w:hAnsi="Arial;sans-serif"/>
          <w:b/>
          <w:i/>
          <w:sz w:val="20"/>
        </w:rPr>
        <w:t xml:space="preserve">Itziar Canamasas, Ph.D. </w:t>
      </w:r>
      <w:r>
        <w:rPr>
          <w:rFonts w:ascii="Arial;sans-serif" w:hAnsi="Arial;sans-serif"/>
          <w:b w:val="false"/>
          <w:sz w:val="20"/>
        </w:rPr>
        <w:t>has served as a member of our board of directors since April 2022. She has served as Chief Executive Officer of AtG Therapeutics, a preclinical stage biotech focused on stopping cancer metabolic adaptation, since February 2023. Dr. Canamasas was most recently the Head of Oncology EMEA, from August 2020 to July 2022, with responsibility for the commercial success of Oncology in the Region for Bayer Consumer Care AG, Switzerland, a subsidiary of Bayer AG. She has previously served as Managing Director and Country Head of Pharmaceuticals for Bayer Ltd, Ireland, a subsidiary of Bayer AG from May 2017 to July 2020 and prior to that, as VP of Global Marketing Oncology for Bayer Corporation, USA, a subsidiary of Bayer AG. Since 2021, Dr. Canamasas has served as the Organizational Development Director for the Ambassador Program of the Healthcare Businesswomen’s Association. She previously served on the board for Bayer Ltd, a subsidiary of Bayer AG. Dr. Canamasas holds a Llicenciatura in Biology from Universitat de Barcelona and a Ph.D. in Biology, with a focus on Tumor Genetics from Johannes Gutenberg-Universität Mainz.</w:t>
      </w:r>
    </w:p>
    <w:p>
      <w:pPr>
        <w:pStyle w:val="TextBody"/>
        <w:spacing w:before="200" w:after="0"/>
        <w:jc w:val="center"/>
        <w:rPr>
          <w:rFonts w:ascii="Arial;sans-serif" w:hAnsi="Arial;sans-serif"/>
          <w:b w:val="false"/>
          <w:sz w:val="20"/>
        </w:rPr>
      </w:pPr>
      <w:r>
        <w:rPr>
          <w:rFonts w:ascii="Arial;sans-serif" w:hAnsi="Arial;sans-serif"/>
          <w:b w:val="false"/>
          <w:sz w:val="20"/>
        </w:rPr>
        <w:t>10</w:t>
      </w:r>
    </w:p>
    <w:p>
      <w:pPr>
        <w:pStyle w:val="HorizontalLine"/>
        <w:rPr/>
      </w:pPr>
      <w:r>
        <w:rPr/>
      </w:r>
    </w:p>
    <w:p>
      <w:pPr>
        <w:pStyle w:val="TextBody"/>
        <w:spacing w:before="0" w:after="0"/>
        <w:jc w:val="left"/>
        <w:rPr/>
      </w:pPr>
      <w:r>
        <w:rPr/>
        <w:t> </w:t>
      </w:r>
    </w:p>
    <w:p>
      <w:pPr>
        <w:pStyle w:val="TextBody"/>
        <w:spacing w:before="240" w:after="0"/>
        <w:jc w:val="both"/>
        <w:rPr>
          <w:rFonts w:ascii="Arial;sans-serif" w:hAnsi="Arial;sans-serif"/>
          <w:b w:val="false"/>
          <w:sz w:val="20"/>
        </w:rPr>
      </w:pPr>
      <w:r>
        <w:rPr>
          <w:rFonts w:ascii="Arial;sans-serif" w:hAnsi="Arial;sans-serif"/>
          <w:b w:val="false"/>
          <w:sz w:val="20"/>
        </w:rPr>
        <w:t>We believe Dr. Canamasas is qualified to serve on our board of directors because of her scientific knowledge, commercial and marketing experience and the breadth and depth of her management and leadership experience in the biotechnology and oncology sectors.</w:t>
      </w:r>
    </w:p>
    <w:p>
      <w:pPr>
        <w:pStyle w:val="TextBody"/>
        <w:spacing w:before="240" w:after="0"/>
        <w:jc w:val="both"/>
        <w:rPr>
          <w:rFonts w:ascii="Times New Roman" w:hAnsi="Times New Roman"/>
          <w:sz w:val="20"/>
        </w:rPr>
      </w:pPr>
      <w:r>
        <w:rPr>
          <w:rFonts w:ascii="Arial;sans-serif" w:hAnsi="Arial;sans-serif"/>
          <w:b/>
          <w:i/>
          <w:sz w:val="20"/>
        </w:rPr>
        <w:t xml:space="preserve">Corey Goodman, Ph.D. </w:t>
      </w:r>
      <w:r>
        <w:rPr>
          <w:rFonts w:ascii="Arial;sans-serif" w:hAnsi="Arial;sans-serif"/>
          <w:b w:val="false"/>
          <w:sz w:val="20"/>
        </w:rPr>
        <w:t>is our co-founder and has served as a member of our board of directors and as Executive Chairman since March 2015. 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to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 Dr. Goodman holds a B.S. in Biology from Stanford University and a Ph.D. in Neurobiology from U.C. Berkeley and was a postdoctoral fellow at U.C. San Diego.</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20"/>
        </w:rPr>
        <w:t>We believe Dr. Goodman is qualified to serve on our board of directors due to his experience founding and managing biotechnology companies in both the private and public markets.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i/>
          <w:sz w:val="20"/>
        </w:rPr>
        <w:t xml:space="preserve">Jason Lettmann </w:t>
      </w:r>
      <w:r>
        <w:rPr>
          <w:rFonts w:ascii="Arial;sans-serif" w:hAnsi="Arial;sans-serif"/>
          <w:b w:val="false"/>
          <w:sz w:val="20"/>
        </w:rPr>
        <w:t>has served as a member of our board of directors since April 2020 and previously served as a member of our board of directors from March 2015 to May 2017. Mr. Lettmann has served as a General Partner of 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20"/>
        </w:rPr>
        <w:t>We believe Mr. Lettmann is qualified to serve on our board of directors because of his industry experience, his experience serving on the boards of directors for multiple life sciences companies and his extensive experience with venture capital investments.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i/>
          <w:sz w:val="20"/>
        </w:rPr>
        <w:t xml:space="preserve">Jack Nielsen </w:t>
      </w:r>
      <w:r>
        <w:rPr>
          <w:rFonts w:ascii="Arial;sans-serif" w:hAnsi="Arial;sans-serif"/>
          <w:b w:val="false"/>
          <w:sz w:val="20"/>
        </w:rPr>
        <w:t>has served as a member of our board of directors since February 2020. Mr. Nielsen has served as a Managing Director at Vivo Capital LLC, a healthcare focused investment firm, since August 2017 and was promoted to Managing Partner in March 2021. He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Aligos Therapeutics Inc., a biotechnology company, Harmony Biosciences Holdings Inc., a pharmaceutical company, InstilBio, a clinical-stage cell therapy company, and IO Biotech, a clinical-stage biopharmaceutical company and previously served as a director of Crinetics Pharmaceuticals, Inc. and Reata Pharmaceuticals, Inc. Mr. Nielsen holds an M.Sc. in Chemical Engineering from the Technical University of Denmark and a Masters in Management of Technology from Center for Technology, Economics and Management, Technical University of Denmark.</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20"/>
        </w:rPr>
        <w:t>We believe Mr. Nielsen is qualified to serve on our board of directors because of his experience working in the biotechnology industry, his experience as a venture capital investor and his board service for several companies in the biotechnology sector.</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11</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Arial;sans-serif" w:hAnsi="Arial;sans-serif"/>
          <w:b/>
          <w:i/>
          <w:sz w:val="20"/>
        </w:rPr>
        <w:t xml:space="preserve">Sophia Randolph, M.D., Ph.D. </w:t>
      </w:r>
      <w:r>
        <w:rPr>
          <w:rFonts w:ascii="Arial;sans-serif" w:hAnsi="Arial;sans-serif"/>
          <w:b w:val="false"/>
          <w:sz w:val="20"/>
        </w:rPr>
        <w:t>has served as our Chief Medical Officer since June 2016 and as a member of our board of directors since March 2021. Prior to joining us, she was with Pfizer Oncology Early 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Arial;sans-serif" w:hAnsi="Arial;sans-serif"/>
          <w:b w:val="false"/>
          <w:sz w:val="20"/>
        </w:rPr>
        <w:t>We believe Dr. Randolph is qualified to serve on our board of directors because of her medical expertise and her extensive experience within the pharmaceutical and biotechnology sector.</w:t>
      </w:r>
      <w:r>
        <w:rPr>
          <w:rFonts w:ascii="Times New Roman" w:hAnsi="Times New Roman"/>
          <w:sz w:val="20"/>
        </w:rPr>
        <w:t xml:space="preserve"> </w:t>
      </w:r>
    </w:p>
    <w:p>
      <w:pPr>
        <w:pStyle w:val="TextBody"/>
        <w:spacing w:before="360" w:after="0"/>
        <w:jc w:val="left"/>
        <w:rPr>
          <w:rFonts w:ascii="Times New Roman" w:hAnsi="Times New Roman"/>
          <w:sz w:val="20"/>
        </w:rPr>
      </w:pPr>
      <w:bookmarkStart w:id="6" w:name="family_relationships"/>
      <w:bookmarkEnd w:id="6"/>
      <w:r>
        <w:rPr>
          <w:rFonts w:ascii="Arial;sans-serif" w:hAnsi="Arial;sans-serif"/>
          <w:b/>
          <w:sz w:val="20"/>
        </w:rPr>
        <w:t>Family Relationships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There are no family relationships among any of our directors or executive officers.</w:t>
      </w:r>
      <w:r>
        <w:rPr>
          <w:rFonts w:ascii="Times New Roman" w:hAnsi="Times New Roman"/>
          <w:sz w:val="20"/>
        </w:rPr>
        <w:t xml:space="preserve"> </w:t>
      </w:r>
    </w:p>
    <w:p>
      <w:pPr>
        <w:pStyle w:val="TextBody"/>
        <w:spacing w:before="360" w:after="0"/>
        <w:jc w:val="left"/>
        <w:rPr>
          <w:rFonts w:ascii="Times New Roman" w:hAnsi="Times New Roman"/>
          <w:sz w:val="20"/>
        </w:rPr>
      </w:pPr>
      <w:bookmarkStart w:id="7" w:name="director_independence"/>
      <w:bookmarkEnd w:id="7"/>
      <w:r>
        <w:rPr>
          <w:rFonts w:ascii="Arial;sans-serif" w:hAnsi="Arial;sans-serif"/>
          <w:b/>
          <w:sz w:val="20"/>
        </w:rPr>
        <w:t>Director Independence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common stock is listed on the Nasdaq Global Select Market (Nasdaq). Under the rules of Nasdaq, independent directors must comprise a majority of a listed company’s board of directors within one year of the completion of its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Canamasas and Goodman, Messrs. Garland, Lettmann and Nielsen and Ms. Hemrajani, representing six of our eight directors, do not have a relationship that would interfere with the exercise of independent judgment in carrying out the responsibilities of a director and that each of these directors is “independent” as that term is defined under the rules of Nasdaq.</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12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r>
        <w:rPr>
          <w:rFonts w:ascii="Times New Roman" w:hAnsi="Times New Roman"/>
          <w:sz w:val="20"/>
        </w:rPr>
        <w:t xml:space="preserve"> </w:t>
      </w:r>
    </w:p>
    <w:p>
      <w:pPr>
        <w:pStyle w:val="TextBody"/>
        <w:spacing w:before="360" w:after="0"/>
        <w:jc w:val="left"/>
        <w:rPr>
          <w:rFonts w:ascii="Times New Roman" w:hAnsi="Times New Roman"/>
          <w:sz w:val="20"/>
        </w:rPr>
      </w:pPr>
      <w:bookmarkStart w:id="8" w:name="board_leadership_structure"/>
      <w:bookmarkEnd w:id="8"/>
      <w:r>
        <w:rPr>
          <w:rFonts w:ascii="Arial;sans-serif" w:hAnsi="Arial;sans-serif"/>
          <w:b/>
          <w:sz w:val="20"/>
        </w:rPr>
        <w:t>Board Leadership Structure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and is not an officer of the company. We currently expect and intend the positions of Executive Chairman of our board of directors and Chief Executive Officer to continue to be held by two individuals in the future.</w:t>
      </w:r>
      <w:r>
        <w:rPr>
          <w:rFonts w:ascii="Times New Roman" w:hAnsi="Times New Roman"/>
          <w:sz w:val="20"/>
        </w:rPr>
        <w:t xml:space="preserve"> </w:t>
      </w:r>
    </w:p>
    <w:p>
      <w:pPr>
        <w:pStyle w:val="TextBody"/>
        <w:spacing w:before="360" w:after="0"/>
        <w:jc w:val="left"/>
        <w:rPr>
          <w:rFonts w:ascii="Arial;sans-serif" w:hAnsi="Arial;sans-serif"/>
          <w:b/>
          <w:sz w:val="20"/>
        </w:rPr>
      </w:pPr>
      <w:bookmarkStart w:id="9" w:name="board_diversity"/>
      <w:bookmarkEnd w:id="9"/>
      <w:r>
        <w:rPr>
          <w:rFonts w:ascii="Arial;sans-serif" w:hAnsi="Arial;sans-serif"/>
          <w:b/>
          <w:sz w:val="20"/>
        </w:rPr>
        <w:t>Board Diversity</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Although we do not have a specific policy with respect to Board diversity, diversity is important to us, and we have always had diversity across the company. We recognize the benefits associated with a diverse mix of individuals within our board of directors, including a diversity of experience, backgrounds, gender, race, ethnicity, sexual orientation and age.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corporate governance and nominating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Each of the categories listed in the table below has the meaning as it is used in Nasdaq Rule 5605(f).</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81"/>
        <w:gridCol w:w="736"/>
        <w:gridCol w:w="511"/>
        <w:gridCol w:w="1081"/>
        <w:gridCol w:w="1491"/>
        <w:gridCol w:w="736"/>
        <w:gridCol w:w="511"/>
        <w:gridCol w:w="1081"/>
        <w:gridCol w:w="1677"/>
      </w:tblGrid>
      <w:tr>
        <w:trPr/>
        <w:tc>
          <w:tcPr>
            <w:tcW w:w="23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677" w:type="dxa"/>
            <w:tcBorders/>
            <w:shd w:fill="auto" w:val="clear"/>
            <w:vAlign w:val="center"/>
          </w:tcPr>
          <w:p>
            <w:pPr>
              <w:pStyle w:val="TableContents"/>
              <w:spacing w:before="0" w:after="283"/>
              <w:ind w:left="0" w:right="0" w:firstLine="140"/>
              <w:rPr>
                <w:sz w:val="4"/>
                <w:szCs w:val="4"/>
              </w:rPr>
            </w:pPr>
            <w:r>
              <w:rPr>
                <w:sz w:val="4"/>
                <w:szCs w:val="4"/>
              </w:rPr>
            </w:r>
          </w:p>
        </w:tc>
      </w:tr>
      <w:tr>
        <w:trPr/>
        <w:tc>
          <w:tcPr>
            <w:tcW w:w="2381"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140" w:right="0" w:hanging="0"/>
              <w:jc w:val="left"/>
              <w:rPr>
                <w:rFonts w:ascii="Arial;sans-serif" w:hAnsi="Arial;sans-serif"/>
                <w:b/>
                <w:sz w:val="20"/>
              </w:rPr>
            </w:pPr>
            <w:r>
              <w:rPr>
                <w:rFonts w:ascii="Arial;sans-serif" w:hAnsi="Arial;sans-serif"/>
                <w:b/>
                <w:sz w:val="20"/>
              </w:rPr>
              <w:t>Board Diversity Matrix</w:t>
            </w:r>
          </w:p>
        </w:tc>
        <w:tc>
          <w:tcPr>
            <w:tcW w:w="3819" w:type="dxa"/>
            <w:gridSpan w:val="4"/>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As of December 31, 2022</w:t>
            </w:r>
          </w:p>
        </w:tc>
        <w:tc>
          <w:tcPr>
            <w:tcW w:w="4005" w:type="dxa"/>
            <w:gridSpan w:val="4"/>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firstLine="140"/>
              <w:jc w:val="center"/>
              <w:rPr>
                <w:rFonts w:ascii="Arial;sans-serif" w:hAnsi="Arial;sans-serif"/>
                <w:b/>
                <w:sz w:val="20"/>
              </w:rPr>
            </w:pPr>
            <w:r>
              <w:rPr>
                <w:rFonts w:ascii="Arial;sans-serif" w:hAnsi="Arial;sans-serif"/>
                <w:b/>
                <w:sz w:val="20"/>
              </w:rPr>
              <w:t>As of December 31, 2021</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Total Number of Directors</w:t>
            </w:r>
          </w:p>
        </w:tc>
        <w:tc>
          <w:tcPr>
            <w:tcW w:w="3819" w:type="dxa"/>
            <w:gridSpan w:val="4"/>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8</w:t>
            </w:r>
          </w:p>
        </w:tc>
        <w:tc>
          <w:tcPr>
            <w:tcW w:w="4005" w:type="dxa"/>
            <w:gridSpan w:val="4"/>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0"/>
              <w:jc w:val="center"/>
              <w:rPr>
                <w:rFonts w:ascii="Arial;sans-serif" w:hAnsi="Arial;sans-serif"/>
                <w:b w:val="false"/>
                <w:sz w:val="20"/>
              </w:rPr>
            </w:pPr>
            <w:r>
              <w:rPr>
                <w:rFonts w:ascii="Arial;sans-serif" w:hAnsi="Arial;sans-serif"/>
                <w:b w:val="false"/>
                <w:sz w:val="20"/>
              </w:rPr>
              <w:t>6</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0" w:right="0" w:hanging="0"/>
              <w:jc w:val="left"/>
              <w:rPr/>
            </w:pPr>
            <w:r>
              <w:rPr>
                <w:rFonts w:ascii="Arial;sans-serif" w:hAnsi="Arial;sans-serif"/>
                <w:b/>
                <w:sz w:val="20"/>
              </w:rPr>
              <w:t>Part I: Gender Identity</w:t>
            </w:r>
            <w:r>
              <w:rPr>
                <w:rFonts w:cs="Arial;sans-serif"/>
                <w:bCs/>
                <w:szCs w:val="20"/>
              </w:rPr>
              <w:t>﻿</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Female</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Male</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Non-Binary</w:t>
            </w:r>
          </w:p>
        </w:tc>
        <w:tc>
          <w:tcPr>
            <w:tcW w:w="14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Did Not Disclose Gender</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Female</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Male</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Non-Binary</w:t>
            </w:r>
          </w:p>
        </w:tc>
        <w:tc>
          <w:tcPr>
            <w:tcW w:w="167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0"/>
              <w:jc w:val="center"/>
              <w:rPr>
                <w:rFonts w:ascii="Arial;sans-serif" w:hAnsi="Arial;sans-serif"/>
                <w:b/>
                <w:sz w:val="18"/>
              </w:rPr>
            </w:pPr>
            <w:r>
              <w:rPr>
                <w:rFonts w:ascii="Arial;sans-serif" w:hAnsi="Arial;sans-serif"/>
                <w:b/>
                <w:sz w:val="18"/>
              </w:rPr>
              <w:t>Did Not Disclose Gender</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40" w:right="0" w:hanging="0"/>
              <w:jc w:val="left"/>
              <w:rPr>
                <w:rFonts w:ascii="Arial;sans-serif" w:hAnsi="Arial;sans-serif"/>
                <w:b w:val="false"/>
                <w:sz w:val="20"/>
              </w:rPr>
            </w:pPr>
            <w:r>
              <w:rPr>
                <w:rFonts w:ascii="Arial;sans-serif" w:hAnsi="Arial;sans-serif"/>
                <w:b w:val="false"/>
                <w:sz w:val="20"/>
              </w:rPr>
              <w:t>Directors</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3</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5</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4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67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40"/>
              <w:jc w:val="center"/>
              <w:rPr>
                <w:rFonts w:ascii="Arial;sans-serif" w:hAnsi="Arial;sans-serif"/>
                <w:b w:val="false"/>
                <w:sz w:val="20"/>
              </w:rPr>
            </w:pPr>
            <w:r>
              <w:rPr>
                <w:rFonts w:ascii="Arial;sans-serif" w:hAnsi="Arial;sans-serif"/>
                <w:b w:val="false"/>
                <w:sz w:val="20"/>
              </w:rPr>
              <w:t>2</w:t>
            </w:r>
          </w:p>
        </w:tc>
      </w:tr>
      <w:tr>
        <w:trPr/>
        <w:tc>
          <w:tcPr>
            <w:tcW w:w="10205" w:type="dxa"/>
            <w:gridSpan w:val="9"/>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firstLine="100"/>
              <w:jc w:val="left"/>
              <w:rPr>
                <w:rFonts w:ascii="Arial;sans-serif" w:hAnsi="Arial;sans-serif"/>
                <w:b/>
                <w:sz w:val="20"/>
              </w:rPr>
            </w:pPr>
            <w:r>
              <w:rPr>
                <w:rFonts w:ascii="Arial;sans-serif" w:hAnsi="Arial;sans-serif"/>
                <w:b/>
                <w:sz w:val="20"/>
              </w:rPr>
              <w:t>Part II: Demographic Background</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African American or Black</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4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67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00"/>
              <w:jc w:val="center"/>
              <w:rPr>
                <w:rFonts w:ascii="Arial;sans-serif" w:hAnsi="Arial;sans-serif"/>
                <w:b w:val="false"/>
                <w:sz w:val="20"/>
              </w:rPr>
            </w:pPr>
            <w:r>
              <w:rPr>
                <w:rFonts w:ascii="Arial;sans-serif" w:hAnsi="Arial;sans-serif"/>
                <w:b w:val="false"/>
                <w:sz w:val="20"/>
              </w:rPr>
              <w:t>-</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Alaskan Native or Native American</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4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67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00"/>
              <w:jc w:val="center"/>
              <w:rPr>
                <w:rFonts w:ascii="Arial;sans-serif" w:hAnsi="Arial;sans-serif"/>
                <w:b w:val="false"/>
                <w:sz w:val="20"/>
              </w:rPr>
            </w:pPr>
            <w:r>
              <w:rPr>
                <w:rFonts w:ascii="Arial;sans-serif" w:hAnsi="Arial;sans-serif"/>
                <w:b w:val="false"/>
                <w:sz w:val="20"/>
              </w:rPr>
              <w:t>-</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Asian</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4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67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00"/>
              <w:jc w:val="center"/>
              <w:rPr>
                <w:rFonts w:ascii="Arial;sans-serif" w:hAnsi="Arial;sans-serif"/>
                <w:b w:val="false"/>
                <w:sz w:val="20"/>
              </w:rPr>
            </w:pPr>
            <w:r>
              <w:rPr>
                <w:rFonts w:ascii="Arial;sans-serif" w:hAnsi="Arial;sans-serif"/>
                <w:b w:val="false"/>
                <w:sz w:val="20"/>
              </w:rPr>
              <w:t>-</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Hispanic or Latinx</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4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67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00"/>
              <w:jc w:val="center"/>
              <w:rPr>
                <w:rFonts w:ascii="Arial;sans-serif" w:hAnsi="Arial;sans-serif"/>
                <w:b w:val="false"/>
                <w:sz w:val="20"/>
              </w:rPr>
            </w:pPr>
            <w:r>
              <w:rPr>
                <w:rFonts w:ascii="Arial;sans-serif" w:hAnsi="Arial;sans-serif"/>
                <w:b w:val="false"/>
                <w:sz w:val="20"/>
              </w:rPr>
              <w:t>-</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Native Hawaiian or Pacific Islander</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4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67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00"/>
              <w:jc w:val="center"/>
              <w:rPr>
                <w:rFonts w:ascii="Arial;sans-serif" w:hAnsi="Arial;sans-serif"/>
                <w:b w:val="false"/>
                <w:sz w:val="20"/>
              </w:rPr>
            </w:pPr>
            <w:r>
              <w:rPr>
                <w:rFonts w:ascii="Arial;sans-serif" w:hAnsi="Arial;sans-serif"/>
                <w:b w:val="false"/>
                <w:sz w:val="20"/>
              </w:rPr>
              <w:t>-</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White</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4</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4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67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00"/>
              <w:jc w:val="center"/>
              <w:rPr>
                <w:rFonts w:ascii="Arial;sans-serif" w:hAnsi="Arial;sans-serif"/>
                <w:b w:val="false"/>
                <w:sz w:val="20"/>
              </w:rPr>
            </w:pPr>
            <w:r>
              <w:rPr>
                <w:rFonts w:ascii="Arial;sans-serif" w:hAnsi="Arial;sans-serif"/>
                <w:b w:val="false"/>
                <w:sz w:val="20"/>
              </w:rPr>
              <w:t>-</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Two or More Races or Ethnicities</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49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73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51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08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1677"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00"/>
              <w:jc w:val="center"/>
              <w:rPr>
                <w:rFonts w:ascii="Arial;sans-serif" w:hAnsi="Arial;sans-serif"/>
                <w:b w:val="false"/>
                <w:sz w:val="20"/>
              </w:rPr>
            </w:pPr>
            <w:r>
              <w:rPr>
                <w:rFonts w:ascii="Arial;sans-serif" w:hAnsi="Arial;sans-serif"/>
                <w:b w:val="false"/>
                <w:sz w:val="20"/>
              </w:rPr>
              <w:t>-</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LGBTQ+</w:t>
            </w:r>
          </w:p>
        </w:tc>
        <w:tc>
          <w:tcPr>
            <w:tcW w:w="3819" w:type="dxa"/>
            <w:gridSpan w:val="4"/>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4005" w:type="dxa"/>
            <w:gridSpan w:val="4"/>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100"/>
              <w:jc w:val="center"/>
              <w:rPr>
                <w:rFonts w:ascii="Arial;sans-serif" w:hAnsi="Arial;sans-serif"/>
                <w:b w:val="false"/>
                <w:sz w:val="20"/>
              </w:rPr>
            </w:pPr>
            <w:r>
              <w:rPr>
                <w:rFonts w:ascii="Arial;sans-serif" w:hAnsi="Arial;sans-serif"/>
                <w:b w:val="false"/>
                <w:sz w:val="20"/>
              </w:rPr>
              <w:t>-</w:t>
            </w:r>
          </w:p>
        </w:tc>
      </w:tr>
      <w:tr>
        <w:trPr/>
        <w:tc>
          <w:tcPr>
            <w:tcW w:w="23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Did Not Disclose Demographic Background</w:t>
            </w:r>
          </w:p>
        </w:tc>
        <w:tc>
          <w:tcPr>
            <w:tcW w:w="3819" w:type="dxa"/>
            <w:gridSpan w:val="4"/>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w:t>
            </w:r>
          </w:p>
        </w:tc>
        <w:tc>
          <w:tcPr>
            <w:tcW w:w="4005" w:type="dxa"/>
            <w:gridSpan w:val="4"/>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2</w:t>
            </w:r>
          </w:p>
        </w:tc>
      </w:tr>
    </w:tbl>
    <w:p>
      <w:pPr>
        <w:pStyle w:val="TextBody"/>
        <w:spacing w:before="0" w:after="0"/>
        <w:jc w:val="left"/>
        <w:rPr/>
      </w:pPr>
      <w:r>
        <w:rPr/>
        <w:t> </w:t>
      </w:r>
    </w:p>
    <w:p>
      <w:pPr>
        <w:pStyle w:val="TextBody"/>
        <w:spacing w:before="200" w:after="0"/>
        <w:jc w:val="center"/>
        <w:rPr>
          <w:rFonts w:ascii="Arial;sans-serif" w:hAnsi="Arial;sans-serif"/>
          <w:b w:val="false"/>
          <w:sz w:val="20"/>
        </w:rPr>
      </w:pPr>
      <w:r>
        <w:rPr>
          <w:rFonts w:ascii="Arial;sans-serif" w:hAnsi="Arial;sans-serif"/>
          <w:b w:val="false"/>
          <w:sz w:val="20"/>
        </w:rPr>
        <w:t>13</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0" w:name="role_of_the_board_in_risk_oversight"/>
      <w:bookmarkEnd w:id="10"/>
      <w:r>
        <w:rPr>
          <w:rFonts w:ascii="Arial;sans-serif" w:hAnsi="Arial;sans-serif"/>
          <w:b/>
          <w:sz w:val="20"/>
        </w:rPr>
        <w:t>Role of the Board in Risk Oversight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cybersecurity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r>
        <w:rPr>
          <w:rFonts w:ascii="Times New Roman" w:hAnsi="Times New Roman"/>
          <w:sz w:val="20"/>
        </w:rPr>
        <w:t xml:space="preserve"> </w:t>
      </w:r>
    </w:p>
    <w:p>
      <w:pPr>
        <w:pStyle w:val="TextBody"/>
        <w:spacing w:before="360" w:after="0"/>
        <w:jc w:val="left"/>
        <w:rPr>
          <w:rFonts w:ascii="Arial;sans-serif" w:hAnsi="Arial;sans-serif"/>
          <w:b/>
          <w:sz w:val="20"/>
        </w:rPr>
      </w:pPr>
      <w:bookmarkStart w:id="11" w:name="esg_practices"/>
      <w:bookmarkEnd w:id="11"/>
      <w:r>
        <w:rPr>
          <w:rFonts w:ascii="Arial;sans-serif" w:hAnsi="Arial;sans-serif"/>
          <w:b/>
          <w:sz w:val="20"/>
        </w:rPr>
        <w:t>Environmental, Social and Governance (ESG) Practices</w:t>
      </w:r>
    </w:p>
    <w:p>
      <w:pPr>
        <w:pStyle w:val="TextBody"/>
        <w:spacing w:before="120" w:after="0"/>
        <w:jc w:val="left"/>
        <w:rPr>
          <w:rFonts w:ascii="Arial;sans-serif" w:hAnsi="Arial;sans-serif"/>
          <w:b w:val="false"/>
          <w:sz w:val="20"/>
        </w:rPr>
      </w:pPr>
      <w:r>
        <w:rPr>
          <w:rFonts w:ascii="Arial;sans-serif" w:hAnsi="Arial;sans-serif"/>
          <w:b w:val="false"/>
          <w:sz w:val="20"/>
        </w:rPr>
        <w:t>We recognize that environmental, social and governance issues are of increasing importance to our investors, employees and other stakeholders. We are committed to ethical, responsible and sustainable business practices. Corporate social responsibility is an enterprise-wide commitment. Our management team and board of directors are working together to oversee the company’s efforts to prioritize and integrate ESG considerations into the company’s business practices and corporate culture.</w:t>
      </w:r>
    </w:p>
    <w:p>
      <w:pPr>
        <w:pStyle w:val="TextBody"/>
        <w:spacing w:before="240" w:after="0"/>
        <w:jc w:val="left"/>
        <w:rPr>
          <w:rFonts w:ascii="Arial;sans-serif" w:hAnsi="Arial;sans-serif"/>
          <w:b w:val="false"/>
          <w:i/>
          <w:sz w:val="20"/>
        </w:rPr>
      </w:pPr>
      <w:r>
        <w:rPr>
          <w:rFonts w:ascii="Arial;sans-serif" w:hAnsi="Arial;sans-serif"/>
          <w:b w:val="false"/>
          <w:i/>
          <w:sz w:val="20"/>
        </w:rPr>
        <w:t>Diversity &amp; Inclusion</w:t>
      </w:r>
    </w:p>
    <w:p>
      <w:pPr>
        <w:pStyle w:val="TextBody"/>
        <w:spacing w:before="120" w:after="0"/>
        <w:jc w:val="left"/>
        <w:rPr>
          <w:rFonts w:ascii="Times New Roman" w:hAnsi="Times New Roman"/>
          <w:sz w:val="20"/>
        </w:rPr>
      </w:pPr>
      <w:r>
        <w:rPr>
          <w:rFonts w:ascii="Arial;sans-serif" w:hAnsi="Arial;sans-serif"/>
          <w:b w:val="false"/>
          <w:sz w:val="20"/>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our code of conduct that sets standards for appropriate behavior and we have implemented specific policies designed to prevent, identify, report and stop any type of discrimination and harassment. Our recruitment, hiring, development, training, compensation and advancement at our company is based on qualifications, performance, skills and experience without regard to gender, race and ethnicity.</w:t>
      </w:r>
      <w:r>
        <w:rPr>
          <w:rFonts w:ascii="Times New Roman" w:hAnsi="Times New Roman"/>
          <w:sz w:val="20"/>
        </w:rPr>
        <w:t xml:space="preserve"> </w:t>
      </w:r>
    </w:p>
    <w:p>
      <w:pPr>
        <w:pStyle w:val="TextBody"/>
        <w:spacing w:before="240" w:after="0"/>
        <w:jc w:val="left"/>
        <w:rPr>
          <w:rFonts w:ascii="Arial;sans-serif" w:hAnsi="Arial;sans-serif"/>
          <w:b w:val="false"/>
          <w:i/>
          <w:sz w:val="20"/>
        </w:rPr>
      </w:pPr>
      <w:r>
        <w:rPr>
          <w:rFonts w:ascii="Arial;sans-serif" w:hAnsi="Arial;sans-serif"/>
          <w:b w:val="false"/>
          <w:i/>
          <w:sz w:val="20"/>
        </w:rPr>
        <w:t>Competitive Pay &amp; Benefits</w:t>
      </w:r>
    </w:p>
    <w:p>
      <w:pPr>
        <w:pStyle w:val="TextBody"/>
        <w:spacing w:before="120" w:after="0"/>
        <w:jc w:val="left"/>
        <w:rPr>
          <w:rFonts w:ascii="Times New Roman" w:hAnsi="Times New Roman"/>
          <w:sz w:val="20"/>
        </w:rPr>
      </w:pPr>
      <w:r>
        <w:rPr>
          <w:rFonts w:ascii="Arial;sans-serif" w:hAnsi="Arial;sans-serif"/>
          <w:b w:val="false"/>
          <w:sz w:val="20"/>
        </w:rPr>
        <w:t>We strive to provide competitive and robust compensation and benefits programs that help meet the varying needs of our employees. Our total rewards package includes competitive pay, comprehensive healthcare benefits for employees, family medical leave and flexible work schedules. In addition, we offer every full-time employee, both exempt and non-exempt, the benefit of equity ownership in the company through stock option grants, restricted stock unit grants, and our employee stock purchase plan. We offer a 401(k) plan and we match employee contributions up to a certain limit.</w:t>
      </w:r>
      <w:r>
        <w:rPr>
          <w:rFonts w:ascii="Times New Roman" w:hAnsi="Times New Roman"/>
          <w:sz w:val="20"/>
        </w:rPr>
        <w:t xml:space="preserve"> </w:t>
      </w:r>
    </w:p>
    <w:p>
      <w:pPr>
        <w:pStyle w:val="TextBody"/>
        <w:spacing w:before="240" w:after="0"/>
        <w:jc w:val="left"/>
        <w:rPr>
          <w:rFonts w:ascii="Arial;sans-serif" w:hAnsi="Arial;sans-serif"/>
          <w:b w:val="false"/>
          <w:i/>
          <w:sz w:val="20"/>
        </w:rPr>
      </w:pPr>
      <w:r>
        <w:rPr>
          <w:rFonts w:ascii="Arial;sans-serif" w:hAnsi="Arial;sans-serif"/>
          <w:b w:val="false"/>
          <w:i/>
          <w:sz w:val="20"/>
        </w:rPr>
        <w:t>Employee Development &amp; Training</w:t>
      </w:r>
    </w:p>
    <w:p>
      <w:pPr>
        <w:pStyle w:val="TextBody"/>
        <w:spacing w:before="120" w:after="0"/>
        <w:jc w:val="left"/>
        <w:rPr>
          <w:rFonts w:ascii="Times New Roman" w:hAnsi="Times New Roman"/>
          <w:sz w:val="20"/>
        </w:rPr>
      </w:pPr>
      <w:r>
        <w:rPr>
          <w:rFonts w:ascii="Arial;sans-serif" w:hAnsi="Arial;sans-serif"/>
          <w:b w:val="false"/>
          <w:sz w:val="20"/>
        </w:rPr>
        <w:t>The competition for talent in our industry and in the San Francisco Bay Area, where our headquarters is located, is significant. As a result, our commitment to investing in human capital is of critical importance to ensure our ability to attract, develop and maintain key talent to support the growth of our business. We emphasize employee development and training. We have a performance development review process in which managers provide regular feedback and a formal annual review to assist with the development of our employees, including the use of individual plans to assist with career development.</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14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2" w:name="committees_of_our_board_of_directors"/>
      <w:bookmarkEnd w:id="12"/>
      <w:r>
        <w:rPr>
          <w:rFonts w:ascii="Arial;sans-serif" w:hAnsi="Arial;sans-serif"/>
          <w:b/>
          <w:sz w:val="20"/>
        </w:rPr>
        <w:t>Committees of our 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board of directors has established an audit committee, a compensation committee, and a corporate governance and nominating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Audit Committee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audit committee consists of Ms. Hemrajani and Messrs. Lettmann and Nielsen. Ms. Hemrajani is the chair of our audit committee and is our audit committee financial expert, as that term is defined under the SEC rules implementing Section 407 of SOX, and possesses financial sophistication, as defined under the rules of Nasdaq. Our board of directors has determined that each of the members of our audit committee satisfies the independence requirements under the listing standards of Nasdaq and Rule 10A-3 of the Exchange Act. Our audit committee oversees our corporate accounting and financial reporting process and assists our board of directors in monitoring our financial systems. Our audit committee also:</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selects and hires the independent registered public accounting firm to audit our consolidated financial statements;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helps to ensure the independence and evaluate the performance of the registered public accounting firm;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approves audit and non-audit services and fees;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reviews our consolidated financial statements and discusses with management and the independent registered public accounting firm our annual audited and quarterly reviewed consolidated financial statements and the results of the independent audits and the quarterly reviews;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prepares the audit committee report that the SEC requires to be included in our annual proxy statement;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reviews reports and communications from the independent registered public accounting firm;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reviews the adequacy and effectiveness of our internal controls and disclosure controls and procedure;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reviews our policies on risk assessment and risk management;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reviews and monitors conflicts of interest situations, and approves or prohibits any involvement in matters that may involve a conflict of interest or taking of a corporate opportunity;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reviews related party transactions;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establishes and oversees procedures for the receipt, retention and treatment of accounting related complaints and the confidential submission by our employees of concerns regarding questionable accounting or auditing matters. </w:t>
      </w:r>
    </w:p>
    <w:p>
      <w:pPr>
        <w:pStyle w:val="TextBody"/>
        <w:spacing w:before="240" w:after="0"/>
        <w:jc w:val="left"/>
        <w:rPr>
          <w:rFonts w:ascii="Times New Roman" w:hAnsi="Times New Roman"/>
          <w:sz w:val="20"/>
        </w:rPr>
      </w:pPr>
      <w:r>
        <w:rPr>
          <w:rFonts w:ascii="Arial;sans-serif" w:hAnsi="Arial;sans-serif"/>
          <w:b w:val="false"/>
          <w:sz w:val="20"/>
        </w:rPr>
        <w:t>Our audit committee operates under a written charter that satisfies the applicable rules and regulations of the SEC and the listing standards of Nasdaq. A copy of the charter for our audit committee is available on our investor relations website at https://ir.alxoncology.com/. During 2022, our audit committee held four meetings.</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15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i/>
          <w:sz w:val="20"/>
        </w:rPr>
        <w:t>Compensation Committee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compensation committee consists of Dr. Goodman and Messrs. Garland, Lettmann and Nielsen. Dr. Goodman is the chair of our compensation committee. Our board of directors has determined that each of the members of our compensation committee is independent under the listing standards of Nasdaq and a “non-employee director” as defined in Rule 16b-3 under the Exchange Act. Our compensation committee oversees our compensation policies, plans, and benefits programs. The compensation committee also:</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oversees our overall compensation philosophy and compensation policies, plans and benefit programs;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reviews and approves, or recommends to the board of directors for approval, the compensation of our executive officers and directors;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prepares the compensation committee report, if required by the SEC to be included in our annual proxy statement;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administers our equity compensation plans. </w:t>
      </w:r>
    </w:p>
    <w:p>
      <w:pPr>
        <w:pStyle w:val="TextBody"/>
        <w:spacing w:before="240" w:after="0"/>
        <w:jc w:val="left"/>
        <w:rPr>
          <w:rFonts w:ascii="Times New Roman" w:hAnsi="Times New Roman"/>
          <w:sz w:val="20"/>
        </w:rPr>
      </w:pPr>
      <w:r>
        <w:rPr>
          <w:rFonts w:ascii="Arial;sans-serif" w:hAnsi="Arial;sans-serif"/>
          <w:b w:val="false"/>
          <w:sz w:val="20"/>
        </w:rPr>
        <w:t>Our compensation committee operates under a written charter that satisfies the applicable rules and regulations of the SEC and the listing standards of Nasdaq. A copy of the charter for our compensation committee is available on our investor relations website at https://ir.alxoncology.com/. During 2022, our compensation committee held three meetings.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Corporate Governance and Nominating Committee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corporate governance and nominating committee currently consists of Mr. Lettmann, Drs. Canamasas and Goodman and Ms. Hemrajani. Mr. Lettmann is the chair of our corporate governance and nominating committee. Our board of directors has determined that each member of our corporate governance and nominating committee is independent under the listing standards of Nasdaq.</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corporate governance and nominating committee oversees and assists our board of directors in reviewing and recommending nominees for election as directors. Specifically, the corporate governance and nominating committee:</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identifies, evaluates, and makes recommendations to our board of directors regarding nominees for election to our board of directors and its committees;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considers and makes recommendations to our board of directors regarding the composition of our board of directors and its committees;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reviews developments in corporate governance practices;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evaluates the adequacy of our corporate governance practices and reporting;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evaluates the performance of our board of directors and of individual directors. </w:t>
      </w:r>
    </w:p>
    <w:p>
      <w:pPr>
        <w:pStyle w:val="TextBody"/>
        <w:spacing w:before="240" w:after="0"/>
        <w:jc w:val="left"/>
        <w:rPr>
          <w:rFonts w:ascii="Times New Roman" w:hAnsi="Times New Roman"/>
          <w:sz w:val="20"/>
        </w:rPr>
      </w:pPr>
      <w:r>
        <w:rPr>
          <w:rFonts w:ascii="Arial;sans-serif" w:hAnsi="Arial;sans-serif"/>
          <w:b w:val="false"/>
          <w:sz w:val="20"/>
        </w:rPr>
        <w:t>Our corporate governance and nominating committee operates under a written charter that satisfies the listing standards of Nasdaq. A copy of the charter for our corporate governance and nominating committee is available on our investor relations website at https://ir.alxoncology.com/. During 2022, our corporate governance and nominating committee held two meetings.</w:t>
      </w:r>
      <w:r>
        <w:rPr>
          <w:rFonts w:ascii="Times New Roman" w:hAnsi="Times New Roman"/>
          <w:sz w:val="20"/>
        </w:rPr>
        <w:t xml:space="preserve"> </w:t>
      </w:r>
    </w:p>
    <w:p>
      <w:pPr>
        <w:pStyle w:val="TextBody"/>
        <w:spacing w:before="360" w:after="0"/>
        <w:jc w:val="left"/>
        <w:rPr>
          <w:rFonts w:ascii="Times New Roman" w:hAnsi="Times New Roman"/>
          <w:sz w:val="20"/>
        </w:rPr>
      </w:pPr>
      <w:bookmarkStart w:id="13" w:name="attendance_at_board_stockholder_meetings"/>
      <w:bookmarkEnd w:id="13"/>
      <w:r>
        <w:rPr>
          <w:rFonts w:ascii="Arial;sans-serif" w:hAnsi="Arial;sans-serif"/>
          <w:b/>
          <w:sz w:val="20"/>
        </w:rPr>
        <w:t>Attendance at Board and Stockholder Meetings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During our fiscal year ended December 31, 2022, our board of directors held six meetings (including regularly scheduled and special meetings), and each director attended at least 75% of the aggregate of (i) the total number of meetings of our board of directors held during the period for which they have been a director and (ii) the total number of meetings held by all committees of our board of directors on which they served during the periods that they served on such committee.</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16</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sz w:val="20"/>
        </w:rPr>
      </w:pPr>
      <w:r>
        <w:rPr>
          <w:rFonts w:ascii="Arial;sans-serif" w:hAnsi="Arial;sans-serif"/>
          <w:b w:val="false"/>
          <w:sz w:val="20"/>
        </w:rPr>
        <w:t>Although we do not have a formal policy regarding attendance by members of our board of directors at annual meetings of stockholders, we strongly encourage, but do not require, our directors to attend. This is our third annual meeting of stockholders as a public company. All of our seven then-current directors attended our 2022 annual meeting of stockholders.</w:t>
      </w:r>
    </w:p>
    <w:p>
      <w:pPr>
        <w:pStyle w:val="TextBody"/>
        <w:spacing w:before="360" w:after="0"/>
        <w:jc w:val="left"/>
        <w:rPr>
          <w:rFonts w:ascii="Times New Roman" w:hAnsi="Times New Roman"/>
          <w:sz w:val="20"/>
        </w:rPr>
      </w:pPr>
      <w:bookmarkStart w:id="14" w:name="comp_committee_interlocks_and_insider_p"/>
      <w:bookmarkEnd w:id="14"/>
      <w:r>
        <w:rPr>
          <w:rFonts w:ascii="Arial;sans-serif" w:hAnsi="Arial;sans-serif"/>
          <w:b/>
          <w:sz w:val="20"/>
        </w:rPr>
        <w:t>Compensation Committee Interlocks and Insider Participation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During 2022, Dr. Goodman and Messrs. Lettmann and Nielsen served on our compensation committee. 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r>
        <w:rPr>
          <w:rFonts w:ascii="Times New Roman" w:hAnsi="Times New Roman"/>
          <w:sz w:val="20"/>
        </w:rPr>
        <w:t xml:space="preserve"> </w:t>
      </w:r>
    </w:p>
    <w:p>
      <w:pPr>
        <w:pStyle w:val="TextBody"/>
        <w:spacing w:before="360" w:after="0"/>
        <w:jc w:val="left"/>
        <w:rPr>
          <w:rFonts w:ascii="Times New Roman" w:hAnsi="Times New Roman"/>
          <w:sz w:val="20"/>
        </w:rPr>
      </w:pPr>
      <w:bookmarkStart w:id="15" w:name="considerations_in_evaluating_directornom"/>
      <w:bookmarkEnd w:id="15"/>
      <w:r>
        <w:rPr>
          <w:rFonts w:ascii="Arial;sans-serif" w:hAnsi="Arial;sans-serif"/>
          <w:b/>
          <w:sz w:val="20"/>
        </w:rPr>
        <w:t>Considerations in Evaluating Director Nominees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corporate governance and nominating committee uses a variety of methods, including engaging the services of outside consultants and search firms, to identify and evaluate director nominees. We have in the past used a search firm to identify, interview and screen director nominee candidates and conduct background and reference checks.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directors and committee evaluations. After completing its review and evaluation of director candidates, our corporate governance and nominating committee recommends to our full board of directors the director nominees for selection.</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17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6" w:name="stockholder_recommendations_for_bod_noms"/>
      <w:bookmarkEnd w:id="16"/>
      <w:r>
        <w:rPr>
          <w:rFonts w:ascii="Arial;sans-serif" w:hAnsi="Arial;sans-serif"/>
          <w:b/>
          <w:sz w:val="20"/>
        </w:rPr>
        <w:t>Stockholder Recommendations for Nominations to the 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corporate governance and nominating committee will consider director candidates recommended by stockholders holding no less than $2,000 in market value, or one percent (1%), of the outstanding shares of our common stock continuously for at least 12 months prior to the date of the submission of the recommendation or nomination, as long as such recommendations or nominations comply with our amended and restated certificate of incorporation, Bylaws, policies and procedures for director candidates, and applicable laws, rules and regulations, including those promulgated by the SEC. Our corporate governance and nominating committee will evaluate such recommendations in accordance with its charter, our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Secretary in writing. Such recommendations must include information about the candidate, including the principal occupation or employment of the candidate; a statement of support executed by the candidate acknowledging that as a director of the corporation, the nominee will owe a fiduciary duty under Delaware law with respect to the corporation and its stockholders; evidence of the recommending stockholder’s ownership of our capital stock; a description of all arrangements or understandings between the stockholder and each nominee and any other person or persons (naming such person or persons) pursuant to which the nominations are to be made by the stockholder; and any additional information required by our Bylaws and our policies and procedures for director candidates. Our corporate governance and nominating committee has discretion to decide which individuals to recommend for nomination as directors.</w:t>
      </w:r>
      <w:r>
        <w:rPr>
          <w:rFonts w:ascii="Times New Roman" w:hAnsi="Times New Roman"/>
          <w:sz w:val="20"/>
        </w:rPr>
        <w:t xml:space="preserve"> </w:t>
      </w:r>
    </w:p>
    <w:p>
      <w:pPr>
        <w:pStyle w:val="TextBody"/>
        <w:spacing w:before="360" w:after="0"/>
        <w:jc w:val="left"/>
        <w:rPr>
          <w:rFonts w:ascii="Times New Roman" w:hAnsi="Times New Roman"/>
          <w:sz w:val="20"/>
        </w:rPr>
      </w:pPr>
      <w:bookmarkStart w:id="17" w:name="communications_with_the_board_of_direct"/>
      <w:bookmarkEnd w:id="17"/>
      <w:r>
        <w:rPr>
          <w:rFonts w:ascii="Arial;sans-serif" w:hAnsi="Arial;sans-serif"/>
          <w:b/>
          <w:sz w:val="20"/>
        </w:rPr>
        <w:t>Communications with the 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Interested parties wishing to communicate with non-management members of our board of directors may do so by writing and mailing the correspondence to our Secretary at ALX Oncology Holdings Inc., 323 Allerton Avenue, South San Francisco, California 94080. Our Secretary monitors these communications and will provide a summary of all received bona fide messages to our board of directors at each regularly scheduled meeting of our board of directors. Where the nature of a communication warrants, our Secretary may determine, in their judgment, to obtain the more immediate attention of the appropriate committee of the board of directors or non-management director, of independent advisors or of our management.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r>
        <w:rPr>
          <w:rFonts w:ascii="Times New Roman" w:hAnsi="Times New Roman"/>
          <w:sz w:val="20"/>
        </w:rPr>
        <w:t xml:space="preserve"> </w:t>
      </w:r>
    </w:p>
    <w:p>
      <w:pPr>
        <w:pStyle w:val="TextBody"/>
        <w:spacing w:before="360" w:after="0"/>
        <w:jc w:val="left"/>
        <w:rPr>
          <w:rFonts w:ascii="Times New Roman" w:hAnsi="Times New Roman"/>
          <w:sz w:val="20"/>
        </w:rPr>
      </w:pPr>
      <w:bookmarkStart w:id="18" w:name="corp_governance_guidelines_code_of_condu"/>
      <w:bookmarkEnd w:id="18"/>
      <w:r>
        <w:rPr>
          <w:rFonts w:ascii="Arial;sans-serif" w:hAnsi="Arial;sans-serif"/>
          <w:b/>
          <w:sz w:val="20"/>
        </w:rPr>
        <w:t>Corporate Governance Guidelines and Code of Business Conduct and Ethics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website at https://ir.alxoncology.com/. We will post any amendments to our Code of Business Conduct and Ethics and any waivers of our Code of Business Conduct and Ethics for directors and executive officers on the same website or in filings under the Exchange Act.</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18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9" w:name="director_compensation"/>
      <w:bookmarkEnd w:id="19"/>
      <w:r>
        <w:rPr>
          <w:rFonts w:ascii="Arial;sans-serif" w:hAnsi="Arial;sans-serif"/>
          <w:b/>
          <w:sz w:val="20"/>
        </w:rPr>
        <w:t>Director Compensation</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In connection with our initial public offering in July 2020, our board of directors adopted an Outside Director Compensation Policy (the Prior Policy) that provides for certain compensation to our non-employee directors. This policy was developed with input from our compensation committee’s independent compensation consultant, Compensia, regarding practices and compensation levels at comparable companies. It is designed to attract, retain and reward non-employee directors. In March 2023, our board of directors amended the Outside Director Compensation Policy in consultation with Compensia following review of updated market data for peer companies. All compensation paid to our non-employee directors in 2022 was under the Prior Policy.</w:t>
      </w:r>
    </w:p>
    <w:p>
      <w:pPr>
        <w:pStyle w:val="TextBody"/>
        <w:spacing w:before="240" w:after="0"/>
        <w:jc w:val="left"/>
        <w:rPr>
          <w:rFonts w:ascii="Times New Roman" w:hAnsi="Times New Roman"/>
          <w:sz w:val="20"/>
        </w:rPr>
      </w:pPr>
      <w:r>
        <w:rPr>
          <w:rFonts w:ascii="Arial;sans-serif" w:hAnsi="Arial;sans-serif"/>
          <w:b w:val="false"/>
          <w:sz w:val="20"/>
        </w:rPr>
        <w:t>Under the amended Outside Director Compensation Policy, each non-employee director receives cash and equity compensation for his or her services as a member of our board of directors, as described below.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Cash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As amended in March 2023, the Outside Director Compensation Policy provides for the following cash compensation program for our non-employee directors:</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$40,000 per year for service as a non-employee director;</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$35,000 per year for service as non-employee chair of our board of directors;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$20,000 per year for service as chair of the audit committee;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$7,500 per year for service as a member of the audit committee;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$12,000 per year for service as chair of the compensation committee;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$6,000 per year for service as a member of the compensation committee;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$10,000 per year for service as chair of the corporate governance and nominating committee;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$5,000 per year for service as a member of the corporate governance and nominating committee </w:t>
      </w:r>
    </w:p>
    <w:p>
      <w:pPr>
        <w:pStyle w:val="TextBody"/>
        <w:spacing w:before="240" w:after="0"/>
        <w:jc w:val="left"/>
        <w:rPr>
          <w:rFonts w:ascii="Times New Roman" w:hAnsi="Times New Roman"/>
          <w:sz w:val="20"/>
        </w:rPr>
      </w:pPr>
      <w:r>
        <w:rPr>
          <w:rFonts w:ascii="Arial;sans-serif" w:hAnsi="Arial;sans-serif"/>
          <w:b w:val="false"/>
          <w:sz w:val="20"/>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Equity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0"/>
        </w:rPr>
        <w:t>Initial Award</w:t>
      </w:r>
      <w:r>
        <w:rPr>
          <w:rFonts w:ascii="Arial;sans-serif" w:hAnsi="Arial;sans-serif"/>
          <w:b w:val="false"/>
          <w:sz w:val="20"/>
        </w:rPr>
        <w:t>. Pursuant to our Outside Director Compensation Policy, as amended in March 2023, each person who first becomes a non-employee director after the effective date of such policy will receive, on the first trading day on or after the date that the person first becomes a non-employee director, an initial award, or the Initial Award, of stock options to purchase 40,400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19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i/>
          <w:sz w:val="20"/>
        </w:rPr>
        <w:t>Annual Award</w:t>
      </w:r>
      <w:r>
        <w:rPr>
          <w:rFonts w:ascii="Arial;sans-serif" w:hAnsi="Arial;sans-serif"/>
          <w:b w:val="false"/>
          <w:sz w:val="20"/>
        </w:rPr>
        <w:t>. Pursuant to our Outside Director Compensation Policy, as amended in March 2023, each non-employee director automatically will receive, on the first trading day immediately after the date of each annual meeting of our stockholders that occurs following the effective date of our Outside Director Compensation Policy, an annual award, or the Annual Award, of stock options to purchase 20,200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Change in Control.</w:t>
      </w:r>
      <w:r>
        <w:rPr>
          <w:rFonts w:ascii="Times New Roman" w:hAnsi="Times New Roman"/>
          <w:sz w:val="20"/>
        </w:rPr>
        <w:t xml:space="preserve"> </w:t>
      </w:r>
      <w:r>
        <w:rPr>
          <w:rFonts w:ascii="Arial;sans-serif" w:hAnsi="Arial;sans-serif"/>
          <w:b w:val="false"/>
          <w:sz w:val="20"/>
        </w:rPr>
        <w:t>In the event of a change in control, as defined in our Amended and Restated 2020 Equity Incentive Plan, each non-employee director’s then outstanding equity awards covering shares of our common stock will accelerate vesting in full, provided that he or she remains a non-employee director through the date of our change in control.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Other Award Terms</w:t>
      </w:r>
      <w:r>
        <w:rPr>
          <w:rFonts w:ascii="Arial;sans-serif" w:hAnsi="Arial;sans-serif"/>
          <w:b w:val="false"/>
          <w:sz w:val="20"/>
        </w:rPr>
        <w:t>. Each Initial Award and Annual Award will be granted under our Amended and Restated 2020 Equity Incentive Plan (or its 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Director Compensation Limits.</w:t>
      </w:r>
      <w:r>
        <w:rPr>
          <w:rFonts w:ascii="Times New Roman" w:hAnsi="Times New Roman"/>
          <w:sz w:val="20"/>
        </w:rPr>
        <w:t xml:space="preserve"> </w:t>
      </w:r>
      <w:r>
        <w:rPr>
          <w:rFonts w:ascii="Arial;sans-serif" w:hAnsi="Arial;sans-serif"/>
          <w:b w:val="false"/>
          <w:sz w:val="20"/>
        </w:rPr>
        <w:t>Our Outside Director Compensation Policy provides that in any fiscal year, a non-employee director 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2022 Compensation</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Directors who are also our employees receive no additional compensation for their service as directors. During 2022, Drs. Pons and Randolph were employees and executive officers of the Company and did not receive compensation as directors. See the section titled “Executive Compensation” for additional information about Drs. Pons’ and Randolph’s compensation for the year ended December 31, 2022.</w:t>
      </w:r>
    </w:p>
    <w:p>
      <w:pPr>
        <w:pStyle w:val="TextBody"/>
        <w:spacing w:before="200" w:after="0"/>
        <w:jc w:val="center"/>
        <w:rPr>
          <w:rFonts w:ascii="Arial;sans-serif" w:hAnsi="Arial;sans-serif"/>
          <w:b w:val="false"/>
          <w:sz w:val="20"/>
        </w:rPr>
      </w:pPr>
      <w:r>
        <w:rPr>
          <w:rFonts w:ascii="Arial;sans-serif" w:hAnsi="Arial;sans-serif"/>
          <w:b w:val="false"/>
          <w:sz w:val="20"/>
        </w:rPr>
        <w:t>20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The following table presents the total compensation each of our non-employee directors received pursuant to the Prior Policy during the year ended December 31, 2022. Other than as set forth in the table, we did not pay any compensation, make any equity awards or non-equity awards to or pay any other compensation to any of our non-employee directors in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i/>
          <w:sz w:val="20"/>
        </w:rPr>
        <w:t>Director Compensation for Fiscal Year 2022</w:t>
      </w:r>
      <w:r>
        <w:rPr>
          <w:rFonts w:ascii="Arial;sans-serif" w:hAnsi="Arial;sans-serif"/>
          <w:b w:val="false"/>
          <w:i/>
          <w:sz w:val="13"/>
        </w:rPr>
        <w:t>(1)</w:t>
      </w:r>
    </w:p>
    <w:tbl>
      <w:tblPr>
        <w:tblW w:w="6151" w:type="dxa"/>
        <w:jc w:val="left"/>
        <w:tblInd w:w="0" w:type="dxa"/>
        <w:tblCellMar>
          <w:top w:w="28" w:type="dxa"/>
          <w:left w:w="28" w:type="dxa"/>
          <w:bottom w:w="28" w:type="dxa"/>
          <w:right w:w="28" w:type="dxa"/>
        </w:tblCellMar>
      </w:tblPr>
      <w:tblGrid>
        <w:gridCol w:w="2266"/>
        <w:gridCol w:w="146"/>
        <w:gridCol w:w="188"/>
        <w:gridCol w:w="892"/>
        <w:gridCol w:w="146"/>
        <w:gridCol w:w="146"/>
        <w:gridCol w:w="146"/>
        <w:gridCol w:w="796"/>
        <w:gridCol w:w="146"/>
        <w:gridCol w:w="146"/>
        <w:gridCol w:w="146"/>
        <w:gridCol w:w="796"/>
        <w:gridCol w:w="191"/>
      </w:tblGrid>
      <w:tr>
        <w:trPr/>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Name</w:t>
            </w:r>
          </w:p>
        </w:tc>
        <w:tc>
          <w:tcPr>
            <w:tcW w:w="146" w:type="dxa"/>
            <w:tcBorders/>
            <w:shd w:fill="auto" w:val="clear"/>
            <w:vAlign w:val="center"/>
          </w:tcPr>
          <w:p>
            <w:pPr>
              <w:pStyle w:val="TableContents"/>
              <w:spacing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Fees Earned</w:t>
              <w:br/>
              <w:t>or Paid in</w:t>
              <w:br/>
              <w:t>Cash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Option</w:t>
              <w:br/>
              <w:t>Awards</w:t>
              <w:br/>
              <w:t>($)</w:t>
            </w:r>
            <w:r>
              <w:rPr>
                <w:rFonts w:ascii="Arial;sans-serif" w:hAnsi="Arial;sans-serif"/>
                <w:b/>
                <w:sz w:val="11"/>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Itziar Canamasas, Ph.D.</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31,778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294,969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326,747</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Scott Garland</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174,502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178,170</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Corey Goodman, Ph.D.</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139,300</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Rekha Hemrajani</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119,300</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Jason Lettmann</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115,800</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Jack Nielsen</w:t>
            </w:r>
          </w:p>
        </w:tc>
        <w:tc>
          <w:tcPr>
            <w:tcW w:w="14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107,800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20"/>
        </w:rPr>
      </w:pPr>
      <w:r>
        <w:rPr>
          <w:rFonts w:ascii="Arial" w:hAnsi="Arial"/>
          <w:b w:val="false"/>
          <w:sz w:val="20"/>
        </w:rPr>
        <w:t>(1)</w:t>
      </w:r>
    </w:p>
    <w:p>
      <w:pPr>
        <w:pStyle w:val="TextBody"/>
        <w:spacing w:before="0" w:after="0"/>
        <w:jc w:val="left"/>
        <w:rPr>
          <w:rFonts w:ascii="Arial;sans-serif" w:hAnsi="Arial;sans-serif"/>
          <w:b w:val="false"/>
          <w:sz w:val="20"/>
        </w:rPr>
      </w:pPr>
      <w:r>
        <w:rPr>
          <w:rFonts w:ascii="Arial;sans-serif" w:hAnsi="Arial;sans-serif"/>
          <w:b w:val="false"/>
          <w:sz w:val="20"/>
        </w:rPr>
        <w:t>The director compensation paid in 2022 is consistent with our Outside Director Compensation Policy, as amended in March 2023, described above, with the exception of the following pre-amended terms: (i) annual cash compensation: non-employee chair ($30,000); chair ($10,000) and member ($5,000) of the compensation committee; chair ($8,000) and member ($4,000) of the corporate governance and nominating committee; and (ii) equity compensation: Initial Award (158,000 shares) and Annual Award (79,000 shares).</w:t>
      </w:r>
    </w:p>
    <w:p>
      <w:pPr>
        <w:pStyle w:val="TextBody"/>
        <w:spacing w:before="120" w:after="0"/>
        <w:jc w:val="left"/>
        <w:rPr>
          <w:rFonts w:ascii="Arial" w:hAnsi="Arial"/>
          <w:b w:val="false"/>
          <w:sz w:val="20"/>
        </w:rPr>
      </w:pPr>
      <w:r>
        <w:rPr>
          <w:rFonts w:ascii="Arial" w:hAnsi="Arial"/>
          <w:b w:val="false"/>
          <w:sz w:val="20"/>
        </w:rPr>
        <w:t>(2)</w:t>
      </w:r>
    </w:p>
    <w:p>
      <w:pPr>
        <w:pStyle w:val="TextBody"/>
        <w:spacing w:before="120" w:after="283"/>
        <w:jc w:val="left"/>
        <w:rPr/>
      </w:pPr>
      <w:r>
        <w:rPr>
          <w:rFonts w:ascii="Arial;sans-serif" w:hAnsi="Arial;sans-serif"/>
          <w:b w:val="false"/>
          <w:sz w:val="20"/>
        </w:rPr>
        <w:t xml:space="preserve">This column reflects the aggregate grant date fair value of option awards granted to the officer in the applicable fiscal year, computed in accordance with Financial Accounting Standards Board (FASB) Accounting Standards Codification (ASC) 718, </w:t>
      </w:r>
      <w:r>
        <w:rPr>
          <w:rFonts w:ascii="Arial;sans-serif" w:hAnsi="Arial;sans-serif"/>
          <w:b w:val="false"/>
          <w:i/>
          <w:sz w:val="20"/>
        </w:rPr>
        <w:t>Compensation—Stock Compensation</w:t>
      </w:r>
      <w:r>
        <w:rPr/>
        <w:t xml:space="preserve"> </w:t>
      </w:r>
      <w:r>
        <w:rPr>
          <w:rFonts w:ascii="Arial;sans-serif" w:hAnsi="Arial;sans-serif"/>
          <w:b w:val="false"/>
          <w:sz w:val="20"/>
        </w:rPr>
        <w:t>(Topic 718). See Note 9 to our financial statements for the year ended December 31, 2022 included in our Annual Report on Form 10-K for the year ended December 31, 2022 for a discussion of the assumptions made by us in determining the grant date fair value of our equity awards. Our named executive officers will only realize compensation to the extent the trading price of our common stock is greater than the exercise price of such stock options.</w:t>
      </w:r>
    </w:p>
    <w:p>
      <w:pPr>
        <w:pStyle w:val="TextBody"/>
        <w:spacing w:before="240" w:after="0"/>
        <w:jc w:val="left"/>
        <w:rPr>
          <w:rFonts w:ascii="Times New Roman" w:hAnsi="Times New Roman"/>
          <w:sz w:val="20"/>
        </w:rPr>
      </w:pPr>
      <w:r>
        <w:rPr>
          <w:rFonts w:ascii="Arial;sans-serif" w:hAnsi="Arial;sans-serif"/>
          <w:b w:val="false"/>
          <w:sz w:val="20"/>
        </w:rPr>
        <w:t>The following table lists all outstanding equity awards held by non-employee directors as of December 31, 2022:</w:t>
      </w:r>
      <w:r>
        <w:rPr>
          <w:rFonts w:ascii="Times New Roman" w:hAnsi="Times New Roman"/>
          <w:sz w:val="20"/>
        </w:rPr>
        <w:t xml:space="preserve"> </w:t>
      </w:r>
    </w:p>
    <w:p>
      <w:pPr>
        <w:pStyle w:val="TextBody"/>
        <w:spacing w:before="0" w:after="0"/>
        <w:jc w:val="left"/>
        <w:rPr/>
      </w:pPr>
      <w:r>
        <w:rPr/>
        <w:t> </w:t>
      </w:r>
    </w:p>
    <w:tbl>
      <w:tblPr>
        <w:tblW w:w="9038" w:type="dxa"/>
        <w:jc w:val="left"/>
        <w:tblInd w:w="0" w:type="dxa"/>
        <w:tblCellMar>
          <w:top w:w="28" w:type="dxa"/>
          <w:left w:w="28" w:type="dxa"/>
          <w:bottom w:w="28" w:type="dxa"/>
          <w:right w:w="28" w:type="dxa"/>
        </w:tblCellMar>
      </w:tblPr>
      <w:tblGrid>
        <w:gridCol w:w="2266"/>
        <w:gridCol w:w="146"/>
        <w:gridCol w:w="856"/>
        <w:gridCol w:w="146"/>
        <w:gridCol w:w="295"/>
        <w:gridCol w:w="1400"/>
        <w:gridCol w:w="146"/>
        <w:gridCol w:w="146"/>
        <w:gridCol w:w="212"/>
        <w:gridCol w:w="1004"/>
        <w:gridCol w:w="146"/>
        <w:gridCol w:w="256"/>
        <w:gridCol w:w="152"/>
        <w:gridCol w:w="614"/>
        <w:gridCol w:w="146"/>
        <w:gridCol w:w="146"/>
        <w:gridCol w:w="961"/>
      </w:tblGrid>
      <w:tr>
        <w:trPr/>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24"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Option Awards</w:t>
            </w:r>
          </w:p>
        </w:tc>
      </w:tr>
      <w:tr>
        <w:trPr/>
        <w:tc>
          <w:tcPr>
            <w:tcW w:w="2266" w:type="dxa"/>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Name</w:t>
            </w:r>
          </w:p>
        </w:tc>
        <w:tc>
          <w:tcPr>
            <w:tcW w:w="146" w:type="dxa"/>
            <w:tcBorders/>
            <w:shd w:fill="auto" w:val="clear"/>
            <w:vAlign w:val="center"/>
          </w:tcPr>
          <w:p>
            <w:pPr>
              <w:pStyle w:val="TableContents"/>
              <w:spacing w:before="0" w:after="0"/>
              <w:ind w:left="0" w:right="0" w:hanging="0"/>
              <w:jc w:val="center"/>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Date of</w:t>
              <w:br/>
              <w:t>Grant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w:t>
              <w:br/>
              <w:t>Securities</w:t>
              <w:br/>
              <w:t>Underlying</w:t>
              <w:br/>
              <w:t>Exercisable 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w:t>
              <w:br/>
              <w:t>Securities</w:t>
              <w:br/>
              <w:t>Underlying</w:t>
              <w:br/>
              <w:t>Unexercisable</w:t>
              <w:br/>
              <w:t>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center"/>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Option</w:t>
              <w:br/>
              <w:t>Exercise</w:t>
              <w:br/>
              <w:t>Price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Option</w:t>
              <w:br/>
              <w:t>Expiration</w:t>
              <w:br/>
              <w:t>Date</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Itziar Canamasas, Ph.D.</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06/15/22</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(1)</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06/14/32</w:t>
            </w:r>
          </w:p>
        </w:tc>
      </w:tr>
      <w:tr>
        <w:trPr/>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04/11/22</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18,674</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(2)</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04/10/32</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Scott Garland</w:t>
            </w:r>
          </w:p>
        </w:tc>
        <w:tc>
          <w:tcPr>
            <w:tcW w:w="14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11/28/22</w:t>
            </w:r>
          </w:p>
        </w:tc>
        <w:tc>
          <w:tcPr>
            <w:tcW w:w="146" w:type="dxa"/>
            <w:tcBorders/>
            <w:shd w:fill="auto" w:val="clear"/>
            <w:vAlign w:val="center"/>
          </w:tcPr>
          <w:p>
            <w:pPr>
              <w:pStyle w:val="TableContents"/>
              <w:spacing w:before="0" w:after="0"/>
              <w:ind w:left="0" w:right="0" w:hanging="0"/>
              <w:jc w:val="center"/>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23,343</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(3)</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11/27/32</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Corey Goodman, Ph.D.</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06/15/22</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6,002</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(1)</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06/14/32</w:t>
            </w:r>
          </w:p>
        </w:tc>
      </w:tr>
      <w:tr>
        <w:trPr/>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06/11/21</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(4)</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06/10/31</w:t>
            </w:r>
          </w:p>
        </w:tc>
      </w:tr>
      <w:tr>
        <w:trPr/>
        <w:tc>
          <w:tcPr>
            <w:tcW w:w="22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07/16/20</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4,669</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(5)</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07/16/30</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Rekha Hemrajani</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06/15/22</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6,002</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(1)</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06/14/32</w:t>
            </w:r>
          </w:p>
        </w:tc>
      </w:tr>
      <w:tr>
        <w:trPr/>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06/11/21</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(4)</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06/10/31</w:t>
            </w:r>
          </w:p>
        </w:tc>
      </w:tr>
      <w:tr>
        <w:trPr/>
        <w:tc>
          <w:tcPr>
            <w:tcW w:w="22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04/30/20</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29,126</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(6)</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04/30/30</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Jason Lettmann</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06/15/22</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6,002</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(1)</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06/14/32</w:t>
            </w:r>
          </w:p>
        </w:tc>
      </w:tr>
      <w:tr>
        <w:trPr/>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06/11/21</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(4)</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06/10/31</w:t>
            </w:r>
          </w:p>
        </w:tc>
      </w:tr>
      <w:tr>
        <w:trPr/>
        <w:tc>
          <w:tcPr>
            <w:tcW w:w="22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07/16/20</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4,669</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(5)</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07/16/30</w:t>
            </w:r>
          </w:p>
        </w:tc>
      </w:tr>
      <w:tr>
        <w:trPr/>
        <w:tc>
          <w:tcPr>
            <w:tcW w:w="22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Jack Nielsen</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06/15/22</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6,002</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(1)</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06/14/32</w:t>
            </w:r>
          </w:p>
        </w:tc>
      </w:tr>
      <w:tr>
        <w:trPr/>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06/11/21</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(4)</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06/10/31</w:t>
            </w:r>
          </w:p>
        </w:tc>
      </w:tr>
      <w:tr>
        <w:trPr/>
        <w:tc>
          <w:tcPr>
            <w:tcW w:w="22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07/16/20</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140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4,669</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2"/>
              </w:rPr>
            </w:pPr>
            <w:r>
              <w:rPr>
                <w:rFonts w:ascii="Arial;sans-serif" w:hAnsi="Arial;sans-serif"/>
                <w:b w:val="false"/>
                <w:sz w:val="12"/>
              </w:rPr>
              <w:t>(5)</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07/16/30</w:t>
            </w:r>
          </w:p>
        </w:tc>
      </w:tr>
    </w:tbl>
    <w:p>
      <w:pPr>
        <w:pStyle w:val="TextBody"/>
        <w:spacing w:before="0" w:after="0"/>
        <w:jc w:val="left"/>
        <w:rPr/>
      </w:pPr>
      <w:r>
        <w:rPr/>
        <w:t> </w:t>
      </w:r>
    </w:p>
    <w:p>
      <w:pPr>
        <w:pStyle w:val="TextBody"/>
        <w:spacing w:before="200" w:after="0"/>
        <w:jc w:val="center"/>
        <w:rPr>
          <w:rFonts w:ascii="Arial;sans-serif" w:hAnsi="Arial;sans-serif"/>
          <w:b w:val="false"/>
          <w:sz w:val="20"/>
        </w:rPr>
      </w:pPr>
      <w:r>
        <w:rPr>
          <w:rFonts w:ascii="Arial;sans-serif" w:hAnsi="Arial;sans-serif"/>
          <w:b w:val="false"/>
          <w:sz w:val="20"/>
        </w:rPr>
        <w:t>21</w:t>
      </w:r>
    </w:p>
    <w:p>
      <w:pPr>
        <w:pStyle w:val="HorizontalLine"/>
        <w:rPr/>
      </w:pPr>
      <w:r>
        <w:rPr/>
      </w:r>
    </w:p>
    <w:p>
      <w:pPr>
        <w:pStyle w:val="TextBody"/>
        <w:spacing w:before="0" w:after="0"/>
        <w:jc w:val="left"/>
        <w:rPr/>
      </w:pPr>
      <w:r>
        <w:rPr/>
        <w:t> </w:t>
      </w:r>
    </w:p>
    <w:p>
      <w:pPr>
        <w:pStyle w:val="TextBody"/>
        <w:spacing w:before="0" w:after="0"/>
        <w:jc w:val="both"/>
        <w:rPr>
          <w:rFonts w:ascii="Arial" w:hAnsi="Arial"/>
          <w:b w:val="false"/>
          <w:sz w:val="20"/>
        </w:rPr>
      </w:pPr>
      <w:r>
        <w:rPr>
          <w:rFonts w:ascii="Arial" w:hAnsi="Arial"/>
          <w:b w:val="false"/>
          <w:sz w:val="20"/>
        </w:rPr>
        <w:t>(1)</w:t>
      </w:r>
    </w:p>
    <w:p>
      <w:pPr>
        <w:pStyle w:val="TextBody"/>
        <w:spacing w:before="0" w:after="0"/>
        <w:jc w:val="both"/>
        <w:rPr>
          <w:rFonts w:ascii="Arial;sans-serif" w:hAnsi="Arial;sans-serif"/>
          <w:b w:val="false"/>
          <w:sz w:val="20"/>
        </w:rPr>
      </w:pPr>
      <w:r>
        <w:rPr>
          <w:rFonts w:ascii="Arial;sans-serif" w:hAnsi="Arial;sans-serif"/>
          <w:b w:val="false"/>
          <w:sz w:val="20"/>
        </w:rPr>
        <w:t>Shares subject to the option vest in 12 equal monthly installments on the same day of month of grant date, or if earlier, the day immediately before the day of the next annual meeting of stockholders, subject to continued service through each such vesting date.</w:t>
      </w:r>
    </w:p>
    <w:p>
      <w:pPr>
        <w:pStyle w:val="TextBody"/>
        <w:spacing w:before="120" w:after="0"/>
        <w:jc w:val="both"/>
        <w:rPr>
          <w:rFonts w:ascii="Arial" w:hAnsi="Arial"/>
          <w:b w:val="false"/>
          <w:sz w:val="20"/>
        </w:rPr>
      </w:pPr>
      <w:r>
        <w:rPr>
          <w:rFonts w:ascii="Arial" w:hAnsi="Arial"/>
          <w:b w:val="false"/>
          <w:sz w:val="20"/>
        </w:rPr>
        <w:t>(2)</w:t>
      </w:r>
    </w:p>
    <w:p>
      <w:pPr>
        <w:pStyle w:val="TextBody"/>
        <w:spacing w:before="120" w:after="0"/>
        <w:jc w:val="both"/>
        <w:rPr>
          <w:rFonts w:ascii="Arial;sans-serif" w:hAnsi="Arial;sans-serif"/>
          <w:b w:val="false"/>
          <w:sz w:val="20"/>
        </w:rPr>
      </w:pPr>
      <w:r>
        <w:rPr>
          <w:rFonts w:ascii="Arial;sans-serif" w:hAnsi="Arial;sans-serif"/>
          <w:b w:val="false"/>
          <w:sz w:val="20"/>
        </w:rPr>
        <w:t xml:space="preserve">Shares subject to the option vest in 36 equal monthly installments beginning on May 11, 2022 subject to continued service through each such vesting date. </w:t>
      </w:r>
    </w:p>
    <w:p>
      <w:pPr>
        <w:pStyle w:val="TextBody"/>
        <w:spacing w:before="120" w:after="0"/>
        <w:jc w:val="both"/>
        <w:rPr>
          <w:rFonts w:ascii="Arial" w:hAnsi="Arial"/>
          <w:b w:val="false"/>
          <w:sz w:val="20"/>
        </w:rPr>
      </w:pPr>
      <w:r>
        <w:rPr>
          <w:rFonts w:ascii="Arial" w:hAnsi="Arial"/>
          <w:b w:val="false"/>
          <w:sz w:val="20"/>
        </w:rPr>
        <w:t>(3)</w:t>
      </w:r>
    </w:p>
    <w:p>
      <w:pPr>
        <w:pStyle w:val="TextBody"/>
        <w:spacing w:before="120" w:after="0"/>
        <w:jc w:val="both"/>
        <w:rPr>
          <w:rFonts w:ascii="Arial;sans-serif" w:hAnsi="Arial;sans-serif"/>
          <w:b w:val="false"/>
          <w:sz w:val="20"/>
        </w:rPr>
      </w:pPr>
      <w:r>
        <w:rPr>
          <w:rFonts w:ascii="Arial;sans-serif" w:hAnsi="Arial;sans-serif"/>
          <w:b w:val="false"/>
          <w:sz w:val="20"/>
        </w:rPr>
        <w:t xml:space="preserve">Shares subject to the option vest in 36 equal monthly installments beginning on December 28, 2022 subject to continued service through each such vesting date. </w:t>
      </w:r>
    </w:p>
    <w:p>
      <w:pPr>
        <w:pStyle w:val="TextBody"/>
        <w:spacing w:before="120" w:after="0"/>
        <w:jc w:val="both"/>
        <w:rPr>
          <w:rFonts w:ascii="Arial" w:hAnsi="Arial"/>
          <w:b w:val="false"/>
          <w:sz w:val="20"/>
        </w:rPr>
      </w:pPr>
      <w:r>
        <w:rPr>
          <w:rFonts w:ascii="Arial" w:hAnsi="Arial"/>
          <w:b w:val="false"/>
          <w:sz w:val="20"/>
        </w:rPr>
        <w:t>(4)</w:t>
      </w:r>
    </w:p>
    <w:p>
      <w:pPr>
        <w:pStyle w:val="TextBody"/>
        <w:spacing w:before="120" w:after="0"/>
        <w:jc w:val="both"/>
        <w:rPr>
          <w:rFonts w:ascii="Arial;sans-serif" w:hAnsi="Arial;sans-serif"/>
          <w:b w:val="false"/>
          <w:sz w:val="20"/>
        </w:rPr>
      </w:pPr>
      <w:r>
        <w:rPr>
          <w:rFonts w:ascii="Arial;sans-serif" w:hAnsi="Arial;sans-serif"/>
          <w:b w:val="false"/>
          <w:sz w:val="20"/>
        </w:rPr>
        <w:t>The shares subject to the option are fully vested and immediately exercisable.</w:t>
      </w:r>
    </w:p>
    <w:p>
      <w:pPr>
        <w:pStyle w:val="TextBody"/>
        <w:spacing w:before="120" w:after="0"/>
        <w:jc w:val="both"/>
        <w:rPr>
          <w:rFonts w:ascii="Arial" w:hAnsi="Arial"/>
          <w:b w:val="false"/>
          <w:sz w:val="20"/>
        </w:rPr>
      </w:pPr>
      <w:r>
        <w:rPr>
          <w:rFonts w:ascii="Arial" w:hAnsi="Arial"/>
          <w:b w:val="false"/>
          <w:sz w:val="20"/>
        </w:rPr>
        <w:t>(5)</w:t>
      </w:r>
    </w:p>
    <w:p>
      <w:pPr>
        <w:pStyle w:val="TextBody"/>
        <w:spacing w:before="120" w:after="0"/>
        <w:jc w:val="both"/>
        <w:rPr>
          <w:rFonts w:ascii="Arial;sans-serif" w:hAnsi="Arial;sans-serif"/>
          <w:b w:val="false"/>
          <w:sz w:val="20"/>
        </w:rPr>
      </w:pPr>
      <w:r>
        <w:rPr>
          <w:rFonts w:ascii="Arial;sans-serif" w:hAnsi="Arial;sans-serif"/>
          <w:b w:val="false"/>
          <w:sz w:val="20"/>
        </w:rPr>
        <w:t xml:space="preserve">Shares subject to the option vest in 36 equal monthly installments beginning on August 16, 2020 subject to continued service through each such vesting date. </w:t>
      </w:r>
    </w:p>
    <w:p>
      <w:pPr>
        <w:pStyle w:val="TextBody"/>
        <w:spacing w:before="120" w:after="0"/>
        <w:jc w:val="both"/>
        <w:rPr>
          <w:rFonts w:ascii="Arial" w:hAnsi="Arial"/>
          <w:b w:val="false"/>
          <w:sz w:val="20"/>
        </w:rPr>
      </w:pPr>
      <w:r>
        <w:rPr>
          <w:rFonts w:ascii="Arial" w:hAnsi="Arial"/>
          <w:b w:val="false"/>
          <w:sz w:val="20"/>
        </w:rPr>
        <w:t>(6)</w:t>
      </w:r>
    </w:p>
    <w:p>
      <w:pPr>
        <w:pStyle w:val="TextBody"/>
        <w:spacing w:before="120" w:after="283"/>
        <w:jc w:val="both"/>
        <w:rPr/>
      </w:pPr>
      <w:r>
        <w:rPr>
          <w:rFonts w:ascii="Arial;sans-serif" w:hAnsi="Arial;sans-serif"/>
          <w:b w:val="false"/>
          <w:sz w:val="20"/>
        </w:rPr>
        <w:t>1/4th</w:t>
      </w:r>
      <w:r>
        <w:rPr/>
        <w:t xml:space="preserve"> </w:t>
      </w:r>
      <w:r>
        <w:rPr>
          <w:rFonts w:ascii="Arial;sans-serif" w:hAnsi="Arial;sans-serif"/>
          <w:b w:val="false"/>
          <w:sz w:val="20"/>
        </w:rPr>
        <w:t xml:space="preserve">of the shares subject to the option vested on April 27, 2021 and 1/36th of the remaining shares subject to the option vest monthly thereafter subject to continued service through each such vesting date. </w:t>
      </w:r>
    </w:p>
    <w:p>
      <w:pPr>
        <w:pStyle w:val="TextBody"/>
        <w:spacing w:before="200" w:after="0"/>
        <w:jc w:val="center"/>
        <w:rPr>
          <w:rFonts w:ascii="Arial;sans-serif" w:hAnsi="Arial;sans-serif"/>
          <w:b w:val="false"/>
          <w:sz w:val="20"/>
        </w:rPr>
      </w:pPr>
      <w:r>
        <w:rPr>
          <w:rFonts w:ascii="Arial;sans-serif" w:hAnsi="Arial;sans-serif"/>
          <w:b w:val="false"/>
          <w:sz w:val="20"/>
        </w:rPr>
        <w:t>22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0" w:name="proposal_no_1"/>
      <w:bookmarkEnd w:id="20"/>
      <w:r>
        <w:rPr>
          <w:rFonts w:ascii="Arial;sans-serif" w:hAnsi="Arial;sans-serif"/>
          <w:b/>
          <w:sz w:val="20"/>
        </w:rPr>
        <w:t>PROPOSAL NO. 1</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ELECTION OF DIRECTORS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board of directors is currently composed of eight members. In accordance with our amended and restated certificate of incorporation, our board of directors is divided into three classes with staggered three-year terms. At the Annual Meeting, three Class III directors will be elected for a three-year term to succeed the same class whose term is then expiring.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r>
        <w:rPr>
          <w:rFonts w:ascii="Times New Roman" w:hAnsi="Times New Roman"/>
          <w:sz w:val="20"/>
        </w:rPr>
        <w:t xml:space="preserve"> </w:t>
      </w:r>
    </w:p>
    <w:p>
      <w:pPr>
        <w:pStyle w:val="TextBody"/>
        <w:spacing w:before="360" w:after="0"/>
        <w:jc w:val="left"/>
        <w:rPr>
          <w:rFonts w:ascii="Times New Roman" w:hAnsi="Times New Roman"/>
          <w:sz w:val="20"/>
        </w:rPr>
      </w:pPr>
      <w:bookmarkStart w:id="21" w:name="nominees"/>
      <w:bookmarkEnd w:id="21"/>
      <w:r>
        <w:rPr>
          <w:rFonts w:ascii="Arial;sans-serif" w:hAnsi="Arial;sans-serif"/>
          <w:b/>
          <w:sz w:val="20"/>
        </w:rPr>
        <w:t>Nominees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corporate governance and nominating committee has recommended, and our board of directors has approved, Scott Garland, Rekha Hemrajani and Jaume Pons, Ph.D. as nominees for election as Class III directors at the Annual Meeting. If elected, each of Mr. Garland, Ms. Hemrajani and Dr. Pons will serve as a Class III director until the 2026 annual meeting of stockholders or until his or her successor is duly elected and qualified. Mr. Garland, Ms. Hemrajani and Dr. Pons are currently directors of our company, and each has agreed to being named in this proxy statement as a nominee. For information concerning the nominees, please see the section titled “Board of Directors and Corporate Governance.”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If you are a stockholder of record and you sign your proxy card or vote over the Internet or by telephone but do not give instructions with respect to the voting of directors, your shares will be voted FOR the election of Mr. Garland, Ms. Hemrajani and Dr. Pons. If you are a street name stockholder of shares of our common stock and you do not give voting instructions to your broker, bank or other nominee, then your broker, bank or other nominee will leave your shares unvoted on this matter. We expect that Mr. Garland, Ms. Hemrajani and Dr. Pons will accept such nomination; however, in the event that a director nominee is unable or declines to serve as a director at the time of the Annual Meeting, the proxies will be voted for any nominee who shall be designated by our board of directors to fill such vacancy.</w:t>
      </w:r>
      <w:r>
        <w:rPr>
          <w:rFonts w:ascii="Times New Roman" w:hAnsi="Times New Roman"/>
          <w:sz w:val="20"/>
        </w:rPr>
        <w:t xml:space="preserve"> </w:t>
      </w:r>
    </w:p>
    <w:p>
      <w:pPr>
        <w:pStyle w:val="TextBody"/>
        <w:spacing w:before="360" w:after="0"/>
        <w:jc w:val="left"/>
        <w:rPr>
          <w:rFonts w:ascii="Times New Roman" w:hAnsi="Times New Roman"/>
          <w:sz w:val="20"/>
        </w:rPr>
      </w:pPr>
      <w:bookmarkStart w:id="22" w:name="vote"/>
      <w:bookmarkEnd w:id="22"/>
      <w:r>
        <w:rPr>
          <w:rFonts w:ascii="Arial;sans-serif" w:hAnsi="Arial;sans-serif"/>
          <w:b/>
          <w:sz w:val="20"/>
        </w:rPr>
        <w:t>Vote Required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The election of Class III directors requires a plurality of the votes of the shares of our common stock present in person (including virtually) or represented by proxy at the Annual Meeting and entitled to vote thereon to be approved. “Plurality” means that the three nominees who receive the most votes cast ‘FOR’ will be elected as Class III directors. As a result, any shares not voted ‘FOR’ a particular nominee (whether as a result of voting withheld or a broker non-vote) will not be counted in such nominee’s favor and will have no effect on the outcome of the election.</w:t>
      </w:r>
      <w:r>
        <w:rPr>
          <w:rFonts w:ascii="Times New Roman" w:hAnsi="Times New Roman"/>
          <w:sz w:val="20"/>
        </w:rPr>
        <w:t xml:space="preserve"> </w:t>
      </w:r>
    </w:p>
    <w:p>
      <w:pPr>
        <w:pStyle w:val="TextBody"/>
        <w:spacing w:before="240" w:after="0"/>
        <w:jc w:val="center"/>
        <w:rPr>
          <w:rFonts w:ascii="Arial;sans-serif" w:hAnsi="Arial;sans-serif"/>
          <w:b/>
          <w:sz w:val="20"/>
        </w:rPr>
      </w:pPr>
      <w:r>
        <w:rPr>
          <w:rFonts w:ascii="Arial;sans-serif" w:hAnsi="Arial;sans-serif"/>
          <w:b/>
          <w:sz w:val="20"/>
        </w:rPr>
        <w:t>THE BOARD OF DIRECTORS RECOMMENDS A VOTE “FOR” THE ELECTION OF EACH OF THE THREE NOMINEES NAMED ABOVE AS CLASS III DIRECTORS TO SERVE FOR A THREE-YEAR TERM.</w:t>
      </w:r>
    </w:p>
    <w:p>
      <w:pPr>
        <w:pStyle w:val="TextBody"/>
        <w:spacing w:before="200" w:after="0"/>
        <w:jc w:val="center"/>
        <w:rPr>
          <w:rFonts w:ascii="Arial;sans-serif" w:hAnsi="Arial;sans-serif"/>
          <w:b w:val="false"/>
          <w:sz w:val="20"/>
        </w:rPr>
      </w:pPr>
      <w:r>
        <w:rPr>
          <w:rFonts w:ascii="Arial;sans-serif" w:hAnsi="Arial;sans-serif"/>
          <w:b w:val="false"/>
          <w:sz w:val="20"/>
        </w:rPr>
        <w:t>23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3" w:name="proposal_no_2"/>
      <w:bookmarkEnd w:id="23"/>
      <w:r>
        <w:rPr>
          <w:rFonts w:ascii="Arial;sans-serif" w:hAnsi="Arial;sans-serif"/>
          <w:b/>
          <w:sz w:val="20"/>
        </w:rPr>
        <w:t>PROPOSAL NO. 2</w:t>
      </w:r>
      <w:r>
        <w:rPr>
          <w:rFonts w:ascii="Times New Roman" w:hAnsi="Times New Roman"/>
          <w:sz w:val="20"/>
        </w:rPr>
        <w:t xml:space="preserve"> </w:t>
      </w:r>
    </w:p>
    <w:p>
      <w:pPr>
        <w:pStyle w:val="TextBody"/>
        <w:spacing w:before="0" w:after="0"/>
        <w:jc w:val="center"/>
        <w:rPr>
          <w:rFonts w:ascii="Arial;sans-serif" w:hAnsi="Arial;sans-serif"/>
          <w:b/>
          <w:sz w:val="20"/>
        </w:rPr>
      </w:pPr>
      <w:r>
        <w:rPr>
          <w:rFonts w:ascii="Arial;sans-serif" w:hAnsi="Arial;sans-serif"/>
          <w:b/>
          <w:sz w:val="20"/>
        </w:rPr>
        <w:t>ADVISORY VOTE ON THE COMPENSATION OF OUR NAMED EXECUTIVE OFFICERS</w:t>
      </w:r>
    </w:p>
    <w:p>
      <w:pPr>
        <w:pStyle w:val="TextBody"/>
        <w:spacing w:before="240" w:after="0"/>
        <w:jc w:val="left"/>
        <w:rPr>
          <w:rFonts w:ascii="Times New Roman" w:hAnsi="Times New Roman"/>
          <w:sz w:val="20"/>
        </w:rPr>
      </w:pPr>
      <w:r>
        <w:rPr>
          <w:rFonts w:ascii="Arial;sans-serif" w:hAnsi="Arial;sans-serif"/>
          <w:b w:val="false"/>
          <w:sz w:val="20"/>
        </w:rPr>
        <w:t>This stockholder advisory vote, commonly known as “say-on-pay,” is required pursuant to Section 14A of the Exchange Act and gives our stockholders the opportunity to approve or not approve, on a non-binding advisory basis, the compensation paid to our Chief Executive Officer and the other executive officers named in the Summary Compensation Table (named executive officers) as disclosed in this proxy statement.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Board recommends a vote “FOR” the following resolution:</w:t>
      </w:r>
      <w:r>
        <w:rPr>
          <w:rFonts w:ascii="Times New Roman" w:hAnsi="Times New Roman"/>
          <w:sz w:val="20"/>
        </w:rPr>
        <w:t xml:space="preserve"> </w:t>
      </w:r>
    </w:p>
    <w:p>
      <w:pPr>
        <w:pStyle w:val="TextBody"/>
        <w:spacing w:before="240" w:after="0"/>
        <w:jc w:val="left"/>
        <w:rPr/>
      </w:pPr>
      <w:r>
        <w:rPr/>
        <w:t>“</w:t>
      </w:r>
      <w:r>
        <w:rPr>
          <w:rFonts w:ascii="Arial;sans-serif" w:hAnsi="Arial;sans-serif"/>
          <w:b w:val="false"/>
          <w:sz w:val="20"/>
        </w:rPr>
        <w:t>RESOLVED, that the stockholders of ALX Oncology Holdings Inc. approve, on an advisory basis, the compensation of the named executive officers, as disclosed in the proxy statement pursuant to Item 402 of Regulation S-K, including the compensation tables and any related narrative discussion.”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We became a public company in July 2020 and since that time we have made important changes to our executive compensation program to reflect our transition from a private to public company. This is the second time we have included an advisory “say-on-pay” vote at the annual meeting of the stockholders. In 2022, our stockholders approved the “say-on-pay” vote with 88% of the votes cast (excluding broker non-votes and abstentions) in support of our named executive officer compensation as disclosed in our 2022 proxy statement. Each year we intend to submit the executive compensation of our named executive officers to an advisory vote at our annual meeting of stockholders, consistent with the “say-when-on-pay” recommendation from our stockholders at our 2022 annual meeting, until such time as the say-when-on-pay proposal is brought before our stockholders again.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board of directors is asking you to support this proposal. Because this vote is advisory, it will not be binding on us, our compensation committee or our board of directors. However, our compensation committee and our board of directors will review the voting results in their entirety and take them into consideration when making future decisions regarding named executive officer compensation.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sz w:val="20"/>
        </w:rPr>
        <w:t>Vote Required</w:t>
      </w:r>
      <w:r>
        <w:rPr>
          <w:rFonts w:ascii="Arial;sans-serif" w:hAnsi="Arial;sans-serif"/>
          <w:b w:val="false"/>
          <w:sz w:val="20"/>
        </w:rPr>
        <w:br/>
      </w:r>
      <w:r>
        <w:rPr>
          <w:rFonts w:ascii="Times New Roman" w:hAnsi="Times New Roman"/>
          <w:sz w:val="20"/>
        </w:rPr>
        <w:t> </w:t>
      </w:r>
    </w:p>
    <w:p>
      <w:pPr>
        <w:pStyle w:val="TextBody"/>
        <w:spacing w:before="120" w:after="0"/>
        <w:jc w:val="left"/>
        <w:rPr>
          <w:rFonts w:ascii="Times New Roman" w:hAnsi="Times New Roman"/>
          <w:sz w:val="20"/>
        </w:rPr>
      </w:pPr>
      <w:r>
        <w:rPr>
          <w:rFonts w:ascii="Arial;sans-serif" w:hAnsi="Arial;sans-serif"/>
          <w:b w:val="false"/>
          <w:sz w:val="20"/>
        </w:rPr>
        <w:t>The approval, on an advisory basis, of the compensation of our named executive officers requires an affirmative vote of a majority of the shares of our common stock present in person (including virtually) or represented by proxy at the Annual Meeting and entitled to vote thereon. Abstention will have the same effect as a vote AGAINST the proposal, and broker non-votes will have no effect.</w:t>
        <w:br/>
      </w:r>
      <w:r>
        <w:rPr>
          <w:rFonts w:ascii="Times New Roman" w:hAnsi="Times New Roman"/>
          <w:sz w:val="20"/>
        </w:rPr>
        <w:t> </w:t>
      </w:r>
    </w:p>
    <w:p>
      <w:pPr>
        <w:pStyle w:val="TextBody"/>
        <w:spacing w:before="240" w:after="0"/>
        <w:jc w:val="center"/>
        <w:rPr>
          <w:rFonts w:ascii="Times New Roman" w:hAnsi="Times New Roman"/>
          <w:sz w:val="20"/>
        </w:rPr>
      </w:pPr>
      <w:r>
        <w:rPr>
          <w:rFonts w:ascii="Arial;sans-serif" w:hAnsi="Arial;sans-serif"/>
          <w:b/>
          <w:sz w:val="20"/>
        </w:rPr>
        <w:t>OUR BOARD OF DIRECTORS RECOMMENDS A VOTE “FOR”</w:t>
      </w:r>
      <w:r>
        <w:rPr>
          <w:rFonts w:ascii="Times New Roman" w:hAnsi="Times New Roman"/>
          <w:sz w:val="20"/>
        </w:rPr>
        <w:t xml:space="preserve"> </w:t>
      </w:r>
    </w:p>
    <w:p>
      <w:pPr>
        <w:pStyle w:val="TextBody"/>
        <w:spacing w:before="0" w:after="0"/>
        <w:jc w:val="center"/>
        <w:rPr>
          <w:rFonts w:ascii="Arial;sans-serif" w:hAnsi="Arial;sans-serif"/>
          <w:b/>
          <w:sz w:val="20"/>
        </w:rPr>
      </w:pPr>
      <w:r>
        <w:rPr>
          <w:rFonts w:ascii="Arial;sans-serif" w:hAnsi="Arial;sans-serif"/>
          <w:b/>
          <w:sz w:val="20"/>
        </w:rPr>
        <w:t>THE APPROVAL OF THE COMPENSATION OF OUR NAMED EXECUTIVE OFFICERS AS DISCLOSED IN THE PROXY STATEMENT.</w:t>
      </w:r>
    </w:p>
    <w:p>
      <w:pPr>
        <w:pStyle w:val="TextBody"/>
        <w:spacing w:before="200" w:after="0"/>
        <w:jc w:val="center"/>
        <w:rPr>
          <w:rFonts w:ascii="Arial;sans-serif" w:hAnsi="Arial;sans-serif"/>
          <w:b w:val="false"/>
          <w:sz w:val="20"/>
        </w:rPr>
      </w:pPr>
      <w:r>
        <w:rPr>
          <w:rFonts w:ascii="Arial;sans-serif" w:hAnsi="Arial;sans-serif"/>
          <w:b w:val="false"/>
          <w:sz w:val="20"/>
        </w:rPr>
        <w:t>24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4" w:name="proposal_no_3"/>
      <w:bookmarkEnd w:id="24"/>
      <w:r>
        <w:rPr>
          <w:rFonts w:ascii="Arial;sans-serif" w:hAnsi="Arial;sans-serif"/>
          <w:b/>
          <w:sz w:val="20"/>
        </w:rPr>
        <w:t>PROPOSAL NO. 3</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RATIFICATION OF APPOINTMENT OF</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sz w:val="20"/>
        </w:rPr>
        <w:t>INDEPENDENT REGISTERED PUBLIC ACCOUNTING FIRM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audit committee has appointed KPMG LLP, an independent registered public accounting firm, to audit our financial statements for our fiscal year ending December 31, 2023. KPMG LLP has served as our independent registered public accounting firm since 2016.</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At the Annual Meeting, our stockholders are being asked to ratify the appointment of KPMG LLP as our independent registered public accounting firm for our fiscal year ending December 31, 2023. Stockholder ratification of the appointment of KPMG LLP is not required by our Bylaws or other applicable legal requirements. However, our board of directors is submitting the appointment of KPMG LLP to our stockholders for ratification as a matter of good corporate governance. In the event that this appointment is not ratified by the affirmative vote of a majority of the shares present in person (including virtually)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2023 if our audit committee believes that such a change would be in the best interests our company and our stockholders. A representative of KPMG LLP is expected to be present at the Annual Meeting, will have an opportunity to make a statement if they wish to do so, and is expected to be available to respond to appropriate questions from stockholders.</w:t>
      </w:r>
      <w:r>
        <w:rPr>
          <w:rFonts w:ascii="Times New Roman" w:hAnsi="Times New Roman"/>
          <w:sz w:val="20"/>
        </w:rPr>
        <w:t xml:space="preserve"> </w:t>
      </w:r>
    </w:p>
    <w:p>
      <w:pPr>
        <w:pStyle w:val="TextBody"/>
        <w:spacing w:before="360" w:after="0"/>
        <w:jc w:val="left"/>
        <w:rPr>
          <w:rFonts w:ascii="Times New Roman" w:hAnsi="Times New Roman"/>
          <w:sz w:val="20"/>
        </w:rPr>
      </w:pPr>
      <w:bookmarkStart w:id="25" w:name="audit_firm_fees_paid"/>
      <w:bookmarkEnd w:id="25"/>
      <w:r>
        <w:rPr>
          <w:rFonts w:ascii="Arial;sans-serif" w:hAnsi="Arial;sans-serif"/>
          <w:b/>
          <w:sz w:val="20"/>
        </w:rPr>
        <w:t>Fees Paid to the Independent Registered Public Accounting Firm</w:t>
      </w:r>
      <w:r>
        <w:rPr>
          <w:rFonts w:ascii="Times New Roman" w:hAnsi="Times New Roman"/>
          <w:sz w:val="20"/>
        </w:rPr>
        <w:t xml:space="preserve"> </w:t>
      </w:r>
    </w:p>
    <w:p>
      <w:pPr>
        <w:pStyle w:val="TextBody"/>
        <w:spacing w:before="120" w:after="240"/>
        <w:jc w:val="left"/>
        <w:rPr>
          <w:rFonts w:ascii="Times New Roman" w:hAnsi="Times New Roman"/>
          <w:sz w:val="20"/>
        </w:rPr>
      </w:pPr>
      <w:r>
        <w:rPr>
          <w:rFonts w:ascii="Arial;sans-serif" w:hAnsi="Arial;sans-serif"/>
          <w:b w:val="false"/>
          <w:sz w:val="20"/>
        </w:rPr>
        <w:t>The following table presents fees for professional audit services and other services rendered to us by KPMG LLP for our fiscal years ended December 31, 2022 and 2021.</w:t>
      </w:r>
      <w:r>
        <w:rPr>
          <w:rFonts w:ascii="Times New Roman" w:hAnsi="Times New Roman"/>
          <w:sz w:val="20"/>
        </w:rPr>
        <w:t xml:space="preserve"> </w:t>
      </w:r>
    </w:p>
    <w:tbl>
      <w:tblPr>
        <w:tblW w:w="4594" w:type="dxa"/>
        <w:jc w:val="left"/>
        <w:tblInd w:w="0" w:type="dxa"/>
        <w:tblCellMar>
          <w:top w:w="28" w:type="dxa"/>
          <w:left w:w="28" w:type="dxa"/>
          <w:bottom w:w="28" w:type="dxa"/>
          <w:right w:w="28" w:type="dxa"/>
        </w:tblCellMar>
      </w:tblPr>
      <w:tblGrid>
        <w:gridCol w:w="1786"/>
        <w:gridCol w:w="146"/>
        <w:gridCol w:w="211"/>
        <w:gridCol w:w="796"/>
        <w:gridCol w:w="146"/>
        <w:gridCol w:w="146"/>
        <w:gridCol w:w="211"/>
        <w:gridCol w:w="961"/>
        <w:gridCol w:w="191"/>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Audit Fees</w:t>
            </w: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873,100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1,185,600</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Audit-Related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Tax Fees</w:t>
            </w:r>
            <w:r>
              <w:rPr>
                <w:rFonts w:ascii="Arial;sans-serif" w:hAnsi="Arial;sans-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6,320</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All Other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873,366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1,191,920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 w:hAnsi="Arial"/>
          <w:b w:val="false"/>
          <w:sz w:val="20"/>
        </w:rPr>
      </w:pPr>
      <w:r>
        <w:rPr>
          <w:rFonts w:ascii="Arial" w:hAnsi="Arial"/>
          <w:b w:val="false"/>
          <w:sz w:val="20"/>
        </w:rPr>
        <w:t>(1)</w:t>
      </w:r>
    </w:p>
    <w:p>
      <w:pPr>
        <w:pStyle w:val="TextBody"/>
        <w:spacing w:before="0" w:after="0"/>
        <w:jc w:val="both"/>
        <w:rPr/>
      </w:pPr>
      <w:r>
        <w:rPr/>
        <w:t>“</w:t>
      </w:r>
      <w:r>
        <w:rPr>
          <w:rFonts w:ascii="Arial;sans-serif" w:hAnsi="Arial;sans-serif"/>
          <w:b w:val="false"/>
          <w:sz w:val="20"/>
        </w:rPr>
        <w:t xml:space="preserve">Audit fees” represent fees billed for professional services rendered for the audits of our annual consolidated financial statements, audit of internal controls, quarterly reviews of our consolidated financial statements, statutory audits, reviews of documents filed with the SEC, registration statements and comfort letters. </w:t>
      </w:r>
    </w:p>
    <w:p>
      <w:pPr>
        <w:pStyle w:val="TextBody"/>
        <w:spacing w:before="120" w:after="0"/>
        <w:jc w:val="both"/>
        <w:rPr>
          <w:rFonts w:ascii="Arial" w:hAnsi="Arial"/>
          <w:b w:val="false"/>
          <w:sz w:val="20"/>
        </w:rPr>
      </w:pPr>
      <w:r>
        <w:rPr>
          <w:rFonts w:ascii="Arial" w:hAnsi="Arial"/>
          <w:b w:val="false"/>
          <w:sz w:val="20"/>
        </w:rPr>
        <w:t>(2)</w:t>
      </w:r>
    </w:p>
    <w:p>
      <w:pPr>
        <w:pStyle w:val="TextBody"/>
        <w:spacing w:before="120" w:after="283"/>
        <w:jc w:val="both"/>
        <w:rPr/>
      </w:pPr>
      <w:r>
        <w:rPr/>
        <w:t>“</w:t>
      </w:r>
      <w:r>
        <w:rPr>
          <w:rFonts w:ascii="Arial;sans-serif" w:hAnsi="Arial;sans-serif"/>
          <w:b w:val="false"/>
          <w:sz w:val="20"/>
        </w:rPr>
        <w:t xml:space="preserve">Tax Fees” consist of fees billed for professional services rendered by KPMG LLP for tax compliance, tax advice and tax planning. </w:t>
      </w:r>
    </w:p>
    <w:p>
      <w:pPr>
        <w:pStyle w:val="TextBody"/>
        <w:spacing w:before="360" w:after="0"/>
        <w:jc w:val="left"/>
        <w:rPr>
          <w:rFonts w:ascii="Times New Roman" w:hAnsi="Times New Roman"/>
          <w:sz w:val="20"/>
        </w:rPr>
      </w:pPr>
      <w:bookmarkStart w:id="26" w:name="auditor_independence"/>
      <w:bookmarkEnd w:id="26"/>
      <w:r>
        <w:rPr>
          <w:rFonts w:ascii="Arial;sans-serif" w:hAnsi="Arial;sans-serif"/>
          <w:b/>
          <w:sz w:val="20"/>
        </w:rPr>
        <w:t>Auditor Independence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In our fiscal year ended December 31, 2022, there were no other professional services provided by KPMG LLP that would have required our audit committee to consider their compatibility with maintaining the independence of KPMG LLP.</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25</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27" w:name="ac_policy_audit_service_preapproval"/>
      <w:bookmarkEnd w:id="27"/>
      <w:r>
        <w:rPr>
          <w:rFonts w:ascii="Arial;sans-serif" w:hAnsi="Arial;sans-serif"/>
          <w:b/>
          <w:sz w:val="20"/>
        </w:rPr>
        <w:t>Audit Committee Policy on Pre-Approval of Audit and Permissible Non-Audit Services of Independent Registered Public Accounting Firm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services provided by KPMG LLP for our fiscal years ended December 31, 2022 and 2021 were pre-approved by our audit committee.</w:t>
      </w:r>
      <w:r>
        <w:rPr>
          <w:rFonts w:ascii="Times New Roman" w:hAnsi="Times New Roman"/>
          <w:sz w:val="20"/>
        </w:rPr>
        <w:t xml:space="preserve"> </w:t>
      </w:r>
    </w:p>
    <w:p>
      <w:pPr>
        <w:pStyle w:val="TextBody"/>
        <w:spacing w:before="360" w:after="0"/>
        <w:jc w:val="left"/>
        <w:rPr>
          <w:rFonts w:ascii="Times New Roman" w:hAnsi="Times New Roman"/>
          <w:sz w:val="20"/>
        </w:rPr>
      </w:pPr>
      <w:bookmarkStart w:id="28" w:name="audit_firm_vote"/>
      <w:bookmarkEnd w:id="28"/>
      <w:r>
        <w:rPr>
          <w:rFonts w:ascii="Arial;sans-serif" w:hAnsi="Arial;sans-serif"/>
          <w:b/>
          <w:sz w:val="20"/>
        </w:rPr>
        <w:t>Vote Required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The ratification of the appointment of KPMG LLP as our independent registered public accounting firm for our fiscal year ending December 31, 2023 requires the affirmative vote of a majority of the shares of our common stock present in person (including virtually) or represented by proxy at the Annual Meeting and entitled to vote thereon. Abstentions will have the effect of a vote AGAINST this proposal, and broker non-votes will have no effect.</w:t>
      </w:r>
      <w:r>
        <w:rPr>
          <w:rFonts w:ascii="Times New Roman" w:hAnsi="Times New Roman"/>
          <w:sz w:val="20"/>
        </w:rPr>
        <w:t xml:space="preserve"> </w:t>
      </w:r>
    </w:p>
    <w:p>
      <w:pPr>
        <w:pStyle w:val="TextBody"/>
        <w:spacing w:before="240" w:after="0"/>
        <w:jc w:val="center"/>
        <w:rPr>
          <w:rFonts w:ascii="Arial;sans-serif" w:hAnsi="Arial;sans-serif"/>
          <w:b/>
          <w:sz w:val="20"/>
        </w:rPr>
      </w:pPr>
      <w:r>
        <w:rPr>
          <w:rFonts w:ascii="Arial;sans-serif" w:hAnsi="Arial;sans-serif"/>
          <w:b/>
          <w:sz w:val="20"/>
        </w:rPr>
        <w:t>THE BOARD OF DIRECTORS RECOMMENDS A VOTE “FOR” THE RATIFICATION OF THE APPOINTMENT OF KPMG LLP AS OUR INDEPENDENT REGISTERED PUBLIC ACCOUNTING FIRM FOR OUR FISCAL YEAR ENDING DECEMBER 31, 2023.</w:t>
      </w:r>
    </w:p>
    <w:p>
      <w:pPr>
        <w:pStyle w:val="TextBody"/>
        <w:spacing w:before="200" w:after="0"/>
        <w:jc w:val="center"/>
        <w:rPr>
          <w:rFonts w:ascii="Arial;sans-serif" w:hAnsi="Arial;sans-serif"/>
          <w:b w:val="false"/>
          <w:sz w:val="20"/>
        </w:rPr>
      </w:pPr>
      <w:r>
        <w:rPr>
          <w:rFonts w:ascii="Arial;sans-serif" w:hAnsi="Arial;sans-serif"/>
          <w:b w:val="false"/>
          <w:sz w:val="20"/>
        </w:rPr>
        <w:t>26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9" w:name="audit_committee_report"/>
      <w:bookmarkEnd w:id="29"/>
      <w:r>
        <w:rPr>
          <w:rFonts w:ascii="Arial;sans-serif" w:hAnsi="Arial;sans-serif"/>
          <w:b/>
          <w:sz w:val="20"/>
        </w:rPr>
        <w:t>AUDIT COMMITTEE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https://ir.alxoncology.com/. The audit committee reviews and assesses the adequacy of its charter and the audit committee’s performance on an annual basis.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With respect to the Company’s financial reporting process, the Company’s management is responsible for (1) establishing and maintaining internal controls and (2) preparing the Company’s financial statements. The Company’s independent registered public accounting firm, KPMG LLP (KPMG),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In the performance of its oversight function, the audit committee has:</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reviewed and discussed the audited financial statements with management and KPMG;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discussed with KPMG the matters required to be discussed by the applicable requirements of the Public Company Accounting Oversight Board (PCAOB) and the SEC;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received the written disclosures and the letter from KPMG required by applicable requirements of the PCAOB regarding the independent accountant’s communications with the audit committee concerning independence and has discussed with KPMG its independence. </w:t>
      </w:r>
    </w:p>
    <w:p>
      <w:pPr>
        <w:pStyle w:val="TextBody"/>
        <w:spacing w:before="240" w:after="0"/>
        <w:jc w:val="left"/>
        <w:rPr>
          <w:rFonts w:ascii="Times New Roman" w:hAnsi="Times New Roman"/>
          <w:sz w:val="20"/>
        </w:rPr>
      </w:pPr>
      <w:r>
        <w:rPr>
          <w:rFonts w:ascii="Arial;sans-serif" w:hAnsi="Arial;sans-serif"/>
          <w:b w:val="false"/>
          <w:sz w:val="20"/>
        </w:rPr>
        <w:t>Based on the audit committee’s review and discussions with management and KPMG, the audit committee recommended to the board of directors that the audited financial statements be included in the Company’s Annual Report on Form 10-K for the fiscal year ended December 31, 2022 for filing with the SEC.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Respectfully submitted by the members of the audit committee of the 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sz w:val="20"/>
        </w:rPr>
        <w:t>Rekha Hemrajani (Chair)</w:t>
      </w:r>
      <w:r>
        <w:rPr>
          <w:rFonts w:ascii="Times New Roman" w:hAnsi="Times New Roman"/>
          <w:sz w:val="20"/>
        </w:rPr>
        <w:t xml:space="preserve"> </w:t>
      </w:r>
    </w:p>
    <w:p>
      <w:pPr>
        <w:pStyle w:val="TextBody"/>
        <w:spacing w:before="0" w:after="0"/>
        <w:jc w:val="left"/>
        <w:rPr>
          <w:rFonts w:ascii="Arial;sans-serif" w:hAnsi="Arial;sans-serif"/>
          <w:b/>
          <w:sz w:val="20"/>
        </w:rPr>
      </w:pPr>
      <w:r>
        <w:rPr>
          <w:rFonts w:ascii="Arial;sans-serif" w:hAnsi="Arial;sans-serif"/>
          <w:b/>
          <w:sz w:val="20"/>
        </w:rPr>
        <w:t>Jason Lettmann</w:t>
      </w:r>
    </w:p>
    <w:p>
      <w:pPr>
        <w:pStyle w:val="TextBody"/>
        <w:spacing w:before="0" w:after="0"/>
        <w:jc w:val="left"/>
        <w:rPr>
          <w:rFonts w:ascii="Times New Roman" w:hAnsi="Times New Roman"/>
          <w:sz w:val="20"/>
        </w:rPr>
      </w:pPr>
      <w:r>
        <w:rPr>
          <w:rFonts w:ascii="Arial;sans-serif" w:hAnsi="Arial;sans-serif"/>
          <w:b/>
          <w:sz w:val="20"/>
        </w:rPr>
        <w:t>Jack Nielsen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i/>
          <w:sz w:val="2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27</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30" w:name="executive_officers"/>
      <w:bookmarkEnd w:id="30"/>
      <w:r>
        <w:rPr>
          <w:rFonts w:ascii="Arial;sans-serif" w:hAnsi="Arial;sans-serif"/>
          <w:b/>
          <w:sz w:val="20"/>
        </w:rPr>
        <w:t>EXECUTIVE OFFICERS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following table sets forth certain information about our executive officers as of March 31, 2023. Officers are elected by our board of directors to hold office until their successors are elected and qualified.</w:t>
      </w:r>
      <w:r>
        <w:rPr>
          <w:rFonts w:ascii="Times New Roman" w:hAnsi="Times New Roman"/>
          <w:sz w:val="20"/>
        </w:rPr>
        <w:t xml:space="preserve"> </w:t>
      </w:r>
    </w:p>
    <w:p>
      <w:pPr>
        <w:pStyle w:val="TextBody"/>
        <w:spacing w:before="0" w:after="0"/>
        <w:jc w:val="left"/>
        <w:rPr/>
      </w:pPr>
      <w:r>
        <w:rPr/>
        <w:t> </w:t>
      </w:r>
    </w:p>
    <w:tbl>
      <w:tblPr>
        <w:tblW w:w="7968" w:type="dxa"/>
        <w:jc w:val="left"/>
        <w:tblInd w:w="0" w:type="dxa"/>
        <w:tblCellMar>
          <w:top w:w="28" w:type="dxa"/>
          <w:left w:w="28" w:type="dxa"/>
          <w:bottom w:w="28" w:type="dxa"/>
          <w:right w:w="28" w:type="dxa"/>
        </w:tblCellMar>
      </w:tblPr>
      <w:tblGrid>
        <w:gridCol w:w="2746"/>
        <w:gridCol w:w="421"/>
        <w:gridCol w:w="4801"/>
      </w:tblGrid>
      <w:tr>
        <w:trPr/>
        <w:tc>
          <w:tcPr>
            <w:tcW w:w="27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80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6"/>
                <w:u w:val="single"/>
              </w:rPr>
            </w:pPr>
            <w:r>
              <w:rPr>
                <w:rFonts w:ascii="Arial;sans-serif" w:hAnsi="Arial;sans-serif"/>
                <w:b/>
                <w:sz w:val="16"/>
                <w:u w:val="single"/>
              </w:rPr>
              <w:t>Name</w:t>
            </w:r>
          </w:p>
        </w:tc>
        <w:tc>
          <w:tcPr>
            <w:tcW w:w="42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sz w:val="16"/>
                <w:u w:val="single"/>
              </w:rPr>
            </w:pPr>
            <w:r>
              <w:rPr>
                <w:rFonts w:ascii="Arial;sans-serif" w:hAnsi="Arial;sans-serif"/>
                <w:b/>
                <w:sz w:val="16"/>
                <w:u w:val="single"/>
              </w:rPr>
              <w:t>Age</w:t>
            </w:r>
          </w:p>
        </w:tc>
        <w:tc>
          <w:tcPr>
            <w:tcW w:w="48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16"/>
                <w:u w:val="single"/>
              </w:rPr>
            </w:pPr>
            <w:r>
              <w:rPr>
                <w:rFonts w:ascii="Arial;sans-serif" w:hAnsi="Arial;sans-serif"/>
                <w:b/>
                <w:sz w:val="16"/>
                <w:u w:val="single"/>
              </w:rPr>
              <w:t>Position</w:t>
            </w:r>
          </w:p>
        </w:tc>
      </w:tr>
      <w:tr>
        <w:trPr/>
        <w:tc>
          <w:tcPr>
            <w:tcW w:w="274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Jaume Pons, Ph.D.</w:t>
            </w:r>
          </w:p>
        </w:tc>
        <w:tc>
          <w:tcPr>
            <w:tcW w:w="421" w:type="dxa"/>
            <w:tcBorders/>
            <w:shd w:fill="auto" w:val="clear"/>
            <w:tcMar>
              <w:top w:w="0" w:type="dxa"/>
              <w:left w:w="0" w:type="dxa"/>
              <w:bottom w:w="0" w:type="dxa"/>
              <w:right w:w="0" w:type="dxa"/>
            </w:tcMar>
            <w:vAlign w:val="center"/>
          </w:tcPr>
          <w:p>
            <w:pPr>
              <w:pStyle w:val="TableContents"/>
              <w:spacing w:before="120" w:after="0"/>
              <w:ind w:left="0" w:right="0" w:hanging="0"/>
              <w:jc w:val="center"/>
              <w:rPr>
                <w:rFonts w:ascii="Arial;sans-serif" w:hAnsi="Arial;sans-serif"/>
                <w:b w:val="false"/>
                <w:sz w:val="20"/>
              </w:rPr>
            </w:pPr>
            <w:r>
              <w:rPr>
                <w:rFonts w:ascii="Arial;sans-serif" w:hAnsi="Arial;sans-serif"/>
                <w:b w:val="false"/>
                <w:sz w:val="20"/>
              </w:rPr>
              <w:t>57</w:t>
            </w:r>
          </w:p>
        </w:tc>
        <w:tc>
          <w:tcPr>
            <w:tcW w:w="4801"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Chief Executive Officer, President and Director</w:t>
            </w:r>
          </w:p>
        </w:tc>
      </w:tr>
      <w:tr>
        <w:trPr/>
        <w:tc>
          <w:tcPr>
            <w:tcW w:w="274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Peter Garcia</w:t>
            </w:r>
          </w:p>
        </w:tc>
        <w:tc>
          <w:tcPr>
            <w:tcW w:w="421" w:type="dxa"/>
            <w:tcBorders/>
            <w:shd w:fill="auto" w:val="clear"/>
            <w:tcMar>
              <w:top w:w="0" w:type="dxa"/>
              <w:left w:w="0" w:type="dxa"/>
              <w:bottom w:w="0" w:type="dxa"/>
              <w:right w:w="0" w:type="dxa"/>
            </w:tcMar>
            <w:vAlign w:val="center"/>
          </w:tcPr>
          <w:p>
            <w:pPr>
              <w:pStyle w:val="TableContents"/>
              <w:spacing w:before="120" w:after="0"/>
              <w:ind w:left="0" w:right="0" w:hanging="0"/>
              <w:jc w:val="center"/>
              <w:rPr>
                <w:rFonts w:ascii="Arial;sans-serif" w:hAnsi="Arial;sans-serif"/>
                <w:b w:val="false"/>
                <w:sz w:val="20"/>
              </w:rPr>
            </w:pPr>
            <w:r>
              <w:rPr>
                <w:rFonts w:ascii="Arial;sans-serif" w:hAnsi="Arial;sans-serif"/>
                <w:b w:val="false"/>
                <w:sz w:val="20"/>
              </w:rPr>
              <w:t>61</w:t>
            </w:r>
          </w:p>
        </w:tc>
        <w:tc>
          <w:tcPr>
            <w:tcW w:w="4801"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Chief Financial Officer</w:t>
            </w:r>
          </w:p>
        </w:tc>
      </w:tr>
      <w:tr>
        <w:trPr/>
        <w:tc>
          <w:tcPr>
            <w:tcW w:w="274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Shelly Pinto</w:t>
            </w:r>
          </w:p>
        </w:tc>
        <w:tc>
          <w:tcPr>
            <w:tcW w:w="421" w:type="dxa"/>
            <w:tcBorders/>
            <w:shd w:fill="auto" w:val="clear"/>
            <w:tcMar>
              <w:top w:w="0" w:type="dxa"/>
              <w:left w:w="0" w:type="dxa"/>
              <w:bottom w:w="0" w:type="dxa"/>
              <w:right w:w="0" w:type="dxa"/>
            </w:tcMar>
            <w:vAlign w:val="center"/>
          </w:tcPr>
          <w:p>
            <w:pPr>
              <w:pStyle w:val="TableContents"/>
              <w:spacing w:before="120" w:after="0"/>
              <w:ind w:left="0" w:right="0" w:hanging="0"/>
              <w:jc w:val="center"/>
              <w:rPr>
                <w:rFonts w:ascii="Arial;sans-serif" w:hAnsi="Arial;sans-serif"/>
                <w:b w:val="false"/>
                <w:sz w:val="20"/>
              </w:rPr>
            </w:pPr>
            <w:r>
              <w:rPr>
                <w:rFonts w:ascii="Arial;sans-serif" w:hAnsi="Arial;sans-serif"/>
                <w:b w:val="false"/>
                <w:sz w:val="20"/>
              </w:rPr>
              <w:t>47</w:t>
            </w:r>
          </w:p>
        </w:tc>
        <w:tc>
          <w:tcPr>
            <w:tcW w:w="4801"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Vice President, Finance and Chief Accounting Officer</w:t>
            </w:r>
          </w:p>
        </w:tc>
      </w:tr>
      <w:tr>
        <w:trPr/>
        <w:tc>
          <w:tcPr>
            <w:tcW w:w="274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Sophia Randolph, M.D., Ph.D.</w:t>
            </w:r>
          </w:p>
        </w:tc>
        <w:tc>
          <w:tcPr>
            <w:tcW w:w="421" w:type="dxa"/>
            <w:tcBorders/>
            <w:shd w:fill="auto" w:val="clear"/>
            <w:tcMar>
              <w:top w:w="0" w:type="dxa"/>
              <w:left w:w="0" w:type="dxa"/>
              <w:bottom w:w="0" w:type="dxa"/>
              <w:right w:w="0" w:type="dxa"/>
            </w:tcMar>
            <w:vAlign w:val="center"/>
          </w:tcPr>
          <w:p>
            <w:pPr>
              <w:pStyle w:val="TableContents"/>
              <w:spacing w:before="120" w:after="0"/>
              <w:ind w:left="0" w:right="0" w:hanging="0"/>
              <w:jc w:val="center"/>
              <w:rPr>
                <w:rFonts w:ascii="Arial;sans-serif" w:hAnsi="Arial;sans-serif"/>
                <w:b w:val="false"/>
                <w:sz w:val="20"/>
              </w:rPr>
            </w:pPr>
            <w:r>
              <w:rPr>
                <w:rFonts w:ascii="Arial;sans-serif" w:hAnsi="Arial;sans-serif"/>
                <w:b w:val="false"/>
                <w:sz w:val="20"/>
              </w:rPr>
              <w:t>55</w:t>
            </w:r>
          </w:p>
        </w:tc>
        <w:tc>
          <w:tcPr>
            <w:tcW w:w="4801"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Chief Medical Officer and Director</w:t>
            </w:r>
          </w:p>
        </w:tc>
      </w:tr>
    </w:tbl>
    <w:p>
      <w:pPr>
        <w:pStyle w:val="TextBody"/>
        <w:spacing w:before="240" w:after="0"/>
        <w:jc w:val="left"/>
        <w:rPr>
          <w:rFonts w:ascii="Times New Roman" w:hAnsi="Times New Roman"/>
          <w:sz w:val="20"/>
        </w:rPr>
      </w:pPr>
      <w:r>
        <w:rPr>
          <w:rFonts w:ascii="Arial;sans-serif" w:hAnsi="Arial;sans-serif"/>
          <w:b w:val="false"/>
          <w:sz w:val="20"/>
        </w:rPr>
        <w:t>For the biography of Dr. Pons, please see “Board of Directors and Corporate Governance—Director Nominees.”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i/>
          <w:sz w:val="20"/>
        </w:rPr>
        <w:t xml:space="preserve">Peter Garcia </w:t>
      </w:r>
      <w:r>
        <w:rPr>
          <w:rFonts w:ascii="Arial;sans-serif" w:hAnsi="Arial;sans-serif"/>
          <w:b w:val="false"/>
          <w:sz w:val="20"/>
        </w:rPr>
        <w:t>has served as our Chief Financial Officer since January 2020. Prior to joining us, he served as Vice President and Chief Financial 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currently serves as a member of the board of directors of DURECT Corporation, a biopharmaceutical company. Mr. Garcia</w:t>
      </w:r>
      <w:r>
        <w:rPr>
          <w:rFonts w:ascii="Times New Roman" w:hAnsi="Times New Roman"/>
          <w:sz w:val="20"/>
        </w:rPr>
        <w:t xml:space="preserve"> </w:t>
      </w:r>
      <w:r>
        <w:rPr>
          <w:rFonts w:ascii="Arial;sans-serif" w:hAnsi="Arial;sans-serif"/>
          <w:b w:val="false"/>
          <w:sz w:val="20"/>
        </w:rPr>
        <w:t>holds a B.A. in Economics and Sociology from Stanford University and an M.B.A. from the University of California, Los Angeles.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i/>
          <w:sz w:val="20"/>
        </w:rPr>
        <w:t>Shelly Pinto</w:t>
      </w:r>
      <w:r>
        <w:rPr>
          <w:rFonts w:ascii="Times New Roman" w:hAnsi="Times New Roman"/>
          <w:sz w:val="20"/>
        </w:rPr>
        <w:t xml:space="preserve"> </w:t>
      </w:r>
      <w:r>
        <w:rPr>
          <w:rFonts w:ascii="Arial;sans-serif" w:hAnsi="Arial;sans-serif"/>
          <w:b w:val="false"/>
          <w:sz w:val="20"/>
        </w:rPr>
        <w:t>has served as our Vice President, Finance and Chief Accounting Officer since May 2021. Prior to joining us, she was with Tizona Therapeutics, Inc. from July 2016 to April 2021, where she served most recently as Vice President of Finance and Operations from October 2020 to April 2021. Ms. Pinto was the Controller at InSite Vision Inc. from December 2008 to July 2016, the Assistant Controller at Bare Escentuals, Inc. from May 2007 to November 2008, and Director of Corporate Accounting and Financial Reporting at Dreyer’s Grand Ice Cream Holdings, Inc. from March 2002 to May 2007. Ms. Pinto started her career within the audit practice at Deloitte and Touche LLP after graduating with a B.S.B.A. in Accounting from Montana State University.</w:t>
      </w:r>
    </w:p>
    <w:p>
      <w:pPr>
        <w:pStyle w:val="TextBody"/>
        <w:spacing w:before="240" w:after="0"/>
        <w:jc w:val="left"/>
        <w:rPr>
          <w:rFonts w:ascii="Times New Roman" w:hAnsi="Times New Roman"/>
          <w:sz w:val="20"/>
        </w:rPr>
      </w:pPr>
      <w:r>
        <w:rPr>
          <w:rFonts w:ascii="Arial;sans-serif" w:hAnsi="Arial;sans-serif"/>
          <w:b w:val="false"/>
          <w:sz w:val="20"/>
        </w:rPr>
        <w:t>For the biography of Dr. Randolph, please see “Board of Directors and Corporate Governance—Continuing Directors.”</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28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31" w:name="executive_compensation"/>
      <w:bookmarkEnd w:id="31"/>
      <w:r>
        <w:rPr>
          <w:rFonts w:ascii="Arial;sans-serif" w:hAnsi="Arial;sans-serif"/>
          <w:b/>
          <w:sz w:val="20"/>
        </w:rPr>
        <w:t>EXECUTIVE COMPENSATION</w:t>
      </w:r>
      <w:r>
        <w:rPr>
          <w:rFonts w:ascii="Times New Roman" w:hAnsi="Times New Roman"/>
          <w:sz w:val="20"/>
        </w:rPr>
        <w:t xml:space="preserve"> </w:t>
      </w:r>
    </w:p>
    <w:p>
      <w:pPr>
        <w:pStyle w:val="TextBody"/>
        <w:spacing w:before="360" w:after="0"/>
        <w:jc w:val="left"/>
        <w:rPr>
          <w:rFonts w:ascii="Times New Roman" w:hAnsi="Times New Roman"/>
          <w:sz w:val="20"/>
        </w:rPr>
      </w:pPr>
      <w:bookmarkStart w:id="32" w:name="named_executive_officers"/>
      <w:bookmarkEnd w:id="32"/>
      <w:r>
        <w:rPr>
          <w:rFonts w:ascii="Arial;sans-serif" w:hAnsi="Arial;sans-serif"/>
          <w:b/>
          <w:sz w:val="20"/>
        </w:rPr>
        <w:t>Named Executive Officers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named executive officers (or NEOs) for the year ended December 31, 2022 are:</w:t>
      </w:r>
      <w:r>
        <w:rPr>
          <w:rFonts w:ascii="Times New Roman" w:hAnsi="Times New Roman"/>
          <w:sz w:val="20"/>
        </w:rPr>
        <w:t xml:space="preserve"> </w:t>
      </w:r>
    </w:p>
    <w:tbl>
      <w:tblPr>
        <w:tblW w:w="6328" w:type="dxa"/>
        <w:jc w:val="left"/>
        <w:tblInd w:w="0" w:type="dxa"/>
        <w:tblCellMar>
          <w:top w:w="28" w:type="dxa"/>
          <w:left w:w="28" w:type="dxa"/>
          <w:bottom w:w="28" w:type="dxa"/>
          <w:right w:w="28" w:type="dxa"/>
        </w:tblCellMar>
      </w:tblPr>
      <w:tblGrid>
        <w:gridCol w:w="2746"/>
        <w:gridCol w:w="146"/>
        <w:gridCol w:w="3436"/>
      </w:tblGrid>
      <w:tr>
        <w:trPr/>
        <w:tc>
          <w:tcPr>
            <w:tcW w:w="2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6"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4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36"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center"/>
              <w:rPr>
                <w:rFonts w:ascii="Arial;sans-serif" w:hAnsi="Arial;sans-serif"/>
                <w:b/>
                <w:sz w:val="20"/>
              </w:rPr>
            </w:pPr>
            <w:r>
              <w:rPr>
                <w:rFonts w:ascii="Arial;sans-serif" w:hAnsi="Arial;sans-serif"/>
                <w:b/>
                <w:sz w:val="20"/>
              </w:rPr>
              <w:t>Title</w:t>
            </w:r>
          </w:p>
        </w:tc>
      </w:tr>
      <w:tr>
        <w:trPr/>
        <w:tc>
          <w:tcPr>
            <w:tcW w:w="274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Jaume Pons, Ph.D.</w:t>
            </w:r>
          </w:p>
        </w:tc>
        <w:tc>
          <w:tcPr>
            <w:tcW w:w="146"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 </w:t>
            </w:r>
          </w:p>
        </w:tc>
        <w:tc>
          <w:tcPr>
            <w:tcW w:w="343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President and Chief Executive Officer</w:t>
            </w:r>
          </w:p>
        </w:tc>
      </w:tr>
      <w:tr>
        <w:trPr/>
        <w:tc>
          <w:tcPr>
            <w:tcW w:w="274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Peter Garcia</w:t>
            </w:r>
          </w:p>
        </w:tc>
        <w:tc>
          <w:tcPr>
            <w:tcW w:w="146"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 </w:t>
            </w:r>
          </w:p>
        </w:tc>
        <w:tc>
          <w:tcPr>
            <w:tcW w:w="343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Chief Financial Officer</w:t>
            </w:r>
          </w:p>
        </w:tc>
      </w:tr>
      <w:tr>
        <w:trPr/>
        <w:tc>
          <w:tcPr>
            <w:tcW w:w="274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Sophia Randolph, M.D., Ph.D.</w:t>
            </w:r>
          </w:p>
        </w:tc>
        <w:tc>
          <w:tcPr>
            <w:tcW w:w="146"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 </w:t>
            </w:r>
          </w:p>
        </w:tc>
        <w:tc>
          <w:tcPr>
            <w:tcW w:w="3436"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Arial;sans-serif" w:hAnsi="Arial;sans-serif"/>
                <w:b w:val="false"/>
                <w:sz w:val="20"/>
              </w:rPr>
            </w:pPr>
            <w:r>
              <w:rPr>
                <w:rFonts w:ascii="Arial;sans-serif" w:hAnsi="Arial;sans-serif"/>
                <w:b w:val="false"/>
                <w:sz w:val="20"/>
              </w:rPr>
              <w:t>Chief Medical Officer</w:t>
            </w:r>
          </w:p>
        </w:tc>
      </w:tr>
    </w:tbl>
    <w:p>
      <w:pPr>
        <w:pStyle w:val="TextBody"/>
        <w:spacing w:before="360" w:after="0"/>
        <w:jc w:val="left"/>
        <w:rPr>
          <w:rFonts w:ascii="Times New Roman" w:hAnsi="Times New Roman"/>
          <w:sz w:val="20"/>
        </w:rPr>
      </w:pPr>
      <w:bookmarkStart w:id="33" w:name="executive_comp_summary"/>
      <w:bookmarkEnd w:id="33"/>
      <w:r>
        <w:rPr>
          <w:rFonts w:ascii="Arial;sans-serif" w:hAnsi="Arial;sans-serif"/>
          <w:b/>
          <w:sz w:val="20"/>
        </w:rPr>
        <w:t>Summary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i/>
          <w:sz w:val="20"/>
        </w:rPr>
        <w:t>Overview of Executive Compensation Program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executive compensation program is designed to be competitive and appropriately balance our goals of attracting, engaging and retaining our executive officers and driving company performance. To align our executive officers’ interests with those of our stockholders and to motivate and reward individual initiative and effort, a substantial portion of each executive officer’s total target annual direct compensation opportunity (that is, base salary, target annual cash incentives, and equity awards) is “at-risk,” meaning the amounts paid to each executive officer will vary based on our Company performance and their contributions to that performance.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Consistent with our philosophy of aligning executive pay with the short- and long-term performance of the Company, and to align the interests of management and stockholders, the Company’s compensation programs are designed to provide the majority of executive compensation in the form of variable, at-risk pay. Our compensation committee thoughtfully employs the primary compensation elements of base salary, short-term annual cash incentives, and long-term equity awards, to achieve these objectives.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i/>
          <w:sz w:val="20"/>
        </w:rPr>
        <w:t>Executive Compensation Governance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With guidance from an independent compensation consultant, Compensia, we maintain sound compensation and governance standards, and we adopt best practices in establishing and administering policies in support of these standards. The compensation committee evaluates our executive compensation program regularly to ensure that it supports our short-term and long-term goals to compete for executive talent as well as protect our stockholders’ interests.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i/>
          <w:sz w:val="20"/>
        </w:rPr>
        <w:t>Stockholder Engagement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The Company is committed to engagement with stockholders. We will review any feedback we receive from our stockholders about our executive compensation program to ensure that we understand key matters of interest to them, and to enable us to take that feedback into consideration for our compensation decisions.</w:t>
      </w:r>
      <w:r>
        <w:rPr>
          <w:rFonts w:ascii="Times New Roman" w:hAnsi="Times New Roman"/>
          <w:sz w:val="20"/>
        </w:rPr>
        <w:t xml:space="preserve"> </w:t>
      </w:r>
    </w:p>
    <w:p>
      <w:pPr>
        <w:pStyle w:val="TextBody"/>
        <w:spacing w:before="360" w:after="0"/>
        <w:jc w:val="left"/>
        <w:rPr>
          <w:rFonts w:ascii="Times New Roman" w:hAnsi="Times New Roman"/>
          <w:sz w:val="20"/>
        </w:rPr>
      </w:pPr>
      <w:bookmarkStart w:id="34" w:name="compensation_philosophy"/>
      <w:bookmarkEnd w:id="34"/>
      <w:r>
        <w:rPr>
          <w:rFonts w:ascii="Arial;sans-serif" w:hAnsi="Arial;sans-serif"/>
          <w:b/>
          <w:sz w:val="20"/>
        </w:rPr>
        <w:t>Compensation Philosophy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The goals of our executive compensation program are to attract, engage, and retain executive officers who share our vision and are deeply connected to our mission. Our overall compensation philosophy is market-based and enables our executive officers to share in the Company’s long-term success. We strive to incentivize these executive officers to achieve our short-term and long-term business objectives in order to increase long-term value and increase stockholder value. Our program combines competitive cash and equity award opportunities in the forms and proportions that we believe will motivate our</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29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Arial;sans-serif" w:hAnsi="Arial;sans-serif"/>
          <w:b w:val="false"/>
          <w:sz w:val="20"/>
        </w:rPr>
        <w:t>executive officers to increase stockholder value over the long-term. We routinely review our policies and program design.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executive compensation program delivers excellent rewards in line with individual and company performance using the following specific compensation methods:</w:t>
      </w:r>
      <w:r>
        <w:rPr>
          <w:rFonts w:ascii="Times New Roman" w:hAnsi="Times New Roman"/>
          <w:sz w:val="20"/>
        </w:rPr>
        <w:t xml:space="preserve"> </w:t>
      </w:r>
    </w:p>
    <w:p>
      <w:pPr>
        <w:pStyle w:val="TextBody"/>
        <w:spacing w:before="240" w:after="0"/>
        <w:jc w:val="both"/>
        <w:rPr/>
      </w:pPr>
      <w:r>
        <w:rPr/>
        <w:t>•</w:t>
      </w:r>
    </w:p>
    <w:p>
      <w:pPr>
        <w:pStyle w:val="TextBody"/>
        <w:spacing w:before="240" w:after="0"/>
        <w:jc w:val="both"/>
        <w:rPr>
          <w:rFonts w:ascii="Arial;sans-serif" w:hAnsi="Arial;sans-serif"/>
          <w:b w:val="false"/>
          <w:sz w:val="20"/>
        </w:rPr>
      </w:pPr>
      <w:r>
        <w:rPr>
          <w:rFonts w:ascii="Arial;sans-serif" w:hAnsi="Arial;sans-serif"/>
          <w:b w:val="false"/>
          <w:sz w:val="20"/>
        </w:rPr>
        <w:t xml:space="preserve">paying competitive base salaries; </w:t>
      </w:r>
    </w:p>
    <w:p>
      <w:pPr>
        <w:pStyle w:val="TextBody"/>
        <w:spacing w:before="120" w:after="0"/>
        <w:jc w:val="both"/>
        <w:rPr/>
      </w:pPr>
      <w:r>
        <w:rPr/>
        <w:t>•</w:t>
      </w:r>
    </w:p>
    <w:p>
      <w:pPr>
        <w:pStyle w:val="TextBody"/>
        <w:spacing w:before="120" w:after="0"/>
        <w:jc w:val="both"/>
        <w:rPr>
          <w:rFonts w:ascii="Arial;sans-serif" w:hAnsi="Arial;sans-serif"/>
          <w:b w:val="false"/>
          <w:sz w:val="20"/>
        </w:rPr>
      </w:pPr>
      <w:r>
        <w:rPr>
          <w:rFonts w:ascii="Arial;sans-serif" w:hAnsi="Arial;sans-serif"/>
          <w:b w:val="false"/>
          <w:sz w:val="20"/>
        </w:rPr>
        <w:t xml:space="preserve">rewarding our teams with a short-term incentive bonus plan opportunity; and </w:t>
      </w:r>
    </w:p>
    <w:p>
      <w:pPr>
        <w:pStyle w:val="TextBody"/>
        <w:spacing w:before="120" w:after="0"/>
        <w:jc w:val="both"/>
        <w:rPr/>
      </w:pPr>
      <w:r>
        <w:rPr/>
        <w:t>•</w:t>
      </w:r>
    </w:p>
    <w:p>
      <w:pPr>
        <w:pStyle w:val="TextBody"/>
        <w:spacing w:before="120" w:after="283"/>
        <w:jc w:val="both"/>
        <w:rPr>
          <w:rFonts w:ascii="Arial;sans-serif" w:hAnsi="Arial;sans-serif"/>
          <w:b w:val="false"/>
          <w:sz w:val="20"/>
        </w:rPr>
      </w:pPr>
      <w:r>
        <w:rPr>
          <w:rFonts w:ascii="Arial;sans-serif" w:hAnsi="Arial;sans-serif"/>
          <w:b w:val="false"/>
          <w:sz w:val="20"/>
        </w:rPr>
        <w:t xml:space="preserve">awarding a higher percentage of target total direct compensation opportunity as long-term equity incentives to more closely align employee and stockholder interests over the long-term. </w:t>
      </w:r>
    </w:p>
    <w:p>
      <w:pPr>
        <w:pStyle w:val="TextBody"/>
        <w:spacing w:before="360" w:after="0"/>
        <w:jc w:val="left"/>
        <w:rPr/>
      </w:pPr>
      <w:bookmarkStart w:id="35" w:name="say_on_pay_voting"/>
      <w:bookmarkEnd w:id="35"/>
      <w:r>
        <w:rPr/>
        <w:t>“</w:t>
      </w:r>
      <w:r>
        <w:rPr>
          <w:rFonts w:ascii="Arial;sans-serif" w:hAnsi="Arial;sans-serif"/>
          <w:b/>
          <w:sz w:val="20"/>
        </w:rPr>
        <w:t>Say-on-Pay” Voting</w:t>
      </w:r>
    </w:p>
    <w:p>
      <w:pPr>
        <w:pStyle w:val="TextBody"/>
        <w:spacing w:before="120" w:after="0"/>
        <w:jc w:val="left"/>
        <w:rPr>
          <w:rFonts w:ascii="Arial;sans-serif" w:hAnsi="Arial;sans-serif"/>
          <w:b w:val="false"/>
          <w:sz w:val="20"/>
        </w:rPr>
      </w:pPr>
      <w:r>
        <w:rPr>
          <w:rFonts w:ascii="Arial;sans-serif" w:hAnsi="Arial;sans-serif"/>
          <w:b w:val="false"/>
          <w:sz w:val="20"/>
        </w:rPr>
        <w:t>Our compensation committee and our board of directors will consider the result of the “say-on-pay” vote, as well as feedback received throughout the year, when making compensation decisions for our executive officers in the future because we value the opinions of our stockholders.</w:t>
      </w:r>
    </w:p>
    <w:p>
      <w:pPr>
        <w:pStyle w:val="TextBody"/>
        <w:spacing w:before="360" w:after="0"/>
        <w:jc w:val="left"/>
        <w:rPr>
          <w:rFonts w:ascii="Times New Roman" w:hAnsi="Times New Roman"/>
          <w:sz w:val="20"/>
        </w:rPr>
      </w:pPr>
      <w:bookmarkStart w:id="36" w:name="compensation_determination_process"/>
      <w:bookmarkEnd w:id="36"/>
      <w:r>
        <w:rPr>
          <w:rFonts w:ascii="Arial;sans-serif" w:hAnsi="Arial;sans-serif"/>
          <w:b/>
          <w:sz w:val="20"/>
        </w:rPr>
        <w:t>Compensation Determination Process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i/>
          <w:sz w:val="20"/>
        </w:rPr>
        <w:t>Role of Compensation Committee and 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compensation committee is responsible for overseeing the total compensation of our executive officers. In this capacity, our compensation committee designs, implements, reviews, and approves all compensation for our CEO and our other executive officers. Typically, the compensation committee reports to the board of directors on its discussions and on occasion seeks input from the board of directors regarding the decisions to be made and other actions to be taken with regard to our executive officers’ compensation. Our compensation committee’s recommendations regarding executive compensation are based on the compensation committee’s assessment of the performance of the Company and each individual executive officer, as well as other factors, such as prevailing industry trends and the competitive market for executive talent. The compensation committee makes the final decisions regarding executive compensation.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i/>
          <w:sz w:val="20"/>
        </w:rPr>
        <w:t>Role of Management</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In 2022, our CEO and CFO made recommendations to our compensation committee, attended certain compensation committee meetings and were involved in the process for determining our executive officers’ compensation, provided that neither our CEO or CFO made recommendations as to their own compensation or participated in compensation committee discussion of their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makes decisions as to each executive officer’s total compensation, as well as each individual pay component.</w:t>
      </w:r>
    </w:p>
    <w:p>
      <w:pPr>
        <w:pStyle w:val="TextBody"/>
        <w:spacing w:before="360" w:after="0"/>
        <w:jc w:val="left"/>
        <w:rPr>
          <w:rFonts w:ascii="Times New Roman" w:hAnsi="Times New Roman"/>
          <w:sz w:val="20"/>
        </w:rPr>
      </w:pPr>
      <w:r>
        <w:rPr>
          <w:rFonts w:ascii="Arial;sans-serif" w:hAnsi="Arial;sans-serif"/>
          <w:b/>
          <w:i/>
          <w:sz w:val="20"/>
        </w:rPr>
        <w:t>Role of Independent Compensation Consultant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compensation committee is authorized to retain the services of one or more executive compensation advisors, as it sees fit, in connection with the establishment of our compensation programs and related policies. In 2022, our compensation committee retained Compensia as its independent compensation consultant to provide it with information, recommendations, and other advice relating to executive compensation on an ongoing basis. Accordingly, Compensia serves at the discretion of our compensation committee. Our compensation committee engaged Compensia to assist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30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Our compensation committee periodically considers and assesses Compensia’s independence, including whether Compensia has any potential conflicts of interest with our company or members of our compensation committee. In connection with Compensia’s engagement, our compensation committee conducted such a review and concluded that it was not aware of any conflict of interest that had been raised by work performed by Compensia or the individual consultants employed by Compensia that perform services for our compensation committee.</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31</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37" w:name="pay_components"/>
      <w:bookmarkEnd w:id="37"/>
      <w:r>
        <w:rPr>
          <w:rFonts w:ascii="Arial;sans-serif" w:hAnsi="Arial;sans-serif"/>
          <w:b/>
          <w:sz w:val="20"/>
        </w:rPr>
        <w:t>Pay Components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The Company’s executive compensation program consists of three primary elements: base salaries, annual cash incentives, and long-term equity awards.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Company is committed to a strong performance orientation in our compensation program and effective corporate governance practices for a company at our development stage and industry.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Arial;sans-serif" w:hAnsi="Arial;sans-serif"/>
          <w:b/>
          <w:i/>
          <w:sz w:val="20"/>
        </w:rPr>
        <w:t>Base Salary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Base salary provides competitive pay to attract and retain our executives. Annual salary decisions are made in recognition of competitive data as well as the skills and experience that each individual brings to the Company and the performance contributions each makes.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i/>
          <w:sz w:val="20"/>
        </w:rPr>
        <w:t>Annual Cash Incentive Program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We maintain an Executive Incentive Compensation Plan (Incentive Compensation Plan), pursuant to which our named executive officers are eligible to receive cash incentive awards. The Incentive Compensation Plan is designed to provide a financial incentive to reward executives for the achievement of a series of program specific, pipeline, and functional corporate goals. Payments under the plan are ultimately based on achievement of these pre-established corporate goals. Actual performance against targets, as measured by these pre-established corporate goals, funds the incentive payouts. The total bonus payout cannot exceed the total amount of funding in the pool. Annual target bonuses are set based on factors such as the executive’s past contributions, tenure, experience, and role and the annual target bonuses provided by companies in our compensation peer group to their similarly situated executives. Bonuses are typically paid in the month following the end of the performance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For 2022, the compensation committee increased Dr. Pons’ annual target bonus to 55% of his annual base salary. The annual target bonus target for each of our other named executive officers (NEOs), as a percentage of the NEO’s salary, remained at 40%.</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Bonuses for all employees, including our NEOs, for the fiscal year ended December 31, 2022, were allocated from a bonus pool funded based on performance against a number of high-impact project and cross-functional goals. The project goals related to specific programs, trials and corporate progress. The cross-functional goals related to business development, positioning for future growth, and development and other functional goals. The combination of the project and cross-functional goals was intended to drive both specific technical achievement and continue to build the foundation for future company growth and advancements.</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Each goal is given a specific weighting and measured individually, and the extent of achievement of the goals and the applicable weightings determine the 2022 bonus payout, subject to the compensation committee’s discretion to alter bonus funding and payouts. The 2022 performance goals for Dr. Pons were based entirely on corporate goals. The 2022 performance goals for the other NEOs were based 80% on corporate goals and 20% on individual goals.</w:t>
      </w:r>
    </w:p>
    <w:p>
      <w:pPr>
        <w:pStyle w:val="TextBody"/>
        <w:spacing w:before="240" w:after="0"/>
        <w:jc w:val="left"/>
        <w:rPr>
          <w:rFonts w:ascii="Times New Roman" w:hAnsi="Times New Roman"/>
          <w:sz w:val="20"/>
        </w:rPr>
      </w:pPr>
      <w:r>
        <w:rPr>
          <w:rFonts w:ascii="Arial;sans-serif" w:hAnsi="Arial;sans-serif"/>
          <w:b w:val="false"/>
          <w:sz w:val="20"/>
        </w:rPr>
        <w:t xml:space="preserve">In January 2023, the compensation committee reviewed the performance against the applicable 2022 corporate and individual goals. Based on the Company’s achievement of the corporate goals, the compensation committee approved funding of the Company’s bonus pool at 85% of target levels related to the corporate goals. Based on the NEOs’ achievement of the individual goals, the compensation committee approved 100% achievement of such individual goals. The resulting bonuses to our NEOs were as follows: Dr. Pons ($272,786), Dr. Randolph ($165,908) and Mr. Garcia ($164,314). </w:t>
        <w:br/>
      </w:r>
      <w:r>
        <w:rPr>
          <w:rFonts w:ascii="Times New Roman" w:hAnsi="Times New Roman"/>
          <w:sz w:val="20"/>
        </w:rPr>
        <w:t> </w:t>
      </w:r>
    </w:p>
    <w:p>
      <w:pPr>
        <w:pStyle w:val="TextBody"/>
        <w:spacing w:before="200" w:after="0"/>
        <w:jc w:val="center"/>
        <w:rPr>
          <w:rFonts w:ascii="Arial;sans-serif" w:hAnsi="Arial;sans-serif"/>
          <w:b w:val="false"/>
          <w:sz w:val="20"/>
        </w:rPr>
      </w:pPr>
      <w:r>
        <w:rPr>
          <w:rFonts w:ascii="Arial;sans-serif" w:hAnsi="Arial;sans-serif"/>
          <w:b w:val="false"/>
          <w:sz w:val="20"/>
        </w:rPr>
        <w:t>32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i/>
          <w:sz w:val="20"/>
        </w:rPr>
        <w:t>Equity Long-Term Incentive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We believe long-term incentive compensation is an effective means for focusing our executive officers, including the named executive officers, on driving strong performance and increased stockholder value over a multi-year period, provides a meaningful reward for long-term value creation, and motivates them to remain employed with us. This approach aligns the contributions of our executive officers with the long-term interests of our stockholders and allows them to participate in any future appreciation in our common stock.</w:t>
      </w:r>
      <w:r>
        <w:rPr>
          <w:rFonts w:ascii="Times New Roman" w:hAnsi="Times New Roman"/>
          <w:sz w:val="20"/>
        </w:rPr>
        <w:t xml:space="preserve"> </w:t>
      </w:r>
    </w:p>
    <w:p>
      <w:pPr>
        <w:pStyle w:val="TextBody"/>
        <w:spacing w:before="360" w:after="0"/>
        <w:jc w:val="left"/>
        <w:rPr>
          <w:rFonts w:ascii="Times New Roman" w:hAnsi="Times New Roman"/>
          <w:sz w:val="20"/>
        </w:rPr>
      </w:pPr>
      <w:bookmarkStart w:id="38" w:name="severance_and_change_control_protections"/>
      <w:bookmarkEnd w:id="38"/>
      <w:r>
        <w:rPr>
          <w:rFonts w:ascii="Arial;sans-serif" w:hAnsi="Arial;sans-serif"/>
          <w:b/>
          <w:sz w:val="20"/>
        </w:rPr>
        <w:t>Severance and Change in Control Protections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In order to recruit and maintain a stable and effective management team, our compensation committee believes it is appropriate and necessary to provide assurance of certain severance and change in control benefits approved by the compensation committee, in consultation with Compensia. We entered into change in control and severance agreements (Severance Agreements) with each of our named executive officers that provide for the severance and change in control benefits. For a summary of the material terms of the benefits provided to our named executive officers under the Severance Agreements and an estimate of the payments and benefits that may be received by our named executive officers under the Severance Agreements, see “Change in Control and Severance Agreements” below.</w:t>
      </w:r>
      <w:r>
        <w:rPr>
          <w:rFonts w:ascii="Times New Roman" w:hAnsi="Times New Roman"/>
          <w:sz w:val="20"/>
        </w:rPr>
        <w:t xml:space="preserve"> </w:t>
      </w:r>
    </w:p>
    <w:p>
      <w:pPr>
        <w:pStyle w:val="TextBody"/>
        <w:spacing w:before="360" w:after="0"/>
        <w:jc w:val="left"/>
        <w:rPr>
          <w:rFonts w:ascii="Times New Roman" w:hAnsi="Times New Roman"/>
          <w:sz w:val="20"/>
        </w:rPr>
      </w:pPr>
      <w:bookmarkStart w:id="39" w:name="other_compensation"/>
      <w:bookmarkEnd w:id="39"/>
      <w:r>
        <w:rPr>
          <w:rFonts w:ascii="Arial;sans-serif" w:hAnsi="Arial;sans-serif"/>
          <w:b/>
          <w:sz w:val="20"/>
        </w:rPr>
        <w:t>Other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i/>
          <w:sz w:val="20"/>
        </w:rPr>
        <w:t>Retirement, Welfare, Health, and Other Broad-Based Benefits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Internal Revenue Code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Subject to limits under the Code, we match an amount equal to 50% of the first 6% of the eligible employee’s contributions with a maximum annual employer contribution of $10,000 per employee.</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Our health and welfare benefits include medical, dental and vision benefits, long-term disability insurance, basic life insurance coverage, health savings and dependent care accounts, and accidental death and dismemberment insurance. Our named executive officers also are eligible to participate in our 2020 Employee Stock Purchase Plan on the same terms as our other eligible employees. We design our employee benefits programs to be affordable and competitive in relation to the market, and compliant with applicable laws and practices. We adjust our employee benefits programs as needed based upon changes in applicable laws and market practices.</w:t>
      </w:r>
    </w:p>
    <w:p>
      <w:pPr>
        <w:pStyle w:val="TextBody"/>
        <w:spacing w:before="240" w:after="0"/>
        <w:jc w:val="left"/>
        <w:rPr>
          <w:rFonts w:ascii="Times New Roman" w:hAnsi="Times New Roman"/>
          <w:sz w:val="20"/>
        </w:rPr>
      </w:pPr>
      <w:r>
        <w:rPr>
          <w:rFonts w:ascii="Arial;sans-serif" w:hAnsi="Arial;sans-serif"/>
          <w:b/>
          <w:i/>
          <w:sz w:val="20"/>
        </w:rPr>
        <w:t>Perquisites and Other Personal Benefits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We do not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and for recruitment and retention purposes.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In the future, we may provide perquisites or other personal benefits in limited circumstances. All future practices with respect to perquisites or other personal benefits for executive officers will be approved and subject to periodic review by the compensation committee.</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33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i/>
          <w:sz w:val="20"/>
        </w:rPr>
        <w:t>Employment Agreements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We have entered into confirmatory employment letters with each of our named executive officers. Each of these agreements was approved by our board of directors or our compensation committee. In filling each of our executive positions, our board of directors and the compensation committee recognized the need to develop competitive compensation packages to attract qualified candidates in a dynamic labor market.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For information on the specific terms and conditions of the employment letters of the named executive officers, see the discussion of “Executive Employment Letter Agreements” below.</w:t>
      </w:r>
      <w:r>
        <w:rPr>
          <w:rFonts w:ascii="Times New Roman" w:hAnsi="Times New Roman"/>
          <w:sz w:val="20"/>
        </w:rPr>
        <w:t xml:space="preserve"> </w:t>
      </w:r>
    </w:p>
    <w:p>
      <w:pPr>
        <w:pStyle w:val="TextBody"/>
        <w:spacing w:before="360" w:after="0"/>
        <w:jc w:val="left"/>
        <w:rPr>
          <w:rFonts w:ascii="Times New Roman" w:hAnsi="Times New Roman"/>
          <w:sz w:val="20"/>
        </w:rPr>
      </w:pPr>
      <w:bookmarkStart w:id="40" w:name="additional_policies_and_practices"/>
      <w:bookmarkEnd w:id="40"/>
      <w:r>
        <w:rPr>
          <w:rFonts w:ascii="Arial;sans-serif" w:hAnsi="Arial;sans-serif"/>
          <w:b/>
          <w:sz w:val="20"/>
        </w:rPr>
        <w:t>Additional Policies and Practices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i/>
          <w:sz w:val="20"/>
        </w:rPr>
        <w:t>Hedging and Pledging Prohibitions</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As part of our Insider Trading Policy, our contractors, consultants, advisors and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contractors, consultants, advisors and employees (including our executive officers and the non-employee members of our board of directors) are prohibited from holding our common stock in a margin account or pledging our securities as collateral for a loan.</w:t>
      </w:r>
    </w:p>
    <w:p>
      <w:pPr>
        <w:pStyle w:val="TextBody"/>
        <w:spacing w:before="200" w:after="0"/>
        <w:jc w:val="center"/>
        <w:rPr>
          <w:rFonts w:ascii="Arial;sans-serif" w:hAnsi="Arial;sans-serif"/>
          <w:b w:val="false"/>
          <w:sz w:val="20"/>
        </w:rPr>
      </w:pPr>
      <w:r>
        <w:rPr>
          <w:rFonts w:ascii="Arial;sans-serif" w:hAnsi="Arial;sans-serif"/>
          <w:b w:val="false"/>
          <w:sz w:val="20"/>
        </w:rPr>
        <w:t>34</w:t>
      </w:r>
    </w:p>
    <w:p>
      <w:pPr>
        <w:pStyle w:val="HorizontalLine"/>
        <w:rPr/>
      </w:pPr>
      <w:r>
        <w:rPr/>
      </w:r>
    </w:p>
    <w:p>
      <w:pPr>
        <w:pStyle w:val="TextBody"/>
        <w:spacing w:before="0" w:after="0"/>
        <w:jc w:val="left"/>
        <w:rPr/>
      </w:pPr>
      <w:r>
        <w:rPr/>
        <w:t> </w:t>
      </w:r>
    </w:p>
    <w:p>
      <w:pPr>
        <w:pStyle w:val="TextBody"/>
        <w:spacing w:before="360" w:after="0"/>
        <w:jc w:val="left"/>
        <w:rPr>
          <w:rFonts w:ascii="Arial;sans-serif" w:hAnsi="Arial;sans-serif"/>
          <w:b/>
          <w:sz w:val="20"/>
        </w:rPr>
      </w:pPr>
      <w:bookmarkStart w:id="41" w:name="summary_compensation_table"/>
      <w:bookmarkEnd w:id="41"/>
      <w:r>
        <w:rPr>
          <w:rFonts w:ascii="Arial;sans-serif" w:hAnsi="Arial;sans-serif"/>
          <w:b/>
          <w:sz w:val="20"/>
        </w:rPr>
        <w:t>Summary Compensation Table</w:t>
      </w:r>
    </w:p>
    <w:p>
      <w:pPr>
        <w:pStyle w:val="TextBody"/>
        <w:spacing w:before="120" w:after="0"/>
        <w:jc w:val="left"/>
        <w:rPr>
          <w:rFonts w:ascii="Times New Roman" w:hAnsi="Times New Roman"/>
          <w:sz w:val="20"/>
        </w:rPr>
      </w:pPr>
      <w:r>
        <w:rPr>
          <w:rFonts w:ascii="Arial;sans-serif" w:hAnsi="Arial;sans-serif"/>
          <w:b w:val="false"/>
          <w:sz w:val="20"/>
        </w:rPr>
        <w:t>The following table provides information regarding the compensation of our named executive officers during the years ended December 31, 2022 and 2021.</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39"/>
        <w:gridCol w:w="146"/>
        <w:gridCol w:w="526"/>
        <w:gridCol w:w="146"/>
        <w:gridCol w:w="146"/>
        <w:gridCol w:w="781"/>
        <w:gridCol w:w="146"/>
        <w:gridCol w:w="146"/>
        <w:gridCol w:w="146"/>
        <w:gridCol w:w="781"/>
        <w:gridCol w:w="146"/>
        <w:gridCol w:w="146"/>
        <w:gridCol w:w="146"/>
        <w:gridCol w:w="931"/>
        <w:gridCol w:w="146"/>
        <w:gridCol w:w="146"/>
        <w:gridCol w:w="200"/>
        <w:gridCol w:w="1076"/>
        <w:gridCol w:w="146"/>
        <w:gridCol w:w="146"/>
        <w:gridCol w:w="146"/>
        <w:gridCol w:w="1036"/>
        <w:gridCol w:w="391"/>
      </w:tblGrid>
      <w:tr>
        <w:trPr/>
        <w:tc>
          <w:tcPr>
            <w:tcW w:w="24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439"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Name and Principal Position</w:t>
            </w:r>
          </w:p>
        </w:tc>
        <w:tc>
          <w:tcPr>
            <w:tcW w:w="146" w:type="dxa"/>
            <w:tcBorders/>
            <w:shd w:fill="auto" w:val="clear"/>
            <w:vAlign w:val="center"/>
          </w:tcPr>
          <w:p>
            <w:pPr>
              <w:pStyle w:val="TableContents"/>
              <w:spacing w:before="0" w:after="0"/>
              <w:ind w:left="0" w:right="0" w:hanging="0"/>
              <w:jc w:val="center"/>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Salary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Stock</w:t>
              <w:br/>
              <w:t>Awards</w:t>
              <w:br/>
              <w:t>($)</w:t>
            </w:r>
            <w:r>
              <w:rPr>
                <w:rFonts w:ascii="Arial;sans-serif" w:hAnsi="Arial;sans-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Option</w:t>
              <w:br/>
              <w:t>Awards</w:t>
              <w:br/>
              <w:t>($)</w:t>
            </w:r>
            <w:r>
              <w:rPr>
                <w:rFonts w:ascii="Arial;sans-serif" w:hAnsi="Arial;sans-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Non-Equity</w:t>
              <w:br/>
              <w:t>Incentive Plan</w:t>
              <w:br/>
              <w:t>Compensation</w:t>
              <w:br/>
              <w:t>($)</w:t>
            </w:r>
            <w:r>
              <w:rPr>
                <w:rFonts w:ascii="Arial;sans-serif" w:hAnsi="Arial;sans-serif"/>
                <w:b/>
                <w:sz w:val="11"/>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3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Jaume Pons, Ph.D.</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583,500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848,780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2,029,250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272,786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3,734,316</w:t>
            </w:r>
          </w:p>
        </w:tc>
        <w:tc>
          <w:tcPr>
            <w:tcW w:w="391" w:type="dxa"/>
            <w:tcBorders/>
            <w:shd w:fill="auto" w:val="clear"/>
            <w:vAlign w:val="center"/>
          </w:tcPr>
          <w:p>
            <w:pPr>
              <w:pStyle w:val="TableContents"/>
              <w:spacing w:before="0" w:after="0"/>
              <w:ind w:left="0" w:right="0" w:firstLine="200"/>
              <w:jc w:val="left"/>
              <w:rPr/>
            </w:pPr>
            <w:r>
              <w:rPr/>
              <w:t> </w:t>
            </w:r>
          </w:p>
        </w:tc>
      </w:tr>
      <w:tr>
        <w:trPr/>
        <w:tc>
          <w:tcPr>
            <w:tcW w:w="2439" w:type="dxa"/>
            <w:tcBorders/>
            <w:shd w:fill="auto" w:val="clear"/>
            <w:vAlign w:val="center"/>
          </w:tcPr>
          <w:p>
            <w:pPr>
              <w:pStyle w:val="TableContents"/>
              <w:spacing w:before="0" w:after="0"/>
              <w:ind w:left="200" w:right="0" w:hanging="0"/>
              <w:jc w:val="left"/>
              <w:rPr>
                <w:rFonts w:ascii="Arial;sans-serif" w:hAnsi="Arial;sans-serif"/>
                <w:b w:val="false"/>
                <w:i/>
                <w:sz w:val="18"/>
              </w:rPr>
            </w:pPr>
            <w:r>
              <w:rPr>
                <w:rFonts w:ascii="Arial;sans-serif" w:hAnsi="Arial;sans-serif"/>
                <w:b w:val="false"/>
                <w:i/>
                <w:sz w:val="18"/>
              </w:rPr>
              <w:t>Chief Executive Officer and President</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566,500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9,263,228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283,250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10,112,978</w:t>
            </w:r>
          </w:p>
        </w:tc>
        <w:tc>
          <w:tcPr>
            <w:tcW w:w="391" w:type="dxa"/>
            <w:tcBorders/>
            <w:shd w:fill="auto" w:val="clear"/>
            <w:vAlign w:val="center"/>
          </w:tcPr>
          <w:p>
            <w:pPr>
              <w:pStyle w:val="TableContents"/>
              <w:spacing w:before="0" w:after="0"/>
              <w:ind w:left="0" w:right="0" w:hanging="0"/>
              <w:jc w:val="left"/>
              <w:rPr/>
            </w:pPr>
            <w:r>
              <w:rPr/>
              <w:t> </w:t>
            </w:r>
          </w:p>
        </w:tc>
      </w:tr>
      <w:tr>
        <w:trPr/>
        <w:tc>
          <w:tcPr>
            <w:tcW w:w="243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Peter Garcia</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466,800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332,630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790,077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164,314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1,753,821</w:t>
            </w:r>
          </w:p>
        </w:tc>
        <w:tc>
          <w:tcPr>
            <w:tcW w:w="391" w:type="dxa"/>
            <w:tcBorders/>
            <w:shd w:fill="auto" w:val="clear"/>
            <w:vAlign w:val="center"/>
          </w:tcPr>
          <w:p>
            <w:pPr>
              <w:pStyle w:val="TableContents"/>
              <w:spacing w:before="0" w:after="0"/>
              <w:ind w:left="0" w:right="0" w:firstLine="200"/>
              <w:jc w:val="left"/>
              <w:rPr/>
            </w:pPr>
            <w:r>
              <w:rPr/>
              <w:t> </w:t>
            </w:r>
          </w:p>
        </w:tc>
      </w:tr>
      <w:tr>
        <w:trPr/>
        <w:tc>
          <w:tcPr>
            <w:tcW w:w="2439" w:type="dxa"/>
            <w:tcBorders/>
            <w:shd w:fill="auto" w:val="clear"/>
            <w:vAlign w:val="center"/>
          </w:tcPr>
          <w:p>
            <w:pPr>
              <w:pStyle w:val="TableContents"/>
              <w:spacing w:before="0" w:after="0"/>
              <w:ind w:left="200" w:right="0" w:hanging="0"/>
              <w:jc w:val="left"/>
              <w:rPr>
                <w:rFonts w:ascii="Arial;sans-serif" w:hAnsi="Arial;sans-serif"/>
                <w:b w:val="false"/>
                <w:i/>
                <w:sz w:val="18"/>
              </w:rPr>
            </w:pPr>
            <w:r>
              <w:rPr>
                <w:rFonts w:ascii="Arial;sans-serif" w:hAnsi="Arial;sans-serif"/>
                <w:b w:val="false"/>
                <w:i/>
                <w:sz w:val="18"/>
              </w:rPr>
              <w:t>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453,200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4,116,990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181,280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4,751,470</w:t>
            </w:r>
          </w:p>
        </w:tc>
        <w:tc>
          <w:tcPr>
            <w:tcW w:w="391" w:type="dxa"/>
            <w:tcBorders/>
            <w:shd w:fill="auto" w:val="clear"/>
            <w:vAlign w:val="center"/>
          </w:tcPr>
          <w:p>
            <w:pPr>
              <w:pStyle w:val="TableContents"/>
              <w:spacing w:before="0" w:after="0"/>
              <w:ind w:left="0" w:right="0" w:hanging="0"/>
              <w:jc w:val="left"/>
              <w:rPr/>
            </w:pPr>
            <w:r>
              <w:rPr/>
              <w:t> </w:t>
            </w:r>
          </w:p>
        </w:tc>
      </w:tr>
      <w:tr>
        <w:trPr/>
        <w:tc>
          <w:tcPr>
            <w:tcW w:w="243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Sophia Randolph, M.D., Ph.D.</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471,330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424,390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1,022,942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165,908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2,084,570</w:t>
            </w:r>
          </w:p>
        </w:tc>
        <w:tc>
          <w:tcPr>
            <w:tcW w:w="391" w:type="dxa"/>
            <w:tcBorders/>
            <w:shd w:fill="auto" w:val="clear"/>
            <w:vAlign w:val="center"/>
          </w:tcPr>
          <w:p>
            <w:pPr>
              <w:pStyle w:val="TableContents"/>
              <w:spacing w:before="0" w:after="0"/>
              <w:ind w:left="0" w:right="0" w:firstLine="200"/>
              <w:jc w:val="left"/>
              <w:rPr/>
            </w:pPr>
            <w:r>
              <w:rPr/>
              <w:t> </w:t>
            </w:r>
          </w:p>
        </w:tc>
      </w:tr>
      <w:tr>
        <w:trPr/>
        <w:tc>
          <w:tcPr>
            <w:tcW w:w="2439" w:type="dxa"/>
            <w:tcBorders/>
            <w:shd w:fill="auto" w:val="clear"/>
            <w:vAlign w:val="center"/>
          </w:tcPr>
          <w:p>
            <w:pPr>
              <w:pStyle w:val="TableContents"/>
              <w:spacing w:before="0" w:after="0"/>
              <w:ind w:left="200" w:right="0" w:hanging="0"/>
              <w:jc w:val="left"/>
              <w:rPr>
                <w:rFonts w:ascii="Arial;sans-serif" w:hAnsi="Arial;sans-serif"/>
                <w:b w:val="false"/>
                <w:i/>
                <w:sz w:val="18"/>
              </w:rPr>
            </w:pPr>
            <w:r>
              <w:rPr>
                <w:rFonts w:ascii="Arial;sans-serif" w:hAnsi="Arial;sans-serif"/>
                <w:b w:val="false"/>
                <w:i/>
                <w:sz w:val="18"/>
              </w:rPr>
              <w:t>Chief Medical Officer</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453,200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4,116,990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181,280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4,751,470</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20"/>
        </w:rPr>
      </w:pPr>
      <w:r>
        <w:rPr>
          <w:rFonts w:ascii="Arial" w:hAnsi="Arial"/>
          <w:b w:val="false"/>
          <w:sz w:val="20"/>
        </w:rPr>
        <w:t>(1)</w:t>
      </w:r>
    </w:p>
    <w:p>
      <w:pPr>
        <w:pStyle w:val="TextBody"/>
        <w:spacing w:before="0" w:after="0"/>
        <w:jc w:val="left"/>
        <w:rPr>
          <w:rFonts w:ascii="Arial;sans-serif" w:hAnsi="Arial;sans-serif"/>
          <w:b w:val="false"/>
          <w:sz w:val="20"/>
        </w:rPr>
      </w:pPr>
      <w:r>
        <w:rPr>
          <w:rFonts w:ascii="Arial;sans-serif" w:hAnsi="Arial;sans-serif"/>
          <w:b w:val="false"/>
          <w:sz w:val="20"/>
        </w:rPr>
        <w:t>This column reflects the aggregate grant date fair value of awards granted to the officer in the applicable fiscal year, computed in accordance with FASB ASC Topic 718. See Note 9 to our financial statements for the year ended December 31, 2022 included in our Annual Report on Form 10-K for the year ended December 31, 2022 for a discussion of the assumptions made by us in determining the grant date fair value of our equity awards. These amounts do not correspond to the actual value that may be recognized by the officers upon vesting of the applicable awards.</w:t>
      </w:r>
    </w:p>
    <w:p>
      <w:pPr>
        <w:pStyle w:val="TextBody"/>
        <w:spacing w:before="120" w:after="0"/>
        <w:jc w:val="left"/>
        <w:rPr>
          <w:rFonts w:ascii="Arial" w:hAnsi="Arial"/>
          <w:b w:val="false"/>
          <w:sz w:val="20"/>
        </w:rPr>
      </w:pPr>
      <w:r>
        <w:rPr>
          <w:rFonts w:ascii="Arial" w:hAnsi="Arial"/>
          <w:b w:val="false"/>
          <w:sz w:val="20"/>
        </w:rPr>
        <w:t>(2)</w:t>
      </w:r>
    </w:p>
    <w:p>
      <w:pPr>
        <w:pStyle w:val="TextBody"/>
        <w:spacing w:before="120" w:after="283"/>
        <w:jc w:val="left"/>
        <w:rPr>
          <w:rFonts w:ascii="Arial;sans-serif" w:hAnsi="Arial;sans-serif"/>
          <w:b w:val="false"/>
          <w:sz w:val="20"/>
        </w:rPr>
      </w:pPr>
      <w:r>
        <w:rPr>
          <w:rFonts w:ascii="Arial;sans-serif" w:hAnsi="Arial;sans-serif"/>
          <w:b w:val="false"/>
          <w:sz w:val="20"/>
        </w:rPr>
        <w:t xml:space="preserve">The amounts disclosed represent bonuses based upon achievement of certain Company and individual performance metrics. </w:t>
      </w:r>
    </w:p>
    <w:p>
      <w:pPr>
        <w:pStyle w:val="TextBody"/>
        <w:spacing w:before="200" w:after="0"/>
        <w:jc w:val="center"/>
        <w:rPr>
          <w:rFonts w:ascii="Arial;sans-serif" w:hAnsi="Arial;sans-serif"/>
          <w:b w:val="false"/>
          <w:sz w:val="20"/>
        </w:rPr>
      </w:pPr>
      <w:r>
        <w:rPr>
          <w:rFonts w:ascii="Arial;sans-serif" w:hAnsi="Arial;sans-serif"/>
          <w:b w:val="false"/>
          <w:sz w:val="20"/>
        </w:rPr>
        <w:t>35</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42" w:name="outstanding_equity_at_ye"/>
      <w:bookmarkEnd w:id="42"/>
      <w:r>
        <w:rPr>
          <w:rFonts w:ascii="Arial;sans-serif" w:hAnsi="Arial;sans-serif"/>
          <w:b/>
          <w:sz w:val="20"/>
        </w:rPr>
        <w:t>Outstanding Equity Awards</w:t>
      </w:r>
      <w:r>
        <w:rPr>
          <w:rFonts w:ascii="Times New Roman" w:hAnsi="Times New Roman"/>
          <w:sz w:val="20"/>
        </w:rPr>
        <w:t xml:space="preserve"> </w:t>
      </w:r>
      <w:r>
        <w:rPr>
          <w:rFonts w:ascii="Arial;sans-serif" w:hAnsi="Arial;sans-serif"/>
          <w:b/>
          <w:sz w:val="20"/>
        </w:rPr>
        <w:t>at 2022 Year-End</w:t>
      </w:r>
      <w:r>
        <w:rPr>
          <w:rFonts w:ascii="Times New Roman" w:hAnsi="Times New Roman"/>
          <w:sz w:val="20"/>
        </w:rPr>
        <w:t xml:space="preserve"> </w:t>
      </w:r>
    </w:p>
    <w:p>
      <w:pPr>
        <w:pStyle w:val="TextBody"/>
        <w:spacing w:before="120" w:after="240"/>
        <w:jc w:val="left"/>
        <w:rPr>
          <w:rFonts w:ascii="Times New Roman" w:hAnsi="Times New Roman"/>
          <w:sz w:val="20"/>
        </w:rPr>
      </w:pPr>
      <w:r>
        <w:rPr>
          <w:rFonts w:ascii="Arial;sans-serif" w:hAnsi="Arial;sans-serif"/>
          <w:b w:val="false"/>
          <w:sz w:val="20"/>
        </w:rPr>
        <w:t>The following table provides information regarding outstanding equity awards held by our named executive officers as of December 31, 2022.</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202"/>
        <w:gridCol w:w="146"/>
        <w:gridCol w:w="592"/>
        <w:gridCol w:w="146"/>
        <w:gridCol w:w="155"/>
        <w:gridCol w:w="851"/>
        <w:gridCol w:w="146"/>
        <w:gridCol w:w="306"/>
        <w:gridCol w:w="188"/>
        <w:gridCol w:w="1028"/>
        <w:gridCol w:w="146"/>
        <w:gridCol w:w="152"/>
        <w:gridCol w:w="614"/>
        <w:gridCol w:w="146"/>
        <w:gridCol w:w="271"/>
        <w:gridCol w:w="645"/>
        <w:gridCol w:w="146"/>
        <w:gridCol w:w="225"/>
        <w:gridCol w:w="1067"/>
        <w:gridCol w:w="146"/>
        <w:gridCol w:w="231"/>
        <w:gridCol w:w="226"/>
        <w:gridCol w:w="1235"/>
        <w:gridCol w:w="195"/>
      </w:tblGrid>
      <w:tr>
        <w:trPr/>
        <w:tc>
          <w:tcPr>
            <w:tcW w:w="12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59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648" w:type="dxa"/>
            <w:gridSpan w:val="1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Option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3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Stock Awards</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2"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Name</w:t>
            </w:r>
          </w:p>
        </w:tc>
        <w:tc>
          <w:tcPr>
            <w:tcW w:w="146" w:type="dxa"/>
            <w:tcBorders/>
            <w:shd w:fill="auto" w:val="clear"/>
            <w:vAlign w:val="center"/>
          </w:tcPr>
          <w:p>
            <w:pPr>
              <w:pStyle w:val="TableContents"/>
              <w:spacing w:before="0" w:after="0"/>
              <w:ind w:left="0" w:right="0" w:hanging="0"/>
              <w:jc w:val="center"/>
              <w:rPr/>
            </w:pPr>
            <w:r>
              <w:rPr/>
              <w:t> </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Date of</w:t>
              <w:br/>
              <w:t>Grant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w:t>
              <w:br/>
              <w:t>Securities</w:t>
              <w:br/>
              <w:t>Underlying</w:t>
              <w:br/>
              <w:t>Exercisable</w:t>
              <w:br/>
              <w:t>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Number of</w:t>
              <w:br/>
              <w:t>Securities</w:t>
              <w:br/>
              <w:t>Underlying</w:t>
              <w:br/>
              <w:t>Unexercisable</w:t>
              <w:br/>
              <w:t>Options</w:t>
            </w:r>
            <w:r>
              <w:rPr>
                <w:rFonts w:ascii="Arial;sans-serif" w:hAnsi="Arial;sans-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Option</w:t>
              <w:br/>
              <w:t>Exercise</w:t>
              <w:br/>
              <w:t>Price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Option</w:t>
              <w:br/>
              <w:t>Expiration</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 Shares or Units of Stock that Have Not Vested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1" w:type="dxa"/>
            <w:tcBorders/>
            <w:shd w:fill="auto" w:val="clear"/>
            <w:vAlign w:val="center"/>
          </w:tcPr>
          <w:p>
            <w:pPr>
              <w:pStyle w:val="TableContents"/>
              <w:spacing w:before="0" w:after="0"/>
              <w:ind w:left="0" w:right="0" w:hanging="0"/>
              <w:jc w:val="center"/>
              <w:rPr/>
            </w:pPr>
            <w:r>
              <w:rPr/>
              <w:t> </w:t>
            </w:r>
          </w:p>
        </w:tc>
        <w:tc>
          <w:tcPr>
            <w:tcW w:w="14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Market Value of Shares of Units of Stock that Have Not Vested ($)</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Jaume Pons, Ph.D.</w:t>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08/05/22</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64,750</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(2)</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729,733</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08/05/22</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25,416</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(3)</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218,584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11.47</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08/04/32</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07/30/21</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79,687</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(4)</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145,313</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58.56</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07/29/31</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164,799</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(5)</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107,972</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19.00</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04/27/20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132,209</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(6)</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66,101</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4.81</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04/27/30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03/09/20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552,533</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(7)</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4.08</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03/09/30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09/12/19</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76,765</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(8)</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1.91</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09/12/29</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03/30/17</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230,279</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(9)</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0.99</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03/30/27</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Peter Garcia</w:t>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08/05/22</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25,375</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(2)</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285,976</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08/05/22</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9,895</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(3)</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85,105</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11.47</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08/04/32</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07/30/21</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35,416</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(4)</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64,584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58.56</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07/29/31</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53,250</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(5)</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34,887</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19.00</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04/27/20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11,087</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(10)</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9,726</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4.81</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04/27/30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03/09/20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89,022</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(11)</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4.08</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03/09/30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03/09/20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60,468</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(12)</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4.08</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03/09/30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Sophia Randolph, M.D., Ph.D.</w:t>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08/05/22</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32,375</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(2)</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364,866</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08/05/22</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12,812</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(3)</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110,188</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11.47</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08/04/32</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07/30/21</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35,416</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(4)</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64,584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58.56</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07/29/31</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54,167</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(5)</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35,490</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19.00</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07/16/30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04/27/20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7,712</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(6)</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17,628</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4.81</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04/27/30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03/09/20</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95,175</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(7)</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4.08</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03/09/30</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12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09/12/19</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4,027</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(8)</w:t>
            </w:r>
          </w:p>
        </w:tc>
        <w:tc>
          <w:tcPr>
            <w:tcW w:w="188"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1.91</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09/12/29</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20"/>
        </w:rPr>
      </w:pPr>
      <w:r>
        <w:rPr>
          <w:rFonts w:ascii="Arial" w:hAnsi="Arial"/>
          <w:b w:val="false"/>
          <w:sz w:val="20"/>
        </w:rPr>
        <w:t>(1)</w:t>
      </w:r>
    </w:p>
    <w:p>
      <w:pPr>
        <w:pStyle w:val="TextBody"/>
        <w:spacing w:before="0" w:after="0"/>
        <w:jc w:val="left"/>
        <w:rPr>
          <w:rFonts w:ascii="Arial;sans-serif" w:hAnsi="Arial;sans-serif"/>
          <w:b w:val="false"/>
          <w:sz w:val="20"/>
        </w:rPr>
      </w:pPr>
      <w:r>
        <w:rPr>
          <w:rFonts w:ascii="Arial;sans-serif" w:hAnsi="Arial;sans-serif"/>
          <w:b w:val="false"/>
          <w:sz w:val="20"/>
        </w:rPr>
        <w:t>The unvested portion of these awards are also subject to vesting acceleration under certain circumstances, as will be more fully described below under “—Severance and Change in Control Protections</w:t>
      </w:r>
    </w:p>
    <w:p>
      <w:pPr>
        <w:pStyle w:val="TextBody"/>
        <w:spacing w:before="120" w:after="0"/>
        <w:jc w:val="left"/>
        <w:rPr>
          <w:rFonts w:ascii="Arial" w:hAnsi="Arial"/>
          <w:b w:val="false"/>
          <w:sz w:val="20"/>
        </w:rPr>
      </w:pPr>
      <w:r>
        <w:rPr>
          <w:rFonts w:ascii="Arial" w:hAnsi="Arial"/>
          <w:b w:val="false"/>
          <w:sz w:val="20"/>
        </w:rPr>
        <w:t>(2)</w:t>
      </w:r>
    </w:p>
    <w:p>
      <w:pPr>
        <w:pStyle w:val="TextBody"/>
        <w:spacing w:before="120" w:after="0"/>
        <w:jc w:val="left"/>
        <w:rPr>
          <w:rFonts w:ascii="Arial;sans-serif" w:hAnsi="Arial;sans-serif"/>
          <w:b w:val="false"/>
          <w:sz w:val="20"/>
        </w:rPr>
      </w:pPr>
      <w:r>
        <w:rPr>
          <w:rFonts w:ascii="Arial;sans-serif" w:hAnsi="Arial;sans-serif"/>
          <w:b w:val="false"/>
          <w:sz w:val="20"/>
        </w:rPr>
        <w:t>The restricted stock units, or RSUs, vest in eight equal semiannual installments beginning on December 28, 2022, subject to continued service through each such vesting date.</w:t>
      </w:r>
    </w:p>
    <w:p>
      <w:pPr>
        <w:pStyle w:val="TextBody"/>
        <w:spacing w:before="120" w:after="0"/>
        <w:jc w:val="left"/>
        <w:rPr>
          <w:rFonts w:ascii="Arial" w:hAnsi="Arial"/>
          <w:b w:val="false"/>
          <w:sz w:val="20"/>
        </w:rPr>
      </w:pPr>
      <w:r>
        <w:rPr>
          <w:rFonts w:ascii="Arial" w:hAnsi="Arial"/>
          <w:b w:val="false"/>
          <w:sz w:val="20"/>
        </w:rPr>
        <w:t>(3)</w:t>
      </w:r>
    </w:p>
    <w:p>
      <w:pPr>
        <w:pStyle w:val="TextBody"/>
        <w:spacing w:before="120" w:after="0"/>
        <w:jc w:val="left"/>
        <w:rPr/>
      </w:pPr>
      <w:r>
        <w:rPr>
          <w:rFonts w:ascii="Arial;sans-serif" w:hAnsi="Arial;sans-serif"/>
          <w:b w:val="false"/>
          <w:sz w:val="20"/>
        </w:rPr>
        <w:t>1/48th of the shares subject to the option vest each month beginning on August 1, 2022, subject to continued service through each such vesting date</w:t>
      </w:r>
      <w:r>
        <w:rPr>
          <w:rFonts w:ascii="Times New Roman;serif" w:hAnsi="Times New Roman;serif"/>
          <w:b w:val="false"/>
          <w:sz w:val="20"/>
        </w:rPr>
        <w:t>.</w:t>
      </w:r>
    </w:p>
    <w:p>
      <w:pPr>
        <w:pStyle w:val="TextBody"/>
        <w:spacing w:before="120" w:after="0"/>
        <w:jc w:val="left"/>
        <w:rPr>
          <w:rFonts w:ascii="Arial" w:hAnsi="Arial"/>
          <w:b w:val="false"/>
          <w:sz w:val="20"/>
        </w:rPr>
      </w:pPr>
      <w:r>
        <w:rPr>
          <w:rFonts w:ascii="Arial" w:hAnsi="Arial"/>
          <w:b w:val="false"/>
          <w:sz w:val="20"/>
        </w:rPr>
        <w:t>(4)</w:t>
      </w:r>
    </w:p>
    <w:p>
      <w:pPr>
        <w:pStyle w:val="TextBody"/>
        <w:spacing w:before="120" w:after="0"/>
        <w:jc w:val="left"/>
        <w:rPr/>
      </w:pPr>
      <w:r>
        <w:rPr>
          <w:rFonts w:ascii="Arial;sans-serif" w:hAnsi="Arial;sans-serif"/>
          <w:b w:val="false"/>
          <w:sz w:val="20"/>
        </w:rPr>
        <w:t>1/48th of the shares subject to the option vest each month beginning on August 30, 2021, subject to continued service through each such vesting date</w:t>
      </w:r>
      <w:r>
        <w:rPr>
          <w:rFonts w:ascii="Times New Roman;serif" w:hAnsi="Times New Roman;serif"/>
          <w:b w:val="false"/>
          <w:sz w:val="20"/>
        </w:rPr>
        <w:t>.</w:t>
      </w:r>
    </w:p>
    <w:p>
      <w:pPr>
        <w:pStyle w:val="TextBody"/>
        <w:spacing w:before="120" w:after="0"/>
        <w:jc w:val="left"/>
        <w:rPr>
          <w:rFonts w:ascii="Arial" w:hAnsi="Arial"/>
          <w:b w:val="false"/>
          <w:sz w:val="20"/>
        </w:rPr>
      </w:pPr>
      <w:r>
        <w:rPr>
          <w:rFonts w:ascii="Arial" w:hAnsi="Arial"/>
          <w:b w:val="false"/>
          <w:sz w:val="20"/>
        </w:rPr>
        <w:t>(5)</w:t>
      </w:r>
    </w:p>
    <w:p>
      <w:pPr>
        <w:pStyle w:val="TextBody"/>
        <w:spacing w:before="120" w:after="0"/>
        <w:jc w:val="left"/>
        <w:rPr>
          <w:rFonts w:ascii="Arial;sans-serif" w:hAnsi="Arial;sans-serif"/>
          <w:b w:val="false"/>
          <w:sz w:val="20"/>
        </w:rPr>
      </w:pPr>
      <w:r>
        <w:rPr>
          <w:rFonts w:ascii="Arial;sans-serif" w:hAnsi="Arial;sans-serif"/>
          <w:b w:val="false"/>
          <w:sz w:val="20"/>
        </w:rPr>
        <w:t xml:space="preserve">1/48th of the shares subject to the option vest each month beginning on August 16, 2020, subject to continued service through each such vesting date. </w:t>
      </w:r>
    </w:p>
    <w:p>
      <w:pPr>
        <w:pStyle w:val="TextBody"/>
        <w:spacing w:before="120" w:after="0"/>
        <w:jc w:val="left"/>
        <w:rPr>
          <w:rFonts w:ascii="Arial" w:hAnsi="Arial"/>
          <w:b w:val="false"/>
          <w:sz w:val="20"/>
        </w:rPr>
      </w:pPr>
      <w:r>
        <w:rPr>
          <w:rFonts w:ascii="Arial" w:hAnsi="Arial"/>
          <w:b w:val="false"/>
          <w:sz w:val="20"/>
        </w:rPr>
        <w:t>(6)</w:t>
      </w:r>
    </w:p>
    <w:p>
      <w:pPr>
        <w:pStyle w:val="TextBody"/>
        <w:spacing w:before="120" w:after="0"/>
        <w:jc w:val="left"/>
        <w:rPr>
          <w:rFonts w:ascii="Arial;sans-serif" w:hAnsi="Arial;sans-serif"/>
          <w:b w:val="false"/>
          <w:sz w:val="20"/>
        </w:rPr>
      </w:pPr>
      <w:r>
        <w:rPr>
          <w:rFonts w:ascii="Arial;sans-serif" w:hAnsi="Arial;sans-serif"/>
          <w:b w:val="false"/>
          <w:sz w:val="20"/>
        </w:rPr>
        <w:t xml:space="preserve">1/48th of the shares subject to the option vest each month beginning on May 27, 2020, subject to continued service through each such vesting date. </w:t>
      </w:r>
    </w:p>
    <w:p>
      <w:pPr>
        <w:pStyle w:val="TextBody"/>
        <w:spacing w:before="120" w:after="0"/>
        <w:jc w:val="left"/>
        <w:rPr>
          <w:rFonts w:ascii="Arial" w:hAnsi="Arial"/>
          <w:b w:val="false"/>
          <w:sz w:val="20"/>
        </w:rPr>
      </w:pPr>
      <w:r>
        <w:rPr>
          <w:rFonts w:ascii="Arial" w:hAnsi="Arial"/>
          <w:b w:val="false"/>
          <w:sz w:val="20"/>
        </w:rPr>
        <w:t>(7)</w:t>
      </w:r>
    </w:p>
    <w:p>
      <w:pPr>
        <w:pStyle w:val="TextBody"/>
        <w:spacing w:before="120" w:after="283"/>
        <w:jc w:val="left"/>
        <w:rPr>
          <w:rFonts w:ascii="Arial;sans-serif" w:hAnsi="Arial;sans-serif"/>
          <w:b w:val="false"/>
          <w:sz w:val="20"/>
        </w:rPr>
      </w:pPr>
      <w:r>
        <w:rPr>
          <w:rFonts w:ascii="Arial;sans-serif" w:hAnsi="Arial;sans-serif"/>
          <w:b w:val="false"/>
          <w:sz w:val="20"/>
        </w:rPr>
        <w:t xml:space="preserve">The option is subject to an early exercise provision and is immediately exercisable. 1/48th of the shares subject to the option vest each month beginning on April 9, 2020, subject to continued service through each such vesting date. </w:t>
      </w:r>
    </w:p>
    <w:p>
      <w:pPr>
        <w:pStyle w:val="TextBody"/>
        <w:spacing w:before="200" w:after="0"/>
        <w:jc w:val="center"/>
        <w:rPr>
          <w:rFonts w:ascii="Arial;sans-serif" w:hAnsi="Arial;sans-serif"/>
          <w:b w:val="false"/>
          <w:sz w:val="20"/>
        </w:rPr>
      </w:pPr>
      <w:r>
        <w:rPr>
          <w:rFonts w:ascii="Arial;sans-serif" w:hAnsi="Arial;sans-serif"/>
          <w:b w:val="false"/>
          <w:sz w:val="20"/>
        </w:rPr>
        <w:t>36</w:t>
      </w:r>
    </w:p>
    <w:p>
      <w:pPr>
        <w:pStyle w:val="HorizontalLine"/>
        <w:rPr/>
      </w:pPr>
      <w:r>
        <w:rPr/>
      </w:r>
    </w:p>
    <w:p>
      <w:pPr>
        <w:pStyle w:val="TextBody"/>
        <w:spacing w:before="0" w:after="0"/>
        <w:jc w:val="left"/>
        <w:rPr/>
      </w:pPr>
      <w:r>
        <w:rPr/>
        <w:t> </w:t>
      </w:r>
    </w:p>
    <w:p>
      <w:pPr>
        <w:pStyle w:val="TextBody"/>
        <w:spacing w:before="120" w:after="0"/>
        <w:jc w:val="left"/>
        <w:rPr>
          <w:rFonts w:ascii="Arial" w:hAnsi="Arial"/>
          <w:b w:val="false"/>
          <w:sz w:val="20"/>
        </w:rPr>
      </w:pPr>
      <w:r>
        <w:rPr>
          <w:rFonts w:ascii="Arial" w:hAnsi="Arial"/>
          <w:b w:val="false"/>
          <w:sz w:val="20"/>
        </w:rPr>
        <w:t>(8)</w:t>
      </w:r>
    </w:p>
    <w:p>
      <w:pPr>
        <w:pStyle w:val="TextBody"/>
        <w:spacing w:before="120" w:after="0"/>
        <w:jc w:val="left"/>
        <w:rPr>
          <w:rFonts w:ascii="Arial;sans-serif" w:hAnsi="Arial;sans-serif"/>
          <w:b w:val="false"/>
          <w:sz w:val="20"/>
        </w:rPr>
      </w:pPr>
      <w:r>
        <w:rPr>
          <w:rFonts w:ascii="Arial;sans-serif" w:hAnsi="Arial;sans-serif"/>
          <w:b w:val="false"/>
          <w:sz w:val="20"/>
        </w:rPr>
        <w:t>The option is subject to an early exercise provision and is immediately exercisable. 1/48th of the shares subject to the option vest each month beginning on June 16, 2019, subject to continued service through each such vesting date.</w:t>
      </w:r>
    </w:p>
    <w:p>
      <w:pPr>
        <w:pStyle w:val="TextBody"/>
        <w:spacing w:before="120" w:after="0"/>
        <w:jc w:val="left"/>
        <w:rPr>
          <w:rFonts w:ascii="Arial" w:hAnsi="Arial"/>
          <w:b w:val="false"/>
          <w:sz w:val="20"/>
        </w:rPr>
      </w:pPr>
      <w:r>
        <w:rPr>
          <w:rFonts w:ascii="Arial" w:hAnsi="Arial"/>
          <w:b w:val="false"/>
          <w:sz w:val="20"/>
        </w:rPr>
        <w:t>(9)</w:t>
      </w:r>
    </w:p>
    <w:p>
      <w:pPr>
        <w:pStyle w:val="TextBody"/>
        <w:spacing w:before="120" w:after="0"/>
        <w:jc w:val="left"/>
        <w:rPr>
          <w:rFonts w:ascii="Arial;sans-serif" w:hAnsi="Arial;sans-serif"/>
          <w:b w:val="false"/>
          <w:sz w:val="20"/>
        </w:rPr>
      </w:pPr>
      <w:r>
        <w:rPr>
          <w:rFonts w:ascii="Arial;sans-serif" w:hAnsi="Arial;sans-serif"/>
          <w:b w:val="false"/>
          <w:sz w:val="20"/>
        </w:rPr>
        <w:t xml:space="preserve">The shares subject to the option are fully vested and immediately exercisable. </w:t>
      </w:r>
    </w:p>
    <w:p>
      <w:pPr>
        <w:pStyle w:val="TextBody"/>
        <w:spacing w:before="120" w:after="0"/>
        <w:jc w:val="left"/>
        <w:rPr>
          <w:rFonts w:ascii="Arial" w:hAnsi="Arial"/>
          <w:b w:val="false"/>
          <w:sz w:val="20"/>
        </w:rPr>
      </w:pPr>
      <w:r>
        <w:rPr>
          <w:rFonts w:ascii="Arial" w:hAnsi="Arial"/>
          <w:b w:val="false"/>
          <w:sz w:val="20"/>
        </w:rPr>
        <w:t>(10)</w:t>
      </w:r>
    </w:p>
    <w:p>
      <w:pPr>
        <w:pStyle w:val="TextBody"/>
        <w:spacing w:before="120" w:after="0"/>
        <w:jc w:val="left"/>
        <w:rPr>
          <w:rFonts w:ascii="Arial;sans-serif" w:hAnsi="Arial;sans-serif"/>
          <w:b w:val="false"/>
          <w:sz w:val="20"/>
        </w:rPr>
      </w:pPr>
      <w:r>
        <w:rPr>
          <w:rFonts w:ascii="Arial;sans-serif" w:hAnsi="Arial;sans-serif"/>
          <w:b w:val="false"/>
          <w:sz w:val="20"/>
        </w:rPr>
        <w:t xml:space="preserve">1/4th of the shares subject to the option vested on April 27, 2021, and 1/36th of the remaining shares subject to the option vest each month thereafter, subject to continued service through each such vesting date. </w:t>
      </w:r>
    </w:p>
    <w:p>
      <w:pPr>
        <w:pStyle w:val="TextBody"/>
        <w:spacing w:before="120" w:after="0"/>
        <w:jc w:val="left"/>
        <w:rPr>
          <w:rFonts w:ascii="Arial" w:hAnsi="Arial"/>
          <w:b w:val="false"/>
          <w:sz w:val="20"/>
        </w:rPr>
      </w:pPr>
      <w:r>
        <w:rPr>
          <w:rFonts w:ascii="Arial" w:hAnsi="Arial"/>
          <w:b w:val="false"/>
          <w:sz w:val="20"/>
        </w:rPr>
        <w:t>(11)</w:t>
      </w:r>
    </w:p>
    <w:p>
      <w:pPr>
        <w:pStyle w:val="TextBody"/>
        <w:spacing w:before="120" w:after="0"/>
        <w:jc w:val="left"/>
        <w:rPr>
          <w:rFonts w:ascii="Arial;sans-serif" w:hAnsi="Arial;sans-serif"/>
          <w:b w:val="false"/>
          <w:sz w:val="20"/>
        </w:rPr>
      </w:pPr>
      <w:r>
        <w:rPr>
          <w:rFonts w:ascii="Arial;sans-serif" w:hAnsi="Arial;sans-serif"/>
          <w:b w:val="false"/>
          <w:sz w:val="20"/>
        </w:rPr>
        <w:t xml:space="preserve">The option is subject to an early exercise provision and is immediately exercisable. 1/4th of the shares subject to the option vested on January 2, 2021, and 1/36th of the remaining shares subject to the option vest each month thereafter, subject to continued service through each such vesting date. </w:t>
      </w:r>
    </w:p>
    <w:p>
      <w:pPr>
        <w:pStyle w:val="TextBody"/>
        <w:spacing w:before="120" w:after="0"/>
        <w:jc w:val="left"/>
        <w:rPr>
          <w:rFonts w:ascii="Arial" w:hAnsi="Arial"/>
          <w:b w:val="false"/>
          <w:sz w:val="20"/>
        </w:rPr>
      </w:pPr>
      <w:r>
        <w:rPr>
          <w:rFonts w:ascii="Arial" w:hAnsi="Arial"/>
          <w:b w:val="false"/>
          <w:sz w:val="20"/>
        </w:rPr>
        <w:t>(12)</w:t>
      </w:r>
    </w:p>
    <w:p>
      <w:pPr>
        <w:pStyle w:val="TextBody"/>
        <w:spacing w:before="120" w:after="283"/>
        <w:jc w:val="left"/>
        <w:rPr>
          <w:rFonts w:ascii="Arial;sans-serif" w:hAnsi="Arial;sans-serif"/>
          <w:b w:val="false"/>
          <w:sz w:val="20"/>
        </w:rPr>
      </w:pPr>
      <w:r>
        <w:rPr>
          <w:rFonts w:ascii="Arial;sans-serif" w:hAnsi="Arial;sans-serif"/>
          <w:b w:val="false"/>
          <w:sz w:val="20"/>
        </w:rPr>
        <w:t>The option is subject to an early exercise provision and is immediately exercisable. 1/4th of the shares subject to the option vested on March 9, 2021, and 1/36th of the remaining shares subject to the option vest each month thereafter, subject to continued service through each such vesting date.</w:t>
      </w:r>
    </w:p>
    <w:p>
      <w:pPr>
        <w:pStyle w:val="TextBody"/>
        <w:spacing w:before="360" w:after="0"/>
        <w:jc w:val="left"/>
        <w:rPr>
          <w:rFonts w:ascii="Arial;sans-serif" w:hAnsi="Arial;sans-serif"/>
          <w:b/>
          <w:sz w:val="20"/>
        </w:rPr>
      </w:pPr>
      <w:bookmarkStart w:id="43" w:name="executive_employment_letter_agreements"/>
      <w:bookmarkEnd w:id="43"/>
      <w:r>
        <w:rPr>
          <w:rFonts w:ascii="Arial;sans-serif" w:hAnsi="Arial;sans-serif"/>
          <w:b/>
          <w:sz w:val="20"/>
        </w:rPr>
        <w:t>Executive Employment Letter Agreements</w:t>
      </w:r>
    </w:p>
    <w:p>
      <w:pPr>
        <w:pStyle w:val="TextBody"/>
        <w:spacing w:before="120" w:after="0"/>
        <w:jc w:val="left"/>
        <w:rPr>
          <w:rFonts w:ascii="Arial;sans-serif" w:hAnsi="Arial;sans-serif"/>
          <w:b/>
          <w:i/>
          <w:sz w:val="20"/>
        </w:rPr>
      </w:pPr>
      <w:r>
        <w:rPr>
          <w:rFonts w:ascii="Arial;sans-serif" w:hAnsi="Arial;sans-serif"/>
          <w:b/>
          <w:i/>
          <w:sz w:val="20"/>
        </w:rPr>
        <w:t>Jaume Pons, Ph.D.</w:t>
      </w:r>
    </w:p>
    <w:p>
      <w:pPr>
        <w:pStyle w:val="TextBody"/>
        <w:spacing w:before="120" w:after="0"/>
        <w:jc w:val="left"/>
        <w:rPr>
          <w:rFonts w:ascii="Arial;sans-serif" w:hAnsi="Arial;sans-serif"/>
          <w:b w:val="false"/>
          <w:sz w:val="20"/>
        </w:rPr>
      </w:pPr>
      <w:r>
        <w:rPr>
          <w:rFonts w:ascii="Arial;sans-serif" w:hAnsi="Arial;sans-serif"/>
          <w:b w:val="false"/>
          <w:sz w:val="20"/>
        </w:rPr>
        <w:t>In July 2020, we entered into a confirmatory employment letter with Dr. Jaume Pons, our President and Chief Executive Officer. The confirmatory employment letter has no specific term and provides that Dr. Pons is an at-will employee. The employment letter supersedes all existing agreements and understandings that Dr. Pons may have entered into concerning his employment relationship with us. Dr. Pons’ annual base salary was $583,500 for 2022, and was subsequently increased to $649,740, effective January 1, 2023. He is eligible for an annual target cash incentive payment equal to 55.0% of his annual base salary.</w:t>
      </w:r>
    </w:p>
    <w:p>
      <w:pPr>
        <w:pStyle w:val="TextBody"/>
        <w:spacing w:before="240" w:after="0"/>
        <w:jc w:val="left"/>
        <w:rPr>
          <w:rFonts w:ascii="Arial;sans-serif" w:hAnsi="Arial;sans-serif"/>
          <w:b/>
          <w:i/>
          <w:sz w:val="20"/>
        </w:rPr>
      </w:pPr>
      <w:r>
        <w:rPr>
          <w:rFonts w:ascii="Arial;sans-serif" w:hAnsi="Arial;sans-serif"/>
          <w:b/>
          <w:i/>
          <w:sz w:val="20"/>
        </w:rPr>
        <w:t>Peter Garcia</w:t>
      </w:r>
    </w:p>
    <w:p>
      <w:pPr>
        <w:pStyle w:val="TextBody"/>
        <w:spacing w:before="120" w:after="0"/>
        <w:jc w:val="left"/>
        <w:rPr>
          <w:rFonts w:ascii="Arial;sans-serif" w:hAnsi="Arial;sans-serif"/>
          <w:b w:val="false"/>
          <w:sz w:val="20"/>
        </w:rPr>
      </w:pPr>
      <w:r>
        <w:rPr>
          <w:rFonts w:ascii="Arial;sans-serif" w:hAnsi="Arial;sans-serif"/>
          <w:b w:val="false"/>
          <w:sz w:val="20"/>
        </w:rPr>
        <w:t>In July 2020, we entered into a confirmatory employment letter with Peter Garcia, our Chief Financial Officer. The confirmatory employment letter has no specific term and provides that Mr. Garcia is an at-will employee. The employment letter supersedes all existing agreements and understandings that Mr. Garcia may have entered into concerning his employment relationship with us. Mr. Garcia’s annual base salary was $466,800 for 2022, and was subsequently increased to $485,472, effective January 1, 2023. He is eligible for an annual target cash incentive payment equal to 40.0% of his annual base salary.</w:t>
      </w:r>
    </w:p>
    <w:p>
      <w:pPr>
        <w:pStyle w:val="TextBody"/>
        <w:spacing w:before="240" w:after="0"/>
        <w:jc w:val="left"/>
        <w:rPr>
          <w:rFonts w:ascii="Arial;sans-serif" w:hAnsi="Arial;sans-serif"/>
          <w:b/>
          <w:i/>
          <w:sz w:val="20"/>
        </w:rPr>
      </w:pPr>
      <w:r>
        <w:rPr>
          <w:rFonts w:ascii="Arial;sans-serif" w:hAnsi="Arial;sans-serif"/>
          <w:b/>
          <w:i/>
          <w:sz w:val="20"/>
        </w:rPr>
        <w:t>Sophia Randolph, M.D., Ph.D.</w:t>
      </w:r>
    </w:p>
    <w:p>
      <w:pPr>
        <w:pStyle w:val="TextBody"/>
        <w:spacing w:before="120" w:after="0"/>
        <w:jc w:val="left"/>
        <w:rPr>
          <w:rFonts w:ascii="Arial;sans-serif" w:hAnsi="Arial;sans-serif"/>
          <w:b w:val="false"/>
          <w:sz w:val="20"/>
        </w:rPr>
      </w:pPr>
      <w:r>
        <w:rPr>
          <w:rFonts w:ascii="Arial;sans-serif" w:hAnsi="Arial;sans-serif"/>
          <w:b w:val="false"/>
          <w:sz w:val="20"/>
        </w:rPr>
        <w:t>In July 2020, we entered into a confirmatory employment letter with Dr. Sophia Randolph, our Chief Medical Officer. The confirmatory employment letter has no specific term and provides that Dr. Randolph is an at-will employee. The employment letter supersedes all existing agreements and understandings that Dr. Randolph may have entered into concerning her employment relationship with us. Dr. Randolph’s annual base salary was $471,330 for 2022, and was subsequently increased to $510,000, effective January 1, 2023. She is eligible for an annual target cash incentive payment equal to 40.0% of her annual base salary.</w:t>
      </w:r>
    </w:p>
    <w:p>
      <w:pPr>
        <w:pStyle w:val="TextBody"/>
        <w:spacing w:before="360" w:after="0"/>
        <w:jc w:val="left"/>
        <w:rPr>
          <w:rFonts w:ascii="Arial;sans-serif" w:hAnsi="Arial;sans-serif"/>
          <w:b/>
          <w:sz w:val="20"/>
        </w:rPr>
      </w:pPr>
      <w:bookmarkStart w:id="44" w:name="change_in_control_and_severance"/>
      <w:bookmarkEnd w:id="44"/>
      <w:r>
        <w:rPr>
          <w:rFonts w:ascii="Arial;sans-serif" w:hAnsi="Arial;sans-serif"/>
          <w:b/>
          <w:sz w:val="20"/>
        </w:rPr>
        <w:t>Change in Control and Severance Agreements</w:t>
      </w:r>
    </w:p>
    <w:p>
      <w:pPr>
        <w:pStyle w:val="TextBody"/>
        <w:spacing w:before="120" w:after="0"/>
        <w:jc w:val="left"/>
        <w:rPr>
          <w:rFonts w:ascii="Arial;sans-serif" w:hAnsi="Arial;sans-serif"/>
          <w:b w:val="false"/>
          <w:sz w:val="20"/>
        </w:rPr>
      </w:pPr>
      <w:r>
        <w:rPr>
          <w:rFonts w:ascii="Arial;sans-serif" w:hAnsi="Arial;sans-serif"/>
          <w:b w:val="false"/>
          <w:sz w:val="20"/>
        </w:rPr>
        <w:t>We entered into Severance Agreements with each of our named executive officers, which provide for certain severance and change in control benefits. Each Severance Agreement superseded any prior agreement or arrangement the named executive officer may have had with us that provided for severance and/or change in control payments or benefits. The Severance Agreements have no specific term and will terminate upon written consent by the parties or when all obligations under the change in control agreement are satisfied.</w:t>
      </w:r>
    </w:p>
    <w:p>
      <w:pPr>
        <w:pStyle w:val="TextBody"/>
        <w:spacing w:before="200" w:after="0"/>
        <w:jc w:val="center"/>
        <w:rPr>
          <w:rFonts w:ascii="Arial;sans-serif" w:hAnsi="Arial;sans-serif"/>
          <w:b w:val="false"/>
          <w:sz w:val="20"/>
        </w:rPr>
      </w:pPr>
      <w:r>
        <w:rPr>
          <w:rFonts w:ascii="Arial;sans-serif" w:hAnsi="Arial;sans-serif"/>
          <w:b w:val="false"/>
          <w:sz w:val="20"/>
        </w:rPr>
        <w:t>37</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Arial;sans-serif" w:hAnsi="Arial;sans-serif"/>
          <w:b w:val="false"/>
          <w:sz w:val="20"/>
        </w:rPr>
        <w:t>The Severance Agreements provide that if, other than during the period beginning three months before our change in control through the one-year anniversary of our change in control (change in control period) the named executive officer’s employment with us is terminated by us without cause (as defined in the Severance Agreement, and excluding by reason of his or her death or disability) or by the named executive officer for “good reason” (as defined in the Severance Agreement), the named executive officer will receive the following severance payments and benefits if he or she timely executes and does not revoke a release of claims in our favor:</w:t>
      </w:r>
      <w:r>
        <w:rPr>
          <w:rFonts w:ascii="Times New Roman" w:hAnsi="Times New Roman"/>
          <w:sz w:val="20"/>
        </w:rPr>
        <w:t xml:space="preserve"> </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A lump sum cash payment equal to 100% for Dr. Pons, or 75% for Mr. Garcia and Dr. Randolph, of the named executive officer’s base salary as in effect immediately before such termination; and</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Company-paid group health, dental and vision coverage under COBRA for the named executive officer and their eligible dependents for up to twelve months for Dr. Pons, or nine months for Mr. Garcia and Dr. Randolph.</w:t>
      </w:r>
    </w:p>
    <w:p>
      <w:pPr>
        <w:pStyle w:val="TextBody"/>
        <w:spacing w:before="240" w:after="0"/>
        <w:jc w:val="left"/>
        <w:rPr>
          <w:rFonts w:ascii="Times New Roman" w:hAnsi="Times New Roman"/>
          <w:sz w:val="20"/>
        </w:rPr>
      </w:pPr>
      <w:r>
        <w:rPr>
          <w:rFonts w:ascii="Arial;sans-serif" w:hAnsi="Arial;sans-serif"/>
          <w:b w:val="false"/>
          <w:sz w:val="20"/>
        </w:rPr>
        <w:t>If, during the change in control period, the named executive officer’s employment with us is terminated by us without cause (as defined in the Severance Agreement, and excluding by reason of their death or disability) or by the named executive officer for good reason (as defined in the Severance Agreement), the named executive officer will receive the following severance payments and benefits if they timely execute and do not revoke a separation agreement and release of claims in our favor:</w:t>
      </w:r>
      <w:r>
        <w:rPr>
          <w:rFonts w:ascii="Times New Roman" w:hAnsi="Times New Roman"/>
          <w:sz w:val="20"/>
        </w:rPr>
        <w:t xml:space="preserve"> </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A lump sum cash payment equal to 150% for Dr. Pons, or 100% for Mr. Garcia and Dr. Randolph, of the named executive officer’s base salary as in effect immediately before such termination or if greater, the base salary in effect immediately before our change in control;</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A lump sum cash payment equal to 150% for Dr. Pons, or 100% for Mr. Garcia and Dr. Randolph, of the named executive officer’s target bonus opportunity as in effect immediately before such termination or if greater, the target bonus opportunity in effect immediately before our change in control;</w:t>
      </w:r>
    </w:p>
    <w:p>
      <w:pPr>
        <w:pStyle w:val="TextBody"/>
        <w:spacing w:before="120" w:after="0"/>
        <w:jc w:val="left"/>
        <w:rPr/>
      </w:pPr>
      <w:r>
        <w:rPr/>
        <w:t>•</w:t>
      </w:r>
    </w:p>
    <w:p>
      <w:pPr>
        <w:pStyle w:val="TextBody"/>
        <w:spacing w:before="120" w:after="0"/>
        <w:jc w:val="left"/>
        <w:rPr>
          <w:rFonts w:ascii="Arial;sans-serif" w:hAnsi="Arial;sans-serif"/>
          <w:b w:val="false"/>
          <w:sz w:val="20"/>
        </w:rPr>
      </w:pPr>
      <w:r>
        <w:rPr>
          <w:rFonts w:ascii="Arial;sans-serif" w:hAnsi="Arial;sans-serif"/>
          <w:b w:val="false"/>
          <w:sz w:val="20"/>
        </w:rPr>
        <w:t>Company-paid group health, dental and vision coverage under COBRA for the named executive officer and their eligible dependents for up to eighteen months for Dr. Pons, or twelve months for Mr. Garcia and Dr. Randolph; and</w:t>
      </w:r>
    </w:p>
    <w:p>
      <w:pPr>
        <w:pStyle w:val="TextBody"/>
        <w:spacing w:before="120" w:after="0"/>
        <w:jc w:val="left"/>
        <w:rPr/>
      </w:pPr>
      <w:r>
        <w:rPr/>
        <w:t>•</w:t>
      </w:r>
    </w:p>
    <w:p>
      <w:pPr>
        <w:pStyle w:val="TextBody"/>
        <w:spacing w:before="120" w:after="283"/>
        <w:jc w:val="left"/>
        <w:rPr>
          <w:rFonts w:ascii="Arial;sans-serif" w:hAnsi="Arial;sans-serif"/>
          <w:b w:val="false"/>
          <w:sz w:val="20"/>
        </w:rPr>
      </w:pPr>
      <w:r>
        <w:rPr>
          <w:rFonts w:ascii="Arial;sans-serif" w:hAnsi="Arial;sans-serif"/>
          <w:b w:val="false"/>
          <w:sz w:val="20"/>
        </w:rPr>
        <w:t>100% accelerated vesting and exercisability of the outstanding and unvested Company equity awards (other than Company equity awards subject to performance-based vesting criteria) granted to the named executive officer.</w:t>
      </w:r>
    </w:p>
    <w:p>
      <w:pPr>
        <w:pStyle w:val="TextBody"/>
        <w:spacing w:before="240" w:after="0"/>
        <w:jc w:val="left"/>
        <w:rPr>
          <w:rFonts w:ascii="Arial;sans-serif" w:hAnsi="Arial;sans-serif"/>
          <w:b w:val="false"/>
          <w:sz w:val="20"/>
        </w:rPr>
      </w:pPr>
      <w:r>
        <w:rPr>
          <w:rFonts w:ascii="Arial;sans-serif" w:hAnsi="Arial;sans-serif"/>
          <w:b w:val="false"/>
          <w:sz w:val="20"/>
        </w:rPr>
        <w:t>In addition, the Severance Agreement for Dr. Pons provides that in the event of our change in control, 100% of his outstanding Company equity awards (other than Company equity awards subject to performance-based vesting criteria) will accelerate vesting.</w:t>
      </w:r>
    </w:p>
    <w:p>
      <w:pPr>
        <w:pStyle w:val="TextBody"/>
        <w:spacing w:before="240" w:after="0"/>
        <w:jc w:val="left"/>
        <w:rPr>
          <w:rFonts w:ascii="Arial;sans-serif" w:hAnsi="Arial;sans-serif"/>
          <w:b w:val="false"/>
          <w:sz w:val="20"/>
        </w:rPr>
      </w:pPr>
      <w:r>
        <w:rPr>
          <w:rFonts w:ascii="Arial;sans-serif" w:hAnsi="Arial;sans-serif"/>
          <w:b w:val="false"/>
          <w:sz w:val="20"/>
        </w:rPr>
        <w:t>Each Severance Agreement provides that, if any of the amounts provided for under a Severance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Severance Agreement or such lesser amount that would result in no portion of the payments and benefits being subject to the excise tax, whichever results in the greater amount of after-tax benefits to the named executive officer. The Severance Agreements do not provide for any tax gross-ups in connection with our change in control.</w:t>
      </w:r>
    </w:p>
    <w:p>
      <w:pPr>
        <w:pStyle w:val="TextBody"/>
        <w:spacing w:before="200" w:after="0"/>
        <w:jc w:val="center"/>
        <w:rPr>
          <w:rFonts w:ascii="Arial;sans-serif" w:hAnsi="Arial;sans-serif"/>
          <w:b w:val="false"/>
          <w:sz w:val="20"/>
        </w:rPr>
      </w:pPr>
      <w:r>
        <w:rPr>
          <w:rFonts w:ascii="Arial;sans-serif" w:hAnsi="Arial;sans-serif"/>
          <w:b w:val="false"/>
          <w:sz w:val="20"/>
        </w:rPr>
        <w:t>38</w:t>
      </w:r>
    </w:p>
    <w:p>
      <w:pPr>
        <w:pStyle w:val="HorizontalLine"/>
        <w:rPr/>
      </w:pPr>
      <w:r>
        <w:rPr/>
      </w:r>
    </w:p>
    <w:p>
      <w:pPr>
        <w:pStyle w:val="TextBody"/>
        <w:spacing w:before="0" w:after="0"/>
        <w:jc w:val="left"/>
        <w:rPr/>
      </w:pPr>
      <w:r>
        <w:rPr/>
        <w:t> </w:t>
      </w:r>
    </w:p>
    <w:p>
      <w:pPr>
        <w:pStyle w:val="TextBody"/>
        <w:spacing w:before="360" w:after="0"/>
        <w:jc w:val="left"/>
        <w:rPr>
          <w:rFonts w:ascii="Arial;sans-serif" w:hAnsi="Arial;sans-serif"/>
          <w:b/>
          <w:sz w:val="20"/>
        </w:rPr>
      </w:pPr>
      <w:bookmarkStart w:id="45" w:name="executive_incentive_compensation_plan"/>
      <w:bookmarkEnd w:id="45"/>
      <w:r>
        <w:rPr>
          <w:rFonts w:ascii="Arial;sans-serif" w:hAnsi="Arial;sans-serif"/>
          <w:b/>
          <w:sz w:val="20"/>
        </w:rPr>
        <w:t>Executive Incentive Compensation Plan</w:t>
      </w:r>
    </w:p>
    <w:p>
      <w:pPr>
        <w:pStyle w:val="TextBody"/>
        <w:spacing w:before="120" w:after="0"/>
        <w:jc w:val="left"/>
        <w:rPr>
          <w:rFonts w:ascii="Times New Roman" w:hAnsi="Times New Roman"/>
          <w:sz w:val="20"/>
        </w:rPr>
      </w:pPr>
      <w:r>
        <w:rPr>
          <w:rFonts w:ascii="Arial;sans-serif" w:hAnsi="Arial;sans-serif"/>
          <w:b w:val="false"/>
          <w:sz w:val="20"/>
        </w:rPr>
        <w:t>Our board of directors has adopted our Executive Incentive Compensation Plan, or the Incentive Compensation Plan. Our Incentive Compensation Plan will be administered by the compensation committee of our board of directors, 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Awards under our Incentive Compensation Plan are subject to any clawback policy of ours, which we may be required to adopt from time to time to comply with applicable laws. The administrator also may impose such other clawback, recovery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39</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val="false"/>
          <w:sz w:val="20"/>
        </w:rPr>
      </w:pPr>
      <w:r>
        <w:rPr>
          <w:rFonts w:ascii="Arial;sans-serif" w:hAnsi="Arial;sans-serif"/>
          <w:b w:val="false"/>
          <w:sz w:val="20"/>
        </w:rPr>
        <w:t>The administrator of our Incentive Compensation Plan has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pStyle w:val="TextBody"/>
        <w:spacing w:before="360" w:after="0"/>
        <w:jc w:val="left"/>
        <w:rPr>
          <w:rFonts w:ascii="Arial;sans-serif" w:hAnsi="Arial;sans-serif"/>
          <w:b/>
          <w:sz w:val="20"/>
        </w:rPr>
      </w:pPr>
      <w:bookmarkStart w:id="46" w:name="equity_comp_plan_info"/>
      <w:bookmarkEnd w:id="46"/>
      <w:r>
        <w:rPr>
          <w:rFonts w:ascii="Arial;sans-serif" w:hAnsi="Arial;sans-serif"/>
          <w:b/>
          <w:sz w:val="20"/>
        </w:rPr>
        <w:t>Equity Compensation Plan Information</w:t>
      </w:r>
    </w:p>
    <w:p>
      <w:pPr>
        <w:pStyle w:val="TextBody"/>
        <w:spacing w:before="120" w:after="0"/>
        <w:jc w:val="left"/>
        <w:rPr>
          <w:rFonts w:ascii="Arial;sans-serif" w:hAnsi="Arial;sans-serif"/>
          <w:b w:val="false"/>
          <w:sz w:val="20"/>
        </w:rPr>
      </w:pPr>
      <w:r>
        <w:rPr>
          <w:rFonts w:ascii="Arial;sans-serif" w:hAnsi="Arial;sans-serif"/>
          <w:b w:val="false"/>
          <w:sz w:val="20"/>
        </w:rPr>
        <w:t>The following table provides information as of December 31, 2022 with respect to shares of our common stock that may be issued under our existing equity compensation plans.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127"/>
        <w:gridCol w:w="146"/>
        <w:gridCol w:w="365"/>
        <w:gridCol w:w="2417"/>
        <w:gridCol w:w="146"/>
        <w:gridCol w:w="146"/>
        <w:gridCol w:w="410"/>
        <w:gridCol w:w="1142"/>
        <w:gridCol w:w="146"/>
        <w:gridCol w:w="146"/>
        <w:gridCol w:w="334"/>
        <w:gridCol w:w="2206"/>
        <w:gridCol w:w="474"/>
      </w:tblGrid>
      <w:tr>
        <w:trPr/>
        <w:tc>
          <w:tcPr>
            <w:tcW w:w="21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r>
      <w:tr>
        <w:trPr/>
        <w:tc>
          <w:tcPr>
            <w:tcW w:w="2127"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Plan Category</w:t>
            </w:r>
          </w:p>
        </w:tc>
        <w:tc>
          <w:tcPr>
            <w:tcW w:w="146" w:type="dxa"/>
            <w:tcBorders/>
            <w:shd w:fill="auto" w:val="clear"/>
            <w:vAlign w:val="center"/>
          </w:tcPr>
          <w:p>
            <w:pPr>
              <w:pStyle w:val="TableContents"/>
              <w:spacing w:before="0" w:after="0"/>
              <w:ind w:left="0" w:right="0" w:hanging="0"/>
              <w:jc w:val="center"/>
              <w:rPr/>
            </w:pPr>
            <w:r>
              <w:rPr/>
              <w:t> </w:t>
            </w:r>
          </w:p>
        </w:tc>
        <w:tc>
          <w:tcPr>
            <w:tcW w:w="2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 Securities to be Issued upon Exercise of Outstanding Options, Restricted Stock Units and Rights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 Average</w:t>
              <w:br/>
              <w:t>Exercise Price</w:t>
              <w:br/>
              <w:t>of Outstanding Options and Rights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 Securities</w:t>
              <w:br/>
              <w:t>Remaining Available</w:t>
              <w:br/>
              <w:t>for Future Issuance</w:t>
              <w:br/>
              <w:t>Under Equity Compensation Plans (Excluding Securities Reflected in the first Column) (#)</w:t>
            </w:r>
          </w:p>
        </w:tc>
        <w:tc>
          <w:tcPr>
            <w:tcW w:w="4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2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Equity compensation plans approved by security holders</w:t>
            </w:r>
          </w:p>
        </w:tc>
        <w:tc>
          <w:tcPr>
            <w:tcW w:w="146" w:type="dxa"/>
            <w:tcBorders/>
            <w:shd w:fill="auto" w:val="clear"/>
            <w:vAlign w:val="center"/>
          </w:tcPr>
          <w:p>
            <w:pPr>
              <w:pStyle w:val="TableContents"/>
              <w:spacing w:before="0" w:after="0"/>
              <w:ind w:left="0" w:right="0" w:hanging="0"/>
              <w:jc w:val="left"/>
              <w:rPr/>
            </w:pPr>
            <w:r>
              <w:rPr/>
              <w:t> </w:t>
            </w:r>
          </w:p>
        </w:tc>
        <w:tc>
          <w:tcPr>
            <w:tcW w:w="2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0" w:type="dxa"/>
            <w:gridSpan w:val="2"/>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firstLine="280"/>
              <w:jc w:val="left"/>
              <w:rPr/>
            </w:pPr>
            <w:r>
              <w:rPr/>
              <w:t> </w:t>
            </w:r>
          </w:p>
        </w:tc>
      </w:tr>
      <w:tr>
        <w:trPr/>
        <w:tc>
          <w:tcPr>
            <w:tcW w:w="2127"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i/>
                <w:sz w:val="20"/>
              </w:rPr>
              <w:t>Amended and Restated 2020 Equity Incentive Plan</w:t>
            </w:r>
            <w:r>
              <w:rPr>
                <w:rFonts w:ascii="Arial;sans-serif" w:hAnsi="Arial;sans-serif"/>
                <w:b w:val="false"/>
                <w:i/>
                <w:sz w:val="13"/>
              </w:rPr>
              <w:t>(1)</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241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7,017,174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4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22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2,932,309</w:t>
            </w:r>
          </w:p>
        </w:tc>
        <w:tc>
          <w:tcPr>
            <w:tcW w:w="474" w:type="dxa"/>
            <w:tcBorders/>
            <w:shd w:fill="auto" w:val="clear"/>
            <w:vAlign w:val="center"/>
          </w:tcPr>
          <w:p>
            <w:pPr>
              <w:pStyle w:val="TableContents"/>
              <w:spacing w:before="0" w:after="0"/>
              <w:ind w:left="0" w:right="0" w:firstLine="280"/>
              <w:jc w:val="left"/>
              <w:rPr/>
            </w:pPr>
            <w:r>
              <w:rPr/>
              <w:t> </w:t>
            </w:r>
          </w:p>
        </w:tc>
      </w:tr>
      <w:tr>
        <w:trPr/>
        <w:tc>
          <w:tcPr>
            <w:tcW w:w="2127" w:type="dxa"/>
            <w:tcBorders/>
            <w:shd w:fill="auto" w:val="clear"/>
            <w:vAlign w:val="center"/>
          </w:tcPr>
          <w:p>
            <w:pPr>
              <w:pStyle w:val="TableContents"/>
              <w:spacing w:before="0" w:after="0"/>
              <w:ind w:left="280" w:right="0" w:hanging="0"/>
              <w:jc w:val="left"/>
              <w:rPr>
                <w:rFonts w:ascii="Times New Roman" w:hAnsi="Times New Roman"/>
                <w:sz w:val="20"/>
              </w:rPr>
            </w:pPr>
            <w:r>
              <w:rPr>
                <w:rFonts w:ascii="Arial;sans-serif" w:hAnsi="Arial;sans-serif"/>
                <w:b w:val="false"/>
                <w:i/>
                <w:sz w:val="20"/>
              </w:rPr>
              <w:t>2020 Employee Stock Purchase Plan</w:t>
            </w:r>
            <w:r>
              <w:rPr>
                <w:rFonts w:ascii="Arial;sans-serif" w:hAnsi="Arial;sans-serif"/>
                <w:b w:val="false"/>
                <w:i/>
                <w:sz w:val="13"/>
              </w:rPr>
              <w:t>(2)</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2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left"/>
              <w:rPr/>
            </w:pPr>
            <w:r>
              <w:rPr/>
              <w:t> </w:t>
            </w:r>
          </w:p>
        </w:tc>
        <w:tc>
          <w:tcPr>
            <w:tcW w:w="11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220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1,147,986</w:t>
            </w:r>
          </w:p>
        </w:tc>
        <w:tc>
          <w:tcPr>
            <w:tcW w:w="47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Arial" w:hAnsi="Arial"/>
          <w:b w:val="false"/>
          <w:sz w:val="20"/>
        </w:rPr>
      </w:pPr>
      <w:r>
        <w:rPr>
          <w:rFonts w:ascii="Arial" w:hAnsi="Arial"/>
          <w:b w:val="false"/>
          <w:sz w:val="20"/>
        </w:rPr>
        <w:t>(1)</w:t>
      </w:r>
    </w:p>
    <w:p>
      <w:pPr>
        <w:pStyle w:val="TextBody"/>
        <w:spacing w:before="0" w:after="0"/>
        <w:jc w:val="both"/>
        <w:rPr>
          <w:rFonts w:ascii="Arial;sans-serif" w:hAnsi="Arial;sans-serif"/>
          <w:b w:val="false"/>
          <w:sz w:val="20"/>
        </w:rPr>
      </w:pPr>
      <w:r>
        <w:rPr>
          <w:rFonts w:ascii="Arial;sans-serif" w:hAnsi="Arial;sans-serif"/>
          <w:b w:val="false"/>
          <w:sz w:val="20"/>
        </w:rPr>
        <w:t>Our board of directors adopted, and our stockholders approved, the Amended and Restated 2020 Equity Incentive Plan (2020 Plan). The 2020 Plan provides that the number of shares available for issuance under the 2020 Plan will be increased on the first day of each fiscal year beginning with the 2021 fiscal year, in an amount equal to the least of (i) 4,000,000 shares, (ii) four percent (4%) of the outstanding shares of our common stock as of the last day of the immediately preceding fiscal year or (iii) such number of shares as our board of directors may determine no later than the last day of our immediately preceding fiscal year.</w:t>
      </w:r>
    </w:p>
    <w:p>
      <w:pPr>
        <w:pStyle w:val="TextBody"/>
        <w:spacing w:before="120" w:after="0"/>
        <w:jc w:val="both"/>
        <w:rPr>
          <w:rFonts w:ascii="Arial" w:hAnsi="Arial"/>
          <w:b w:val="false"/>
          <w:sz w:val="20"/>
        </w:rPr>
      </w:pPr>
      <w:r>
        <w:rPr>
          <w:rFonts w:ascii="Arial" w:hAnsi="Arial"/>
          <w:b w:val="false"/>
          <w:sz w:val="20"/>
        </w:rPr>
        <w:t>(2)</w:t>
      </w:r>
    </w:p>
    <w:p>
      <w:pPr>
        <w:pStyle w:val="TextBody"/>
        <w:spacing w:before="120" w:after="283"/>
        <w:jc w:val="both"/>
        <w:rPr>
          <w:rFonts w:ascii="Arial;sans-serif" w:hAnsi="Arial;sans-serif"/>
          <w:b w:val="false"/>
          <w:sz w:val="20"/>
        </w:rPr>
      </w:pPr>
      <w:r>
        <w:rPr>
          <w:rFonts w:ascii="Arial;sans-serif" w:hAnsi="Arial;sans-serif"/>
          <w:b w:val="false"/>
          <w:sz w:val="20"/>
        </w:rPr>
        <w:t xml:space="preserve">Our board of directors adopted, and our stockholders approved, the 2020 Employee Stock Purchase Plan (the ESPP). The ESPP provides that the number of shares available for issuance under the ESPP will be increased on the first day of each fiscal year beginning with the 2021 fiscal year, in an amount equal to the least of (i) 800,000 shares, (ii) one percent (1%) of the outstanding shares of our common stock on the last day of the immediately preceding fiscal year or (iii) such number of shares as our board of directors may determine no later than the last day of our immediately preceding fiscal year. </w:t>
      </w:r>
    </w:p>
    <w:p>
      <w:pPr>
        <w:pStyle w:val="TextBody"/>
        <w:spacing w:before="360" w:after="0"/>
        <w:jc w:val="left"/>
        <w:rPr>
          <w:rFonts w:ascii="Arial;sans-serif" w:hAnsi="Arial;sans-serif"/>
          <w:b/>
          <w:sz w:val="20"/>
        </w:rPr>
      </w:pPr>
      <w:bookmarkStart w:id="47" w:name="pay_versus_performance"/>
      <w:bookmarkEnd w:id="47"/>
      <w:r>
        <w:rPr>
          <w:rFonts w:ascii="Arial;sans-serif" w:hAnsi="Arial;sans-serif"/>
          <w:b/>
          <w:sz w:val="20"/>
        </w:rPr>
        <w:t>Pay Versus Performance</w:t>
      </w:r>
    </w:p>
    <w:p>
      <w:pPr>
        <w:pStyle w:val="TextBody"/>
        <w:spacing w:before="120" w:after="0"/>
        <w:jc w:val="left"/>
        <w:rPr>
          <w:rFonts w:ascii="Arial;sans-serif" w:hAnsi="Arial;sans-serif"/>
          <w:b w:val="false"/>
          <w:sz w:val="20"/>
        </w:rPr>
      </w:pPr>
      <w:r>
        <w:rPr>
          <w:rFonts w:ascii="Arial;sans-serif" w:hAnsi="Arial;sans-serif"/>
          <w:b w:val="false"/>
          <w:sz w:val="20"/>
        </w:rPr>
        <w:t>Under rules adopted pursuant to Section 953(a) of the Dodd-Frank Wall Street Reform and Consumer Protection Act, and Item 402(v) of Regulation S-K, we are required to calculate and disclose certain information regarding the “Compensation Actually Paid” (or CAP) to our named executive officers and certain Company performance for the years ended December 31, 2022 and 2021. The disclosure includes an analysis of compensation for our Principal Executive Officer (or our PEO) and the average compensation for the non-PEO named executive officers (or our non-PEO NEOs).</w:t>
      </w:r>
    </w:p>
    <w:p>
      <w:pPr>
        <w:pStyle w:val="TextBody"/>
        <w:spacing w:before="0" w:after="0"/>
        <w:jc w:val="left"/>
        <w:rPr/>
      </w:pPr>
      <w:r>
        <w:rPr/>
        <w:t> </w:t>
      </w:r>
    </w:p>
    <w:p>
      <w:pPr>
        <w:pStyle w:val="TextBody"/>
        <w:spacing w:before="200" w:after="0"/>
        <w:jc w:val="center"/>
        <w:rPr>
          <w:rFonts w:ascii="Arial;sans-serif" w:hAnsi="Arial;sans-serif"/>
          <w:b w:val="false"/>
          <w:sz w:val="20"/>
        </w:rPr>
      </w:pPr>
      <w:r>
        <w:rPr>
          <w:rFonts w:ascii="Arial;sans-serif" w:hAnsi="Arial;sans-serif"/>
          <w:b w:val="false"/>
          <w:sz w:val="20"/>
        </w:rPr>
        <w:t>40</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41"/>
        <w:gridCol w:w="146"/>
        <w:gridCol w:w="214"/>
        <w:gridCol w:w="1082"/>
        <w:gridCol w:w="146"/>
        <w:gridCol w:w="146"/>
        <w:gridCol w:w="213"/>
        <w:gridCol w:w="1138"/>
        <w:gridCol w:w="166"/>
        <w:gridCol w:w="146"/>
        <w:gridCol w:w="234"/>
        <w:gridCol w:w="1073"/>
        <w:gridCol w:w="146"/>
        <w:gridCol w:w="146"/>
        <w:gridCol w:w="222"/>
        <w:gridCol w:w="1080"/>
        <w:gridCol w:w="166"/>
        <w:gridCol w:w="146"/>
        <w:gridCol w:w="292"/>
        <w:gridCol w:w="812"/>
        <w:gridCol w:w="146"/>
        <w:gridCol w:w="146"/>
        <w:gridCol w:w="211"/>
        <w:gridCol w:w="1231"/>
        <w:gridCol w:w="216"/>
      </w:tblGrid>
      <w:tr>
        <w:trPr/>
        <w:tc>
          <w:tcPr>
            <w:tcW w:w="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Summary Compensation Table Total for PEO</w:t>
            </w:r>
            <w:r>
              <w:rPr>
                <w:rFonts w:ascii="Arial;sans-serif" w:hAnsi="Arial;sans-serif"/>
                <w:b w:val="false"/>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Compensation Actually Paid to PEO</w:t>
            </w:r>
            <w:r>
              <w:rPr>
                <w:rFonts w:ascii="Arial;sans-serif" w:hAnsi="Arial;sans-serif"/>
                <w:b w:val="false"/>
                <w:sz w:val="11"/>
              </w:rPr>
              <w:t>(2)(3)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Average Summary Compensation Table Total for Non-PEO NEOs</w:t>
            </w:r>
            <w:r>
              <w:rPr>
                <w:rFonts w:ascii="Arial;sans-serif" w:hAnsi="Arial;sans-serif"/>
                <w:b w:val="false"/>
                <w:sz w:val="11"/>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Average Compensation Actually Paid to Non-PEO NEOs</w:t>
            </w:r>
            <w:r>
              <w:rPr>
                <w:rFonts w:ascii="Arial;sans-serif" w:hAnsi="Arial;sans-serif"/>
                <w:b w:val="false"/>
                <w:sz w:val="11"/>
              </w:rPr>
              <w:t>(2)(3)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Arial;sans-serif" w:hAnsi="Arial;sans-serif"/>
                <w:b/>
                <w:sz w:val="16"/>
              </w:rPr>
              <w:t>Value of Initial Fixed $100 Investment Based on Total Shareholder Return</w:t>
            </w:r>
            <w:r>
              <w:rPr>
                <w:rFonts w:ascii="Arial;sans-serif" w:hAnsi="Arial;sans-serif"/>
                <w:b w:val="false"/>
                <w:sz w:val="11"/>
              </w:rPr>
              <w:t>(5)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Net Income (loss)</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2022</w:t>
            </w:r>
          </w:p>
        </w:tc>
        <w:tc>
          <w:tcPr>
            <w:tcW w:w="146" w:type="dxa"/>
            <w:tcBorders/>
            <w:shd w:fill="auto" w:val="cle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3,734,316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(3,301,953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3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1,919,196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8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(418,024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9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(123,482,000</w:t>
            </w:r>
          </w:p>
        </w:tc>
        <w:tc>
          <w:tcPr>
            <w:tcW w:w="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41" w:type="dxa"/>
            <w:tcBorders/>
            <w:shd w:fill="auto" w:val="clear"/>
            <w:vAlign w:val="center"/>
          </w:tcPr>
          <w:p>
            <w:pPr>
              <w:pStyle w:val="TableContents"/>
              <w:spacing w:before="0" w:after="0"/>
              <w:ind w:left="0" w:right="0" w:hanging="0"/>
              <w:jc w:val="center"/>
              <w:rPr>
                <w:rFonts w:ascii="Arial;sans-serif" w:hAnsi="Arial;sans-serif"/>
                <w:b w:val="false"/>
                <w:sz w:val="20"/>
              </w:rPr>
            </w:pPr>
            <w:r>
              <w:rPr>
                <w:rFonts w:ascii="Arial;sans-serif" w:hAnsi="Arial;sans-serif"/>
                <w:b w:val="false"/>
                <w:sz w:val="20"/>
              </w:rPr>
              <w:t>2021</w:t>
            </w:r>
          </w:p>
        </w:tc>
        <w:tc>
          <w:tcPr>
            <w:tcW w:w="146" w:type="dxa"/>
            <w:tcBorders/>
            <w:shd w:fill="auto" w:val="cle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8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10,112,978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(43,518,093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3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7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4,181,018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8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(8,940,548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9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(83,463,000</w:t>
            </w:r>
          </w:p>
        </w:tc>
        <w:tc>
          <w:tcPr>
            <w:tcW w:w="21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0" w:after="0"/>
        <w:jc w:val="left"/>
        <w:rPr/>
      </w:pPr>
      <w:r>
        <w:rPr/>
        <w:t> </w:t>
      </w:r>
    </w:p>
    <w:p>
      <w:pPr>
        <w:pStyle w:val="TextBody"/>
        <w:spacing w:before="0" w:after="0"/>
        <w:jc w:val="left"/>
        <w:rPr>
          <w:rFonts w:ascii="Arial" w:hAnsi="Arial"/>
          <w:b w:val="false"/>
          <w:sz w:val="20"/>
        </w:rPr>
      </w:pPr>
      <w:r>
        <w:rPr>
          <w:rFonts w:ascii="Arial" w:hAnsi="Arial"/>
          <w:b w:val="false"/>
          <w:sz w:val="20"/>
        </w:rPr>
        <w:t>(1)</w:t>
      </w:r>
    </w:p>
    <w:p>
      <w:pPr>
        <w:pStyle w:val="TextBody"/>
        <w:spacing w:before="0" w:after="0"/>
        <w:jc w:val="left"/>
        <w:rPr>
          <w:rFonts w:ascii="Arial;sans-serif" w:hAnsi="Arial;sans-serif"/>
          <w:b w:val="false"/>
          <w:sz w:val="20"/>
        </w:rPr>
      </w:pPr>
      <w:r>
        <w:rPr>
          <w:rFonts w:ascii="Arial;sans-serif" w:hAnsi="Arial;sans-serif"/>
          <w:b w:val="false"/>
          <w:sz w:val="20"/>
        </w:rPr>
        <w:t>The dollar amounts reported in this column are the amounts of total compensation reported for our PEO for each corresponding year in the “Total” column of the Summary Compensation Table. Dr. Pons served as our PEO for the years listed. Dr. Pons was our PEO during our fiscal years 2022 and 2021.</w:t>
      </w:r>
    </w:p>
    <w:p>
      <w:pPr>
        <w:pStyle w:val="TextBody"/>
        <w:spacing w:before="120" w:after="0"/>
        <w:jc w:val="left"/>
        <w:rPr>
          <w:rFonts w:ascii="Arial" w:hAnsi="Arial"/>
          <w:b w:val="false"/>
          <w:sz w:val="20"/>
        </w:rPr>
      </w:pPr>
      <w:r>
        <w:rPr>
          <w:rFonts w:ascii="Arial" w:hAnsi="Arial"/>
          <w:b w:val="false"/>
          <w:sz w:val="20"/>
        </w:rPr>
        <w:t>(2)</w:t>
      </w:r>
    </w:p>
    <w:p>
      <w:pPr>
        <w:pStyle w:val="TextBody"/>
        <w:spacing w:before="120" w:after="0"/>
        <w:jc w:val="left"/>
        <w:rPr>
          <w:rFonts w:ascii="Arial;sans-serif" w:hAnsi="Arial;sans-serif"/>
          <w:b w:val="false"/>
          <w:sz w:val="20"/>
        </w:rPr>
      </w:pPr>
      <w:r>
        <w:rPr>
          <w:rFonts w:ascii="Arial;sans-serif" w:hAnsi="Arial;sans-serif"/>
          <w:b w:val="false"/>
          <w:sz w:val="20"/>
        </w:rPr>
        <w:t>The amounts shown as Compensation Actually Paid have been calculated in accordance with Item 402(v) of Regulation S-K and do not reflect compensation actually realized or received by the Company’s NEOs. These amounts reflect the total compensation for the PEO or the average of the total compensation for the non-PEO NEOs as set forth in the Summary Compensation Table for each year, adjusted as described in footnote 3 below.</w:t>
      </w:r>
    </w:p>
    <w:p>
      <w:pPr>
        <w:pStyle w:val="TextBody"/>
        <w:spacing w:before="120" w:after="240"/>
        <w:jc w:val="left"/>
        <w:rPr>
          <w:rFonts w:ascii="Arial" w:hAnsi="Arial"/>
          <w:b w:val="false"/>
          <w:sz w:val="20"/>
        </w:rPr>
      </w:pPr>
      <w:r>
        <w:rPr>
          <w:rFonts w:ascii="Arial" w:hAnsi="Arial"/>
          <w:b w:val="false"/>
          <w:sz w:val="20"/>
        </w:rPr>
        <w:t>(3)</w:t>
      </w:r>
    </w:p>
    <w:p>
      <w:pPr>
        <w:pStyle w:val="TextBody"/>
        <w:spacing w:before="120" w:after="240"/>
        <w:jc w:val="left"/>
        <w:rPr>
          <w:rFonts w:ascii="Arial;sans-serif" w:hAnsi="Arial;sans-serif"/>
          <w:b w:val="false"/>
          <w:sz w:val="20"/>
        </w:rPr>
      </w:pPr>
      <w:r>
        <w:rPr>
          <w:rFonts w:ascii="Arial;sans-serif" w:hAnsi="Arial;sans-serif"/>
          <w:b w:val="false"/>
          <w:sz w:val="20"/>
        </w:rPr>
        <w:t>Compensation Actually Paid reflects the exclusions and inclusions for the PEO and the Non-PEO NEOs in accordance with SEC rules as set forth below:</w:t>
      </w:r>
    </w:p>
    <w:tbl>
      <w:tblPr>
        <w:tblW w:w="10205" w:type="dxa"/>
        <w:jc w:val="left"/>
        <w:tblInd w:w="0" w:type="dxa"/>
        <w:tblCellMar>
          <w:top w:w="28" w:type="dxa"/>
          <w:left w:w="28" w:type="dxa"/>
          <w:bottom w:w="28" w:type="dxa"/>
          <w:right w:w="28" w:type="dxa"/>
        </w:tblCellMar>
      </w:tblPr>
      <w:tblGrid>
        <w:gridCol w:w="6547"/>
        <w:gridCol w:w="146"/>
        <w:gridCol w:w="211"/>
        <w:gridCol w:w="1021"/>
        <w:gridCol w:w="446"/>
        <w:gridCol w:w="146"/>
        <w:gridCol w:w="211"/>
        <w:gridCol w:w="1126"/>
        <w:gridCol w:w="351"/>
      </w:tblGrid>
      <w:tr>
        <w:trPr/>
        <w:tc>
          <w:tcPr>
            <w:tcW w:w="65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65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2021</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4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Summary compensation table total for PEO</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0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3,734,316</w:t>
            </w:r>
          </w:p>
        </w:tc>
        <w:tc>
          <w:tcPr>
            <w:tcW w:w="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126"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10,112,978</w:t>
            </w:r>
          </w:p>
        </w:tc>
        <w:tc>
          <w:tcPr>
            <w:tcW w:w="351" w:type="dxa"/>
            <w:tcBorders/>
            <w:shd w:fill="auto" w:val="clear"/>
            <w:vAlign w:val="center"/>
          </w:tcPr>
          <w:p>
            <w:pPr>
              <w:pStyle w:val="TableContents"/>
              <w:spacing w:before="0" w:after="0"/>
              <w:ind w:left="0" w:right="0" w:firstLine="140"/>
              <w:jc w:val="left"/>
              <w:rPr/>
            </w:pPr>
            <w:r>
              <w:rPr/>
              <w:t> </w:t>
            </w:r>
          </w:p>
        </w:tc>
      </w:tr>
      <w:tr>
        <w:trPr/>
        <w:tc>
          <w:tcPr>
            <w:tcW w:w="6547"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Grant date fair value of stock awards and option awards granted during the year</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(2,878,030</w:t>
            </w:r>
          </w:p>
        </w:tc>
        <w:tc>
          <w:tcPr>
            <w:tcW w:w="44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(9,263,228</w:t>
            </w:r>
          </w:p>
        </w:tc>
        <w:tc>
          <w:tcPr>
            <w:tcW w:w="35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6547"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Fair value at year-end of stock awards and option awards granted during the year that are outstanding and unvested</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2,492,520</w:t>
            </w:r>
          </w:p>
        </w:tc>
        <w:tc>
          <w:tcPr>
            <w:tcW w:w="446" w:type="dxa"/>
            <w:tcBorders/>
            <w:shd w:fill="auto" w:val="cle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2,207,996</w:t>
            </w:r>
          </w:p>
        </w:tc>
        <w:tc>
          <w:tcPr>
            <w:tcW w:w="351" w:type="dxa"/>
            <w:tcBorders/>
            <w:shd w:fill="auto" w:val="clear"/>
            <w:vAlign w:val="center"/>
          </w:tcPr>
          <w:p>
            <w:pPr>
              <w:pStyle w:val="TableContents"/>
              <w:spacing w:before="0" w:after="0"/>
              <w:ind w:left="0" w:right="0" w:firstLine="140"/>
              <w:jc w:val="left"/>
              <w:rPr/>
            </w:pPr>
            <w:r>
              <w:rPr/>
              <w:t> </w:t>
            </w:r>
          </w:p>
        </w:tc>
      </w:tr>
      <w:tr>
        <w:trPr/>
        <w:tc>
          <w:tcPr>
            <w:tcW w:w="6547"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Change in fair value at year-end of stock awards and option awards granted in prior years that are outstanding and unvested</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(4,380,284</w:t>
            </w:r>
          </w:p>
        </w:tc>
        <w:tc>
          <w:tcPr>
            <w:tcW w:w="44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(40,602,500</w:t>
            </w:r>
          </w:p>
        </w:tc>
        <w:tc>
          <w:tcPr>
            <w:tcW w:w="35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6547"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Fair value at vesting of stock awards and option awards granted and vested during the year</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307,590</w:t>
            </w:r>
          </w:p>
        </w:tc>
        <w:tc>
          <w:tcPr>
            <w:tcW w:w="446" w:type="dxa"/>
            <w:tcBorders/>
            <w:shd w:fill="auto" w:val="cle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756,368</w:t>
            </w:r>
          </w:p>
        </w:tc>
        <w:tc>
          <w:tcPr>
            <w:tcW w:w="351" w:type="dxa"/>
            <w:tcBorders/>
            <w:shd w:fill="auto" w:val="clear"/>
            <w:vAlign w:val="center"/>
          </w:tcPr>
          <w:p>
            <w:pPr>
              <w:pStyle w:val="TableContents"/>
              <w:spacing w:before="0" w:after="0"/>
              <w:ind w:left="0" w:right="0" w:firstLine="140"/>
              <w:jc w:val="left"/>
              <w:rPr/>
            </w:pPr>
            <w:r>
              <w:rPr/>
              <w:t> </w:t>
            </w:r>
          </w:p>
        </w:tc>
      </w:tr>
      <w:tr>
        <w:trPr/>
        <w:tc>
          <w:tcPr>
            <w:tcW w:w="6547"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Change in fair value as of vesting date of stock awards and option awards granted in prior years that vested during the year</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(2,578,065</w:t>
            </w:r>
          </w:p>
        </w:tc>
        <w:tc>
          <w:tcPr>
            <w:tcW w:w="44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2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(6,729,707</w:t>
            </w:r>
          </w:p>
        </w:tc>
        <w:tc>
          <w:tcPr>
            <w:tcW w:w="35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6547"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Fair value as of prior year-end of stock awards and option awards granted in prior years that failed to meet vesting conditions during the year</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47"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Compensation actually paid to PEO</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0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(3,301,953</w:t>
            </w:r>
          </w:p>
        </w:tc>
        <w:tc>
          <w:tcPr>
            <w:tcW w:w="4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1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(43,518,093</w:t>
            </w:r>
          </w:p>
        </w:tc>
        <w:tc>
          <w:tcPr>
            <w:tcW w:w="3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652"/>
        <w:gridCol w:w="146"/>
        <w:gridCol w:w="211"/>
        <w:gridCol w:w="1021"/>
        <w:gridCol w:w="446"/>
        <w:gridCol w:w="146"/>
        <w:gridCol w:w="211"/>
        <w:gridCol w:w="1021"/>
        <w:gridCol w:w="351"/>
      </w:tblGrid>
      <w:tr>
        <w:trPr/>
        <w:tc>
          <w:tcPr>
            <w:tcW w:w="66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66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2022</w:t>
            </w:r>
          </w:p>
        </w:tc>
        <w:tc>
          <w:tcPr>
            <w:tcW w:w="4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2021</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5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Average summary compensation table total for non-PEO NEOs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0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1,919,196</w:t>
            </w:r>
          </w:p>
        </w:tc>
        <w:tc>
          <w:tcPr>
            <w:tcW w:w="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02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4,181,018</w:t>
            </w:r>
          </w:p>
        </w:tc>
        <w:tc>
          <w:tcPr>
            <w:tcW w:w="351" w:type="dxa"/>
            <w:tcBorders/>
            <w:shd w:fill="auto" w:val="clear"/>
            <w:vAlign w:val="center"/>
          </w:tcPr>
          <w:p>
            <w:pPr>
              <w:pStyle w:val="TableContents"/>
              <w:spacing w:before="0" w:after="0"/>
              <w:ind w:left="0" w:right="0" w:firstLine="140"/>
              <w:jc w:val="left"/>
              <w:rPr/>
            </w:pPr>
            <w:r>
              <w:rPr/>
              <w:t> </w:t>
            </w:r>
          </w:p>
        </w:tc>
      </w:tr>
      <w:tr>
        <w:trPr/>
        <w:tc>
          <w:tcPr>
            <w:tcW w:w="6652"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Grant date fair value of stock awards and option awards granted during the year</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(1,285,020</w:t>
            </w:r>
          </w:p>
        </w:tc>
        <w:tc>
          <w:tcPr>
            <w:tcW w:w="44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(3,739,523</w:t>
            </w:r>
          </w:p>
        </w:tc>
        <w:tc>
          <w:tcPr>
            <w:tcW w:w="35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6652"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Fair value at year-end of stock awards and option awards granted during the year that are outstanding and unvested</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1,112,899</w:t>
            </w:r>
          </w:p>
        </w:tc>
        <w:tc>
          <w:tcPr>
            <w:tcW w:w="446" w:type="dxa"/>
            <w:tcBorders/>
            <w:shd w:fill="auto" w:val="cle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873,321</w:t>
            </w:r>
          </w:p>
        </w:tc>
        <w:tc>
          <w:tcPr>
            <w:tcW w:w="351" w:type="dxa"/>
            <w:tcBorders/>
            <w:shd w:fill="auto" w:val="clear"/>
            <w:vAlign w:val="center"/>
          </w:tcPr>
          <w:p>
            <w:pPr>
              <w:pStyle w:val="TableContents"/>
              <w:spacing w:before="0" w:after="0"/>
              <w:ind w:left="0" w:right="0" w:firstLine="140"/>
              <w:jc w:val="left"/>
              <w:rPr/>
            </w:pPr>
            <w:r>
              <w:rPr/>
              <w:t> </w:t>
            </w:r>
          </w:p>
        </w:tc>
      </w:tr>
      <w:tr>
        <w:trPr/>
        <w:tc>
          <w:tcPr>
            <w:tcW w:w="6652"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Change in fair value at year-end of stock awards and option awards granted in prior years that are outstanding and unvested</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(1,480,480</w:t>
            </w:r>
          </w:p>
        </w:tc>
        <w:tc>
          <w:tcPr>
            <w:tcW w:w="44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(6,217,661</w:t>
            </w:r>
          </w:p>
        </w:tc>
        <w:tc>
          <w:tcPr>
            <w:tcW w:w="35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6652"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Fair value at vesting of stock awards and option awards granted and vested during the year</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137,326</w:t>
            </w:r>
          </w:p>
        </w:tc>
        <w:tc>
          <w:tcPr>
            <w:tcW w:w="446" w:type="dxa"/>
            <w:tcBorders/>
            <w:shd w:fill="auto" w:val="cle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189,080</w:t>
            </w:r>
          </w:p>
        </w:tc>
        <w:tc>
          <w:tcPr>
            <w:tcW w:w="351" w:type="dxa"/>
            <w:tcBorders/>
            <w:shd w:fill="auto" w:val="clear"/>
            <w:vAlign w:val="center"/>
          </w:tcPr>
          <w:p>
            <w:pPr>
              <w:pStyle w:val="TableContents"/>
              <w:spacing w:before="0" w:after="0"/>
              <w:ind w:left="0" w:right="0" w:firstLine="140"/>
              <w:jc w:val="left"/>
              <w:rPr/>
            </w:pPr>
            <w:r>
              <w:rPr/>
              <w:t> </w:t>
            </w:r>
          </w:p>
        </w:tc>
      </w:tr>
      <w:tr>
        <w:trPr/>
        <w:tc>
          <w:tcPr>
            <w:tcW w:w="6652"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Change in fair value as of vesting date of stock awards and option awards granted in prior years that vested during the year</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(821,945</w:t>
            </w:r>
          </w:p>
        </w:tc>
        <w:tc>
          <w:tcPr>
            <w:tcW w:w="446"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(1,206,427</w:t>
            </w:r>
          </w:p>
        </w:tc>
        <w:tc>
          <w:tcPr>
            <w:tcW w:w="351" w:type="dxa"/>
            <w:tcBorders/>
            <w:shd w:fill="auto" w:val="clear"/>
            <w:vAlign w:val="center"/>
          </w:tcPr>
          <w:p>
            <w:pPr>
              <w:pStyle w:val="TableContents"/>
              <w:spacing w:before="0" w:after="0"/>
              <w:ind w:left="0" w:right="0" w:firstLine="140"/>
              <w:jc w:val="left"/>
              <w:rPr>
                <w:rFonts w:ascii="Arial;sans-serif" w:hAnsi="Arial;sans-serif"/>
                <w:b w:val="false"/>
                <w:sz w:val="20"/>
              </w:rPr>
            </w:pPr>
            <w:r>
              <w:rPr>
                <w:rFonts w:ascii="Arial;sans-serif" w:hAnsi="Arial;sans-serif"/>
                <w:b w:val="false"/>
                <w:sz w:val="20"/>
              </w:rPr>
              <w:t>)</w:t>
            </w:r>
          </w:p>
        </w:tc>
      </w:tr>
      <w:tr>
        <w:trPr/>
        <w:tc>
          <w:tcPr>
            <w:tcW w:w="6652" w:type="dxa"/>
            <w:tcBorders/>
            <w:shd w:fill="auto" w:val="cle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 Fair value as of prior year-end of stock awards and option awards granted in prior years that failed to meet vesting conditions during the year</w:t>
            </w:r>
          </w:p>
        </w:tc>
        <w:tc>
          <w:tcPr>
            <w:tcW w:w="146" w:type="dxa"/>
            <w:tcBorders/>
            <w:shd w:fill="auto" w:val="clear"/>
            <w:vAlign w:val="center"/>
          </w:tcPr>
          <w:p>
            <w:pPr>
              <w:pStyle w:val="TableContents"/>
              <w:spacing w:before="0" w:after="0"/>
              <w:ind w:left="28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c>
          <w:tcPr>
            <w:tcW w:w="146" w:type="dxa"/>
            <w:tcBorders/>
            <w:shd w:fill="auto" w:val="clear"/>
            <w:vAlign w:val="center"/>
          </w:tcPr>
          <w:p>
            <w:pPr>
              <w:pStyle w:val="TableContents"/>
              <w:spacing w:before="0" w:after="0"/>
              <w:ind w:left="28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(3,020,356</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652"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Average compensation actually paid to non-PEO NEOs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0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(418,024</w:t>
            </w:r>
          </w:p>
        </w:tc>
        <w:tc>
          <w:tcPr>
            <w:tcW w:w="4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0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(8,940,548</w:t>
            </w:r>
          </w:p>
        </w:tc>
        <w:tc>
          <w:tcPr>
            <w:tcW w:w="3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r>
    </w:tbl>
    <w:p>
      <w:pPr>
        <w:pStyle w:val="TextBody"/>
        <w:spacing w:before="0" w:after="0"/>
        <w:jc w:val="left"/>
        <w:rPr/>
      </w:pPr>
      <w:r>
        <w:rPr/>
        <w:t> </w:t>
      </w:r>
    </w:p>
    <w:p>
      <w:pPr>
        <w:pStyle w:val="TextBody"/>
        <w:spacing w:before="200" w:after="0"/>
        <w:jc w:val="center"/>
        <w:rPr>
          <w:rFonts w:ascii="Arial;sans-serif" w:hAnsi="Arial;sans-serif"/>
          <w:b w:val="false"/>
          <w:sz w:val="20"/>
        </w:rPr>
      </w:pPr>
      <w:r>
        <w:rPr>
          <w:rFonts w:ascii="Arial;sans-serif" w:hAnsi="Arial;sans-serif"/>
          <w:b w:val="false"/>
          <w:sz w:val="20"/>
        </w:rPr>
        <w:t>41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val="false"/>
          <w:sz w:val="20"/>
        </w:rPr>
      </w:pPr>
      <w:r>
        <w:rPr>
          <w:rFonts w:ascii="Arial" w:hAnsi="Arial"/>
          <w:b w:val="false"/>
          <w:sz w:val="20"/>
        </w:rPr>
        <w:t>(4)</w:t>
      </w:r>
    </w:p>
    <w:p>
      <w:pPr>
        <w:pStyle w:val="TextBody"/>
        <w:spacing w:before="0" w:after="0"/>
        <w:jc w:val="left"/>
        <w:rPr>
          <w:rFonts w:ascii="Arial;sans-serif" w:hAnsi="Arial;sans-serif"/>
          <w:b w:val="false"/>
          <w:sz w:val="20"/>
        </w:rPr>
      </w:pPr>
      <w:r>
        <w:rPr>
          <w:rFonts w:ascii="Arial;sans-serif" w:hAnsi="Arial;sans-serif"/>
          <w:b w:val="false"/>
          <w:sz w:val="20"/>
        </w:rPr>
        <w:t>Mr. Garcia and Dr. Randolph were our non-PEO NEOs for our fiscal year 2022. Mr. Garcia, Dr. Randolph, Shelly Pinto and Steffen Pietzke were our non-PEO NEOs for our fiscal year 2021.</w:t>
      </w:r>
    </w:p>
    <w:p>
      <w:pPr>
        <w:pStyle w:val="TextBody"/>
        <w:spacing w:before="120" w:after="0"/>
        <w:jc w:val="left"/>
        <w:rPr>
          <w:rFonts w:ascii="Arial" w:hAnsi="Arial"/>
          <w:b w:val="false"/>
          <w:sz w:val="20"/>
        </w:rPr>
      </w:pPr>
      <w:r>
        <w:rPr>
          <w:rFonts w:ascii="Arial" w:hAnsi="Arial"/>
          <w:b w:val="false"/>
          <w:sz w:val="20"/>
        </w:rPr>
        <w:t>(5)</w:t>
      </w:r>
    </w:p>
    <w:p>
      <w:pPr>
        <w:pStyle w:val="TextBody"/>
        <w:spacing w:before="120" w:after="283"/>
        <w:jc w:val="left"/>
        <w:rPr>
          <w:rFonts w:ascii="Arial;sans-serif" w:hAnsi="Arial;sans-serif"/>
          <w:b w:val="false"/>
          <w:sz w:val="20"/>
        </w:rPr>
      </w:pPr>
      <w:r>
        <w:rPr>
          <w:rFonts w:ascii="Arial;sans-serif" w:hAnsi="Arial;sans-serif"/>
          <w:b w:val="false"/>
          <w:sz w:val="20"/>
        </w:rPr>
        <w:t xml:space="preserve">Total shareholder return illustrates the value, as of the last day of the indicated fiscal year, of an investment of $100 in our common stock on December 31, 2020. </w:t>
      </w:r>
    </w:p>
    <w:p>
      <w:pPr>
        <w:pStyle w:val="TextBody"/>
        <w:spacing w:before="360" w:after="0"/>
        <w:jc w:val="left"/>
        <w:rPr>
          <w:rFonts w:ascii="Arial;sans-serif" w:hAnsi="Arial;sans-serif"/>
          <w:b/>
          <w:sz w:val="20"/>
        </w:rPr>
      </w:pPr>
      <w:r>
        <w:rPr>
          <w:rFonts w:ascii="Arial;sans-serif" w:hAnsi="Arial;sans-serif"/>
          <w:b/>
          <w:sz w:val="20"/>
        </w:rPr>
        <w:t>Description of Relationship Between Compensation Actually Paid and Company Total Shareholder Return (or TSR)</w:t>
      </w:r>
    </w:p>
    <w:p>
      <w:pPr>
        <w:pStyle w:val="TextBody"/>
        <w:spacing w:before="240" w:after="0"/>
        <w:jc w:val="left"/>
        <w:rPr>
          <w:rFonts w:ascii="Arial;sans-serif" w:hAnsi="Arial;sans-serif"/>
          <w:b w:val="false"/>
          <w:sz w:val="20"/>
        </w:rPr>
      </w:pPr>
      <w:r>
        <w:rPr>
          <w:rFonts w:ascii="Arial;sans-serif" w:hAnsi="Arial;sans-serif"/>
          <w:b w:val="false"/>
          <w:sz w:val="20"/>
        </w:rPr>
        <w:t>The following chart sets forth the relationship between Compensation Actually Paid to our PEO, the average of Compensation Actually Paid to our non-PEO NEOs, and the Company’s TSR over the fiscal years 2021 and 2022.</w:t>
      </w:r>
    </w:p>
    <w:p>
      <w:pPr>
        <w:pStyle w:val="TextBody"/>
        <w:spacing w:before="240" w:after="0"/>
        <w:jc w:val="left"/>
        <w:rPr/>
      </w:pPr>
      <w:r>
        <w:rPr/>
        <w:drawing>
          <wp:inline distT="0" distB="0" distL="0" distR="0">
            <wp:extent cx="5943600" cy="3114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114675"/>
                    </a:xfrm>
                    <a:prstGeom prst="rect">
                      <a:avLst/>
                    </a:prstGeom>
                  </pic:spPr>
                </pic:pic>
              </a:graphicData>
            </a:graphic>
          </wp:inline>
        </w:drawing>
      </w:r>
      <w:r>
        <w:rPr/>
        <w:t> </w:t>
      </w:r>
    </w:p>
    <w:p>
      <w:pPr>
        <w:pStyle w:val="TextBody"/>
        <w:spacing w:before="200" w:after="0"/>
        <w:jc w:val="center"/>
        <w:rPr>
          <w:rFonts w:ascii="Arial;sans-serif" w:hAnsi="Arial;sans-serif"/>
          <w:b w:val="false"/>
          <w:sz w:val="20"/>
        </w:rPr>
      </w:pPr>
      <w:r>
        <w:rPr>
          <w:rFonts w:ascii="Arial;sans-serif" w:hAnsi="Arial;sans-serif"/>
          <w:b w:val="false"/>
          <w:sz w:val="20"/>
        </w:rPr>
        <w:t>42</w:t>
      </w:r>
    </w:p>
    <w:p>
      <w:pPr>
        <w:pStyle w:val="HorizontalLine"/>
        <w:rPr/>
      </w:pPr>
      <w:r>
        <w:rPr/>
      </w:r>
    </w:p>
    <w:p>
      <w:pPr>
        <w:pStyle w:val="TextBody"/>
        <w:spacing w:before="0" w:after="0"/>
        <w:jc w:val="left"/>
        <w:rPr/>
      </w:pPr>
      <w:r>
        <w:rPr/>
        <w:t> </w:t>
      </w:r>
    </w:p>
    <w:p>
      <w:pPr>
        <w:pStyle w:val="TextBody"/>
        <w:spacing w:before="240" w:after="0"/>
        <w:jc w:val="left"/>
        <w:rPr>
          <w:rFonts w:ascii="Arial;sans-serif" w:hAnsi="Arial;sans-serif"/>
          <w:b/>
          <w:sz w:val="20"/>
        </w:rPr>
      </w:pPr>
      <w:r>
        <w:rPr>
          <w:rFonts w:ascii="Arial;sans-serif" w:hAnsi="Arial;sans-serif"/>
          <w:b/>
          <w:sz w:val="20"/>
        </w:rPr>
        <w:t>Description of Relationship Between NEO Compensation Actually Paid and Net Income/(Loss)</w:t>
      </w:r>
    </w:p>
    <w:p>
      <w:pPr>
        <w:pStyle w:val="TextBody"/>
        <w:spacing w:before="240" w:after="0"/>
        <w:jc w:val="left"/>
        <w:rPr>
          <w:rFonts w:ascii="Arial;sans-serif" w:hAnsi="Arial;sans-serif"/>
          <w:b w:val="false"/>
          <w:sz w:val="20"/>
        </w:rPr>
      </w:pPr>
      <w:r>
        <w:rPr>
          <w:rFonts w:ascii="Arial;sans-serif" w:hAnsi="Arial;sans-serif"/>
          <w:b w:val="false"/>
          <w:sz w:val="20"/>
        </w:rPr>
        <w:t>The following chart sets forth the relationship between Compensation Actually Paid to our CEO, the average of Compensation Actually Paid to our non-PEO NEOs, and the Company’s Net Income (Loss) over the fiscal years 2021 and 2022.</w:t>
      </w:r>
    </w:p>
    <w:p>
      <w:pPr>
        <w:pStyle w:val="TextBody"/>
        <w:spacing w:before="240" w:after="0"/>
        <w:jc w:val="left"/>
        <w:rPr/>
      </w:pPr>
      <w:r>
        <w:rPr/>
        <w:drawing>
          <wp:inline distT="0" distB="0" distL="0" distR="0">
            <wp:extent cx="5943600" cy="304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048000"/>
                    </a:xfrm>
                    <a:prstGeom prst="rect">
                      <a:avLst/>
                    </a:prstGeom>
                  </pic:spPr>
                </pic:pic>
              </a:graphicData>
            </a:graphic>
          </wp:inline>
        </w:drawing>
      </w:r>
      <w:r>
        <w:rPr/>
        <w:t> </w:t>
      </w:r>
    </w:p>
    <w:p>
      <w:pPr>
        <w:pStyle w:val="TextBody"/>
        <w:spacing w:before="240" w:after="0"/>
        <w:jc w:val="left"/>
        <w:rPr>
          <w:rFonts w:ascii="Times New Roman" w:hAnsi="Times New Roman"/>
          <w:sz w:val="20"/>
        </w:rPr>
      </w:pPr>
      <w:r>
        <w:rPr>
          <w:rFonts w:ascii="Arial;sans-serif" w:hAnsi="Arial;sans-serif"/>
          <w:b w:val="false"/>
          <w:sz w:val="20"/>
        </w:rPr>
        <w:br/>
      </w:r>
      <w:r>
        <w:rPr>
          <w:rFonts w:ascii="Times New Roman" w:hAnsi="Times New Roman"/>
          <w:sz w:val="20"/>
        </w:rPr>
        <w:t> </w:t>
      </w:r>
    </w:p>
    <w:p>
      <w:pPr>
        <w:pStyle w:val="TextBody"/>
        <w:spacing w:before="200" w:after="0"/>
        <w:jc w:val="center"/>
        <w:rPr>
          <w:rFonts w:ascii="Arial;sans-serif" w:hAnsi="Arial;sans-serif"/>
          <w:b w:val="false"/>
          <w:sz w:val="20"/>
        </w:rPr>
      </w:pPr>
      <w:r>
        <w:rPr>
          <w:rFonts w:ascii="Arial;sans-serif" w:hAnsi="Arial;sans-serif"/>
          <w:b w:val="false"/>
          <w:sz w:val="20"/>
        </w:rPr>
        <w:t>43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48" w:name="security_ownership_of_certain_beneficial"/>
      <w:bookmarkEnd w:id="48"/>
      <w:r>
        <w:rPr>
          <w:rFonts w:ascii="Arial;sans-serif" w:hAnsi="Arial;sans-serif"/>
          <w:b/>
          <w:sz w:val="20"/>
        </w:rPr>
        <w:t>SECURITY OWNERSHIP OF CERTAIN BENEFICIAL OWNERS AND MANAGEMENT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following table sets forth the beneficial ownership of our common stock as of March 31, 2023 by:</w:t>
      </w:r>
      <w:r>
        <w:rPr>
          <w:rFonts w:ascii="Times New Roman" w:hAnsi="Times New Roman"/>
          <w:sz w:val="20"/>
        </w:rPr>
        <w:t xml:space="preserve"> </w:t>
      </w:r>
    </w:p>
    <w:p>
      <w:pPr>
        <w:pStyle w:val="TextBody"/>
        <w:spacing w:before="240" w:after="0"/>
        <w:jc w:val="left"/>
        <w:rPr/>
      </w:pPr>
      <w:r>
        <w:rPr/>
        <w:t>•</w:t>
      </w:r>
    </w:p>
    <w:p>
      <w:pPr>
        <w:pStyle w:val="TextBody"/>
        <w:spacing w:before="240" w:after="0"/>
        <w:jc w:val="left"/>
        <w:rPr>
          <w:rFonts w:ascii="Arial;sans-serif" w:hAnsi="Arial;sans-serif"/>
          <w:b w:val="false"/>
          <w:sz w:val="20"/>
        </w:rPr>
      </w:pPr>
      <w:r>
        <w:rPr>
          <w:rFonts w:ascii="Arial;sans-serif" w:hAnsi="Arial;sans-serif"/>
          <w:b w:val="false"/>
          <w:sz w:val="20"/>
        </w:rPr>
        <w:t xml:space="preserve">each person, or group of affiliated persons, who is known by us to beneficially own more than 5% of our common stock;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each of our named executive officers; </w:t>
      </w:r>
    </w:p>
    <w:p>
      <w:pPr>
        <w:pStyle w:val="TextBody"/>
        <w:spacing w:before="0" w:after="0"/>
        <w:jc w:val="left"/>
        <w:rPr/>
      </w:pPr>
      <w:r>
        <w:rPr/>
        <w:t>•</w:t>
      </w:r>
    </w:p>
    <w:p>
      <w:pPr>
        <w:pStyle w:val="TextBody"/>
        <w:spacing w:before="0" w:after="0"/>
        <w:jc w:val="left"/>
        <w:rPr>
          <w:rFonts w:ascii="Arial;sans-serif" w:hAnsi="Arial;sans-serif"/>
          <w:b w:val="false"/>
          <w:sz w:val="20"/>
        </w:rPr>
      </w:pPr>
      <w:r>
        <w:rPr>
          <w:rFonts w:ascii="Arial;sans-serif" w:hAnsi="Arial;sans-serif"/>
          <w:b w:val="false"/>
          <w:sz w:val="20"/>
        </w:rPr>
        <w:t xml:space="preserve">each of our directors; and </w:t>
      </w:r>
    </w:p>
    <w:p>
      <w:pPr>
        <w:pStyle w:val="TextBody"/>
        <w:spacing w:before="0" w:after="0"/>
        <w:jc w:val="left"/>
        <w:rPr/>
      </w:pPr>
      <w:r>
        <w:rPr/>
        <w:t>•</w:t>
      </w:r>
    </w:p>
    <w:p>
      <w:pPr>
        <w:pStyle w:val="TextBody"/>
        <w:jc w:val="left"/>
        <w:rPr>
          <w:rFonts w:ascii="Arial;sans-serif" w:hAnsi="Arial;sans-serif"/>
          <w:b w:val="false"/>
          <w:sz w:val="20"/>
        </w:rPr>
      </w:pPr>
      <w:r>
        <w:rPr>
          <w:rFonts w:ascii="Arial;sans-serif" w:hAnsi="Arial;sans-serif"/>
          <w:b w:val="false"/>
          <w:sz w:val="20"/>
        </w:rPr>
        <w:t xml:space="preserve">all of our current executive officers and directors as a group. </w:t>
      </w:r>
    </w:p>
    <w:p>
      <w:pPr>
        <w:pStyle w:val="TextBody"/>
        <w:spacing w:before="240" w:after="0"/>
        <w:jc w:val="left"/>
        <w:rPr>
          <w:rFonts w:ascii="Times New Roman" w:hAnsi="Times New Roman"/>
          <w:sz w:val="20"/>
        </w:rPr>
      </w:pPr>
      <w:r>
        <w:rPr>
          <w:rFonts w:ascii="Arial;sans-serif" w:hAnsi="Arial;sans-serif"/>
          <w:b w:val="false"/>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We have based our calculation of the percentage of beneficial ownership on 40,863,049 shares of our common stock outstanding as of March 31, 2023. We have deemed shares of our common stock subject to stock options that are currently exercisable or exercisable within 60 days of March 31, 2023,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Unless otherwise indicated, the address of each beneficial owner listed in the table below is c/o ALX Oncology Holdings Inc., 323 Allerton Avenue, South San Francisco, California 94080.</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524"/>
        <w:gridCol w:w="146"/>
        <w:gridCol w:w="227"/>
        <w:gridCol w:w="1662"/>
        <w:gridCol w:w="146"/>
        <w:gridCol w:w="146"/>
        <w:gridCol w:w="503"/>
        <w:gridCol w:w="1659"/>
        <w:gridCol w:w="192"/>
      </w:tblGrid>
      <w:tr>
        <w:trPr/>
        <w:tc>
          <w:tcPr>
            <w:tcW w:w="55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5524"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NAME OF BENEFICIAL OWNER</w:t>
            </w:r>
          </w:p>
        </w:tc>
        <w:tc>
          <w:tcPr>
            <w:tcW w:w="146" w:type="dxa"/>
            <w:tcBorders/>
            <w:shd w:fill="auto" w:val="clear"/>
            <w:vAlign w:val="center"/>
          </w:tcPr>
          <w:p>
            <w:pPr>
              <w:pStyle w:val="TableContents"/>
              <w:spacing w:before="0" w:after="0"/>
              <w:ind w:left="0" w:right="0" w:hanging="0"/>
              <w:jc w:val="center"/>
              <w:rPr/>
            </w:pPr>
            <w:r>
              <w:rPr/>
              <w:t> </w:t>
            </w:r>
          </w:p>
        </w:tc>
        <w:tc>
          <w:tcPr>
            <w:tcW w:w="18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 SHARES</w:t>
              <w:br/>
              <w:t>BENEFICIALLY OWNED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PERCENTAGE OF SHARES</w:t>
              <w:br/>
              <w:t>BENEFICIALLY OWNED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2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5% or Greater Stockholders:</w:t>
            </w:r>
          </w:p>
        </w:tc>
        <w:tc>
          <w:tcPr>
            <w:tcW w:w="146" w:type="dxa"/>
            <w:tcBorders/>
            <w:shd w:fill="auto" w:val="clear"/>
            <w:vAlign w:val="center"/>
          </w:tcPr>
          <w:p>
            <w:pPr>
              <w:pStyle w:val="TableContents"/>
              <w:spacing w:before="0" w:after="0"/>
              <w:ind w:left="0" w:right="0" w:hanging="0"/>
              <w:jc w:val="left"/>
              <w:rPr/>
            </w:pPr>
            <w:r>
              <w:rPr/>
              <w:t> </w:t>
            </w:r>
          </w:p>
        </w:tc>
        <w:tc>
          <w:tcPr>
            <w:tcW w:w="188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2" w:type="dxa"/>
            <w:gridSpan w:val="2"/>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righ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Entities affiliated with venBio Partners</w:t>
            </w: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9,699,925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23.7</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FMR LLC</w:t>
            </w:r>
            <w:r>
              <w:rPr>
                <w:rFonts w:ascii="Arial;sans-serif" w:hAnsi="Arial;sans-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6,113,428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15.0</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Entities affiliated with Lightstone Ventures</w:t>
            </w:r>
            <w:r>
              <w:rPr>
                <w:rFonts w:ascii="Arial;sans-serif" w:hAnsi="Arial;sans-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4,526,963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11.1</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Entities affiliated with Vivo Capital</w:t>
            </w:r>
            <w:r>
              <w:rPr>
                <w:rFonts w:ascii="Arial;sans-serif" w:hAnsi="Arial;sans-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4,220,048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10.3</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Entities affiliated with OrbiMed Advisors LLC</w:t>
            </w:r>
            <w:r>
              <w:rPr>
                <w:rFonts w:ascii="Arial;sans-serif" w:hAnsi="Arial;sans-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2,871,000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Entities affiliated with Logos Capital</w:t>
            </w:r>
            <w:r>
              <w:rPr>
                <w:rFonts w:ascii="Arial;sans-serif" w:hAnsi="Arial;sans-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2,349,600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Named Executive Officers:</w:t>
            </w:r>
          </w:p>
        </w:tc>
        <w:tc>
          <w:tcPr>
            <w:tcW w:w="146" w:type="dxa"/>
            <w:tcBorders/>
            <w:shd w:fill="auto" w:val="clear"/>
            <w:vAlign w:val="center"/>
          </w:tcPr>
          <w:p>
            <w:pPr>
              <w:pStyle w:val="TableContents"/>
              <w:spacing w:before="0" w:after="0"/>
              <w:ind w:left="0" w:right="0" w:hanging="0"/>
              <w:jc w:val="left"/>
              <w:rPr/>
            </w:pPr>
            <w:r>
              <w:rPr/>
              <w:t> </w:t>
            </w:r>
          </w:p>
        </w:tc>
        <w:tc>
          <w:tcPr>
            <w:tcW w:w="188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2" w:type="dxa"/>
            <w:gridSpan w:val="2"/>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righ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Jaume Pons, Ph.D.</w:t>
            </w:r>
            <w:r>
              <w:rPr>
                <w:rFonts w:ascii="Arial;sans-serif" w:hAnsi="Arial;sans-serif"/>
                <w:b w:val="false"/>
                <w:sz w:val="13"/>
              </w:rPr>
              <w:t>(7)</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1,834,607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Peter Garcia</w:t>
            </w:r>
            <w:r>
              <w:rPr>
                <w:rFonts w:ascii="Arial;sans-serif" w:hAnsi="Arial;sans-serif"/>
                <w:b w:val="false"/>
                <w:sz w:val="13"/>
              </w:rPr>
              <w:t>(8)</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320,019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2"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Sophia Randolph, M.D., Ph.D.</w:t>
            </w:r>
            <w:r>
              <w:rPr>
                <w:rFonts w:ascii="Arial;sans-serif" w:hAnsi="Arial;sans-serif"/>
                <w:b w:val="false"/>
                <w:sz w:val="13"/>
              </w:rPr>
              <w:t>(9)</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485,266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Non-Employee Directors:</w:t>
            </w:r>
          </w:p>
        </w:tc>
        <w:tc>
          <w:tcPr>
            <w:tcW w:w="146" w:type="dxa"/>
            <w:tcBorders/>
            <w:shd w:fill="auto" w:val="clear"/>
            <w:vAlign w:val="center"/>
          </w:tcPr>
          <w:p>
            <w:pPr>
              <w:pStyle w:val="TableContents"/>
              <w:spacing w:before="0" w:after="0"/>
              <w:ind w:left="0" w:right="0" w:hanging="0"/>
              <w:jc w:val="left"/>
              <w:rPr/>
            </w:pPr>
            <w:r>
              <w:rPr/>
              <w:t> </w:t>
            </w:r>
          </w:p>
        </w:tc>
        <w:tc>
          <w:tcPr>
            <w:tcW w:w="188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2" w:type="dxa"/>
            <w:gridSpan w:val="2"/>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righ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Corey Goodman, Ph.D.</w:t>
            </w:r>
            <w:r>
              <w:rPr>
                <w:rFonts w:ascii="Arial;sans-serif" w:hAnsi="Arial;sans-serif"/>
                <w:b w:val="false"/>
                <w:sz w:val="13"/>
              </w:rPr>
              <w:t>(10)</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9,912,977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24.3</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Itziar Canamasas, Ph.D.</w:t>
            </w:r>
            <w:r>
              <w:rPr>
                <w:rFonts w:ascii="Arial;sans-serif" w:hAnsi="Arial;sans-serif"/>
                <w:b w:val="false"/>
                <w:sz w:val="13"/>
              </w:rPr>
              <w:t>(11)</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10,502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2"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Scott Garland</w:t>
            </w:r>
            <w:r>
              <w:rPr>
                <w:rFonts w:ascii="Arial;sans-serif" w:hAnsi="Arial;sans-serif"/>
                <w:b w:val="false"/>
                <w:sz w:val="13"/>
              </w:rPr>
              <w:t>(12)</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2"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Rekha Hemrajani</w:t>
            </w:r>
            <w:r>
              <w:rPr>
                <w:rFonts w:ascii="Arial;sans-serif" w:hAnsi="Arial;sans-serif"/>
                <w:b w:val="false"/>
                <w:sz w:val="13"/>
              </w:rPr>
              <w:t>(13)</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93,361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2"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Jason Lettmann</w:t>
            </w:r>
            <w:r>
              <w:rPr>
                <w:rFonts w:ascii="Arial;sans-serif" w:hAnsi="Arial;sans-serif"/>
                <w:b w:val="false"/>
                <w:sz w:val="13"/>
              </w:rPr>
              <w:t>(14)</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4,679,865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Jack Nielsen</w:t>
            </w:r>
            <w:r>
              <w:rPr>
                <w:rFonts w:ascii="Arial;sans-serif" w:hAnsi="Arial;sans-serif"/>
                <w:b w:val="false"/>
                <w:sz w:val="13"/>
              </w:rPr>
              <w:t>(15)</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4,265,730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10.4</w:t>
            </w:r>
          </w:p>
        </w:tc>
        <w:tc>
          <w:tcPr>
            <w:tcW w:w="192" w:type="dxa"/>
            <w:tcBorders/>
            <w:shd w:fill="auto" w:val="clear"/>
            <w:vAlign w:val="center"/>
          </w:tcPr>
          <w:p>
            <w:pPr>
              <w:pStyle w:val="TableContents"/>
              <w:spacing w:before="0" w:after="0"/>
              <w:ind w:left="0" w:right="0" w:hanging="0"/>
              <w:jc w:val="left"/>
              <w:rPr/>
            </w:pPr>
            <w:r>
              <w:rPr/>
              <w:t> </w:t>
            </w:r>
          </w:p>
        </w:tc>
      </w:tr>
      <w:tr>
        <w:trPr/>
        <w:tc>
          <w:tcPr>
            <w:tcW w:w="552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All current executive officers and directors as a group (10 persons)</w:t>
            </w:r>
            <w:r>
              <w:rPr>
                <w:rFonts w:ascii="Arial;sans-serif" w:hAnsi="Arial;sans-serif"/>
                <w:b w:val="false"/>
                <w:sz w:val="13"/>
              </w:rPr>
              <w:t>(16)</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66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21,690,258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3" w:type="dxa"/>
            <w:tcBorders/>
            <w:shd w:fill="auto" w:val="clear"/>
            <w:vAlign w:val="center"/>
          </w:tcPr>
          <w:p>
            <w:pPr>
              <w:pStyle w:val="TableContents"/>
              <w:spacing w:before="0" w:after="0"/>
              <w:ind w:left="0" w:right="0" w:hanging="0"/>
              <w:jc w:val="left"/>
              <w:rPr/>
            </w:pPr>
            <w:r>
              <w:rPr/>
              <w:t> </w:t>
            </w:r>
          </w:p>
        </w:tc>
        <w:tc>
          <w:tcPr>
            <w:tcW w:w="1659"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50.3</w:t>
            </w:r>
          </w:p>
        </w:tc>
        <w:tc>
          <w:tcPr>
            <w:tcW w:w="192"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0"/>
        </w:rPr>
        <w:t>* Represents beneficial ownership of less than one percent (1%) of the outstanding shares of our common stock.</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44</w:t>
      </w:r>
    </w:p>
    <w:p>
      <w:pPr>
        <w:pStyle w:val="HorizontalLine"/>
        <w:rPr/>
      </w:pPr>
      <w:r>
        <w:rPr/>
      </w:r>
    </w:p>
    <w:p>
      <w:pPr>
        <w:pStyle w:val="TextBody"/>
        <w:spacing w:before="0" w:after="0"/>
        <w:jc w:val="left"/>
        <w:rPr/>
      </w:pPr>
      <w:r>
        <w:rPr/>
        <w:t> </w:t>
      </w:r>
    </w:p>
    <w:p>
      <w:pPr>
        <w:pStyle w:val="TextBody"/>
        <w:spacing w:before="240" w:after="0"/>
        <w:jc w:val="left"/>
        <w:rPr>
          <w:rFonts w:ascii="Arial" w:hAnsi="Arial"/>
          <w:b w:val="false"/>
          <w:sz w:val="20"/>
        </w:rPr>
      </w:pPr>
      <w:r>
        <w:rPr>
          <w:rFonts w:ascii="Arial" w:hAnsi="Arial"/>
          <w:b w:val="false"/>
          <w:sz w:val="20"/>
        </w:rPr>
        <w:t>(1)</w:t>
      </w:r>
    </w:p>
    <w:p>
      <w:pPr>
        <w:pStyle w:val="TextBody"/>
        <w:spacing w:before="240" w:after="0"/>
        <w:jc w:val="left"/>
        <w:rPr>
          <w:rFonts w:ascii="Arial;sans-serif" w:hAnsi="Arial;sans-serif"/>
          <w:b w:val="false"/>
          <w:sz w:val="20"/>
        </w:rPr>
      </w:pPr>
      <w:r>
        <w:rPr>
          <w:rFonts w:ascii="Arial;sans-serif" w:hAnsi="Arial;sans-serif"/>
          <w:b w:val="false"/>
          <w:sz w:val="20"/>
        </w:rPr>
        <w:t xml:space="preserve">Based on a Schedule 13D reporting beneficial ownership as of, and filed with the SEC on, October 1, 2020, the shares consist of (i) 5,268,325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96,406 shares are held of record by Dr. Adelman. The address for these entities is c/o venBio Partners, LLC, 1700 Owens Street, Suite 595, San Francisco, California 94158. </w:t>
      </w:r>
    </w:p>
    <w:p>
      <w:pPr>
        <w:pStyle w:val="TextBody"/>
        <w:spacing w:before="120" w:after="0"/>
        <w:jc w:val="left"/>
        <w:rPr>
          <w:rFonts w:ascii="Arial" w:hAnsi="Arial"/>
          <w:b w:val="false"/>
          <w:sz w:val="20"/>
        </w:rPr>
      </w:pPr>
      <w:r>
        <w:rPr>
          <w:rFonts w:ascii="Arial" w:hAnsi="Arial"/>
          <w:b w:val="false"/>
          <w:sz w:val="20"/>
        </w:rPr>
        <w:t>(2)</w:t>
      </w:r>
    </w:p>
    <w:p>
      <w:pPr>
        <w:pStyle w:val="TextBody"/>
        <w:spacing w:before="120" w:after="0"/>
        <w:jc w:val="left"/>
        <w:rPr>
          <w:rFonts w:ascii="Arial;sans-serif" w:hAnsi="Arial;sans-serif"/>
          <w:b w:val="false"/>
          <w:sz w:val="20"/>
        </w:rPr>
      </w:pPr>
      <w:r>
        <w:rPr>
          <w:rFonts w:ascii="Arial;sans-serif" w:hAnsi="Arial;sans-serif"/>
          <w:b w:val="false"/>
          <w:sz w:val="20"/>
        </w:rPr>
        <w:t>Based on a Schedule 13G/A filed with the SEC on February 9, 2023 reporting stock ownership as of December 31, 2022, the reported shares of common stock are held of record by FMR LLC, certain of its subsidiaries and affiliates, and other companies and over which shares FMR LLC has sole dispositive power. FMR LLC has sole voting power with respect to 6,113,428 shares and sole dispositive power with respect to all reported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Ms. Johnson has the sole power to vote or direct the voting of the shares owned directly by the various investment companies registered under the Investment Company Act of 1940 (the Fidelity Funds), advised by Fidelity Management &amp; Research Company LLC (FMR Co), a wholly owned subsidiary of FMR LLC, which power resides in the Fidelity Funds’ Boards of Trustees. FMR Co carries out the voting of the shares under written guidelines established by the Fidelity Funds’ Boards of Trustees. The address for FMR LLC is 245 Summer Street, Boston, Massachusetts 02210.</w:t>
      </w:r>
    </w:p>
    <w:p>
      <w:pPr>
        <w:pStyle w:val="TextBody"/>
        <w:spacing w:before="120" w:after="0"/>
        <w:jc w:val="left"/>
        <w:rPr>
          <w:rFonts w:ascii="Arial" w:hAnsi="Arial"/>
          <w:b w:val="false"/>
          <w:sz w:val="20"/>
        </w:rPr>
      </w:pPr>
      <w:r>
        <w:rPr>
          <w:rFonts w:ascii="Arial" w:hAnsi="Arial"/>
          <w:b w:val="false"/>
          <w:sz w:val="20"/>
        </w:rPr>
        <w:t>(3)</w:t>
      </w:r>
    </w:p>
    <w:p>
      <w:pPr>
        <w:pStyle w:val="TextBody"/>
        <w:spacing w:before="120" w:after="0"/>
        <w:jc w:val="left"/>
        <w:rPr>
          <w:rFonts w:ascii="Arial;sans-serif" w:hAnsi="Arial;sans-serif"/>
          <w:b w:val="false"/>
          <w:sz w:val="20"/>
        </w:rPr>
      </w:pPr>
      <w:r>
        <w:rPr>
          <w:rFonts w:ascii="Arial;sans-serif" w:hAnsi="Arial;sans-serif"/>
          <w:b w:val="false"/>
          <w:sz w:val="20"/>
        </w:rPr>
        <w:t xml:space="preserve">Based on a Form 4 reporting beneficial ownership as of December 13, 2021 and filed with the SEC on December 15, 2021, the shares consist of (i) 2,097,326 shares held of record by Lightstone Ventures, LP (LV LP); (ii) 2,023,469 shares held of record by Lightstone Ventures II, LP (LV II LP); (iii) 285,956 shares held of record by Lightstone Ventures (A), LP (LV(A) LP); and (iv) 120,212 shares held of record by Lightstone Ventures II (A), LP (LV II(A) LP). LSV Associates, LLC (LSV Associates) is the General Partner of LV LP and LV(A) LP. As the managing directors of LSV Associates, Michael A. Carusi, Jean M. George and Henry A. Plain, Jr. share voting and dispositive power with respect to the shares held of record by LV LP and LV(A) LP. LSV Associates II, LLC (LSV Associates II) is the General Partner of LV II LP and LV II(A) LP. As the managing directors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 </w:t>
      </w:r>
    </w:p>
    <w:p>
      <w:pPr>
        <w:pStyle w:val="TextBody"/>
        <w:spacing w:before="120" w:after="0"/>
        <w:jc w:val="left"/>
        <w:rPr>
          <w:rFonts w:ascii="Arial" w:hAnsi="Arial"/>
          <w:b w:val="false"/>
          <w:sz w:val="20"/>
        </w:rPr>
      </w:pPr>
      <w:r>
        <w:rPr>
          <w:rFonts w:ascii="Arial" w:hAnsi="Arial"/>
          <w:b w:val="false"/>
          <w:sz w:val="20"/>
        </w:rPr>
        <w:t>(4)</w:t>
      </w:r>
    </w:p>
    <w:p>
      <w:pPr>
        <w:pStyle w:val="TextBody"/>
        <w:spacing w:before="120" w:after="283"/>
        <w:jc w:val="left"/>
        <w:rPr>
          <w:rFonts w:ascii="Arial;sans-serif" w:hAnsi="Arial;sans-serif"/>
          <w:b w:val="false"/>
          <w:sz w:val="20"/>
        </w:rPr>
      </w:pPr>
      <w:r>
        <w:rPr>
          <w:rFonts w:ascii="Arial;sans-serif" w:hAnsi="Arial;sans-serif"/>
          <w:b w:val="false"/>
          <w:sz w:val="20"/>
        </w:rPr>
        <w:t xml:space="preserve">Based on a Schedule 13G reporting beneficial ownership as of and filed with the SEC on, July 29, 2020, the shares consist of (i) 4,034,522 shares held of record by Vivo Capital Fund IX, L.P. (VIVO IX LP) and (ii) 185,526 shares held of record by Vivo Opportunity Fund, L.P. (VOF). Vivo Capital IX, LLC (VIVO IX LLC) is the General Partner of VIVO IX LP. As the managing members of VIVO IX LLC, Frank Kung, Edgar Engleman, Shan Fu, Jack Nielsen and Michael Chang share voting and dispositive power with respect to the shares held of record by VIVO IX LP. Vivo Opportunity, LLC is the general partner of VOF. As the managing members of Vivo Opportunity, LLC, Gaurav Aggarwal, Shan Fu, Frank King and Michael Chang share voting and dispositive power with respect to the shares held of record by VOF but each disclaims beneficial ownership of such shares except to the extent of his individual pecuniary interest therein. The address for these entities is c/o Vivo Capital, 192 Lytton Avenue, Palo Alto, California 94301. </w:t>
      </w:r>
    </w:p>
    <w:p>
      <w:pPr>
        <w:pStyle w:val="TextBody"/>
        <w:spacing w:before="200" w:after="0"/>
        <w:jc w:val="center"/>
        <w:rPr>
          <w:rFonts w:ascii="Arial;sans-serif" w:hAnsi="Arial;sans-serif"/>
          <w:b w:val="false"/>
          <w:sz w:val="20"/>
        </w:rPr>
      </w:pPr>
      <w:r>
        <w:rPr>
          <w:rFonts w:ascii="Arial;sans-serif" w:hAnsi="Arial;sans-serif"/>
          <w:b w:val="false"/>
          <w:sz w:val="20"/>
        </w:rPr>
        <w:t>45</w:t>
      </w:r>
    </w:p>
    <w:p>
      <w:pPr>
        <w:pStyle w:val="HorizontalLine"/>
        <w:rPr/>
      </w:pPr>
      <w:r>
        <w:rPr/>
      </w:r>
    </w:p>
    <w:p>
      <w:pPr>
        <w:pStyle w:val="TextBody"/>
        <w:spacing w:before="0" w:after="0"/>
        <w:jc w:val="left"/>
        <w:rPr/>
      </w:pPr>
      <w:r>
        <w:rPr/>
        <w:t> </w:t>
      </w:r>
    </w:p>
    <w:p>
      <w:pPr>
        <w:pStyle w:val="TextBody"/>
        <w:spacing w:before="120" w:after="0"/>
        <w:jc w:val="left"/>
        <w:rPr>
          <w:rFonts w:ascii="Arial" w:hAnsi="Arial"/>
          <w:b w:val="false"/>
          <w:sz w:val="20"/>
        </w:rPr>
      </w:pPr>
      <w:r>
        <w:rPr>
          <w:rFonts w:ascii="Arial" w:hAnsi="Arial"/>
          <w:b w:val="false"/>
          <w:sz w:val="20"/>
        </w:rPr>
        <w:t>(5)</w:t>
      </w:r>
    </w:p>
    <w:p>
      <w:pPr>
        <w:pStyle w:val="TextBody"/>
        <w:spacing w:before="120" w:after="0"/>
        <w:jc w:val="left"/>
        <w:rPr>
          <w:rFonts w:ascii="Arial;sans-serif" w:hAnsi="Arial;sans-serif"/>
          <w:b w:val="false"/>
          <w:sz w:val="20"/>
        </w:rPr>
      </w:pPr>
      <w:r>
        <w:rPr>
          <w:rFonts w:ascii="Arial;sans-serif" w:hAnsi="Arial;sans-serif"/>
          <w:b w:val="false"/>
          <w:sz w:val="20"/>
        </w:rPr>
        <w:t>Based on a Schedule 13G filed with the SEC on February 14, 2023 reporting stock ownership as of December 31, 2022, OrbiMed Capital LLC holds sole voting and dispositive power with respect to 2,266,000 shares and OrbiMed Advisors LLC holds shared voting and dispositive power with respect to 605,000 shares. The address for OrbiMed Capital LLC is 601 Lexington Avenue, 54th Floor, New York, New York 10022.</w:t>
      </w:r>
    </w:p>
    <w:p>
      <w:pPr>
        <w:pStyle w:val="TextBody"/>
        <w:spacing w:before="120" w:after="0"/>
        <w:jc w:val="left"/>
        <w:rPr>
          <w:rFonts w:ascii="Arial" w:hAnsi="Arial"/>
          <w:b w:val="false"/>
          <w:sz w:val="20"/>
        </w:rPr>
      </w:pPr>
      <w:r>
        <w:rPr>
          <w:rFonts w:ascii="Arial" w:hAnsi="Arial"/>
          <w:b w:val="false"/>
          <w:sz w:val="20"/>
        </w:rPr>
        <w:t>(6)</w:t>
      </w:r>
    </w:p>
    <w:p>
      <w:pPr>
        <w:pStyle w:val="TextBody"/>
        <w:spacing w:before="120" w:after="0"/>
        <w:jc w:val="left"/>
        <w:rPr>
          <w:rFonts w:ascii="Arial;sans-serif" w:hAnsi="Arial;sans-serif"/>
          <w:b w:val="false"/>
          <w:sz w:val="20"/>
        </w:rPr>
      </w:pPr>
      <w:r>
        <w:rPr>
          <w:rFonts w:ascii="Arial;sans-serif" w:hAnsi="Arial;sans-serif"/>
          <w:b w:val="false"/>
          <w:sz w:val="20"/>
        </w:rPr>
        <w:t xml:space="preserve">Based on a Schedule 13D/A reporting beneficial ownership as of June 14, 2021, and filed with the SEC on June 15, 2021, and updated based on a Schedule 13F reporting beneficial ownership as of December 31, 2022, and filed with the SEC on February 14, 2023 by Logos Global Management LP, the shares are held by Logos Global Management LP and its affiliated funds. Arsani William and Graham Walmsley are the managing members of Logos Global Management LP and its affiliated funds, and share voting and dispositive power over these shares. The address for these entities is c/o Logos Global Management, LP, 1 Letterman Drive, Building C, Suite C3-350, San Francisco, California 94129. </w:t>
      </w:r>
    </w:p>
    <w:p>
      <w:pPr>
        <w:pStyle w:val="TextBody"/>
        <w:spacing w:before="120" w:after="0"/>
        <w:jc w:val="left"/>
        <w:rPr>
          <w:rFonts w:ascii="Arial" w:hAnsi="Arial"/>
          <w:b w:val="false"/>
          <w:sz w:val="20"/>
        </w:rPr>
      </w:pPr>
      <w:r>
        <w:rPr>
          <w:rFonts w:ascii="Arial" w:hAnsi="Arial"/>
          <w:b w:val="false"/>
          <w:sz w:val="20"/>
        </w:rPr>
        <w:t>(7)</w:t>
      </w:r>
    </w:p>
    <w:p>
      <w:pPr>
        <w:pStyle w:val="TextBody"/>
        <w:spacing w:before="120" w:after="0"/>
        <w:jc w:val="left"/>
        <w:rPr>
          <w:rFonts w:ascii="Arial;sans-serif" w:hAnsi="Arial;sans-serif"/>
          <w:b w:val="false"/>
          <w:sz w:val="20"/>
        </w:rPr>
      </w:pPr>
      <w:r>
        <w:rPr>
          <w:rFonts w:ascii="Arial;sans-serif" w:hAnsi="Arial;sans-serif"/>
          <w:b w:val="false"/>
          <w:sz w:val="20"/>
        </w:rPr>
        <w:t xml:space="preserve">Consists of (i) 474,996 shares held of record by Dr. Pons and (ii) 1,359,611 shares issuable upon option exercise within 60 days of March 31, 2023, of which 1,177,902 are fully vested as of March 31, 2023. </w:t>
      </w:r>
    </w:p>
    <w:p>
      <w:pPr>
        <w:pStyle w:val="TextBody"/>
        <w:spacing w:before="120" w:after="0"/>
        <w:jc w:val="left"/>
        <w:rPr>
          <w:rFonts w:ascii="Arial" w:hAnsi="Arial"/>
          <w:b w:val="false"/>
          <w:sz w:val="20"/>
        </w:rPr>
      </w:pPr>
      <w:r>
        <w:rPr>
          <w:rFonts w:ascii="Arial" w:hAnsi="Arial"/>
          <w:b w:val="false"/>
          <w:sz w:val="20"/>
        </w:rPr>
        <w:t>(8)</w:t>
      </w:r>
    </w:p>
    <w:p>
      <w:pPr>
        <w:pStyle w:val="TextBody"/>
        <w:spacing w:before="120" w:after="0"/>
        <w:jc w:val="left"/>
        <w:rPr>
          <w:rFonts w:ascii="Arial;sans-serif" w:hAnsi="Arial;sans-serif"/>
          <w:b w:val="false"/>
          <w:sz w:val="20"/>
        </w:rPr>
      </w:pPr>
      <w:r>
        <w:rPr>
          <w:rFonts w:ascii="Arial;sans-serif" w:hAnsi="Arial;sans-serif"/>
          <w:b w:val="false"/>
          <w:sz w:val="20"/>
        </w:rPr>
        <w:t xml:space="preserve">Consists of (i) 28,348 shares held of record by Mr. Garcia and (ii) 291,671 shares issuable upon option exercise within 60 days of March 31, 2023, of which 221,945 are fully vested as of March 31, 2023. </w:t>
      </w:r>
    </w:p>
    <w:p>
      <w:pPr>
        <w:pStyle w:val="TextBody"/>
        <w:spacing w:before="120" w:after="0"/>
        <w:jc w:val="left"/>
        <w:rPr>
          <w:rFonts w:ascii="Arial" w:hAnsi="Arial"/>
          <w:b w:val="false"/>
          <w:sz w:val="20"/>
        </w:rPr>
      </w:pPr>
      <w:r>
        <w:rPr>
          <w:rFonts w:ascii="Arial" w:hAnsi="Arial"/>
          <w:b w:val="false"/>
          <w:sz w:val="20"/>
        </w:rPr>
        <w:t>(9)</w:t>
      </w:r>
    </w:p>
    <w:p>
      <w:pPr>
        <w:pStyle w:val="TextBody"/>
        <w:spacing w:before="120" w:after="0"/>
        <w:jc w:val="left"/>
        <w:rPr>
          <w:rFonts w:ascii="Arial;sans-serif" w:hAnsi="Arial;sans-serif"/>
          <w:b w:val="false"/>
          <w:sz w:val="20"/>
        </w:rPr>
      </w:pPr>
      <w:r>
        <w:rPr>
          <w:rFonts w:ascii="Arial;sans-serif" w:hAnsi="Arial;sans-serif"/>
          <w:b w:val="false"/>
          <w:sz w:val="20"/>
        </w:rPr>
        <w:t xml:space="preserve">Consists of (i) 237,878 shares held of record by Dr. Randolph and (ii) 247,388 shares issuable upon option exercise within 60 days of March 31, 2023, of which 194,037 are fully vested as of March 31, 2023. </w:t>
      </w:r>
    </w:p>
    <w:p>
      <w:pPr>
        <w:pStyle w:val="TextBody"/>
        <w:spacing w:before="120" w:after="0"/>
        <w:jc w:val="left"/>
        <w:rPr>
          <w:rFonts w:ascii="Arial" w:hAnsi="Arial"/>
          <w:b w:val="false"/>
          <w:sz w:val="20"/>
        </w:rPr>
      </w:pPr>
      <w:r>
        <w:rPr>
          <w:rFonts w:ascii="Arial" w:hAnsi="Arial"/>
          <w:b w:val="false"/>
          <w:sz w:val="20"/>
        </w:rPr>
        <w:t>(10)</w:t>
      </w:r>
    </w:p>
    <w:p>
      <w:pPr>
        <w:pStyle w:val="TextBody"/>
        <w:spacing w:before="120" w:after="0"/>
        <w:jc w:val="left"/>
        <w:rPr>
          <w:rFonts w:ascii="Arial;sans-serif" w:hAnsi="Arial;sans-serif"/>
          <w:b w:val="false"/>
          <w:sz w:val="20"/>
        </w:rPr>
      </w:pPr>
      <w:r>
        <w:rPr>
          <w:rFonts w:ascii="Arial;sans-serif" w:hAnsi="Arial;sans-serif"/>
          <w:b w:val="false"/>
          <w:sz w:val="20"/>
        </w:rPr>
        <w:t>Consists of (i) the shares disclosed in footnote (1) above which are held of record by entities affiliated with venBio Partners; (ii) 113,287 shares held of record by the Goodman Barinaga Trust for which Dr. Goodman serves as trustee; (iii) 54,083 shares held of record by the Emaldi Corporation for which Dr. Goodman serves as a director and (iv) 45,682 shares issuable upon option exercise within 60 days of March 31, 2023.</w:t>
      </w:r>
    </w:p>
    <w:p>
      <w:pPr>
        <w:pStyle w:val="TextBody"/>
        <w:spacing w:before="120" w:after="0"/>
        <w:jc w:val="left"/>
        <w:rPr>
          <w:rFonts w:ascii="Arial" w:hAnsi="Arial"/>
          <w:b w:val="false"/>
          <w:sz w:val="20"/>
        </w:rPr>
      </w:pPr>
      <w:r>
        <w:rPr>
          <w:rFonts w:ascii="Arial" w:hAnsi="Arial"/>
          <w:b w:val="false"/>
          <w:sz w:val="20"/>
        </w:rPr>
        <w:t>(11)</w:t>
      </w:r>
    </w:p>
    <w:p>
      <w:pPr>
        <w:pStyle w:val="TextBody"/>
        <w:spacing w:before="120" w:after="0"/>
        <w:jc w:val="left"/>
        <w:rPr>
          <w:rFonts w:ascii="Arial;sans-serif" w:hAnsi="Arial;sans-serif"/>
          <w:b w:val="false"/>
          <w:sz w:val="20"/>
        </w:rPr>
      </w:pPr>
      <w:r>
        <w:rPr>
          <w:rFonts w:ascii="Arial;sans-serif" w:hAnsi="Arial;sans-serif"/>
          <w:b w:val="false"/>
          <w:sz w:val="20"/>
        </w:rPr>
        <w:t>Consists of 10,502 shares issuable upon option exercise within 60 days of March 31, 2023.</w:t>
      </w:r>
    </w:p>
    <w:p>
      <w:pPr>
        <w:pStyle w:val="TextBody"/>
        <w:spacing w:before="120" w:after="0"/>
        <w:jc w:val="left"/>
        <w:rPr>
          <w:rFonts w:ascii="Arial" w:hAnsi="Arial"/>
          <w:b w:val="false"/>
          <w:sz w:val="20"/>
        </w:rPr>
      </w:pPr>
      <w:r>
        <w:rPr>
          <w:rFonts w:ascii="Arial" w:hAnsi="Arial"/>
          <w:b w:val="false"/>
          <w:sz w:val="20"/>
        </w:rPr>
        <w:t>(12)</w:t>
      </w:r>
    </w:p>
    <w:p>
      <w:pPr>
        <w:pStyle w:val="TextBody"/>
        <w:spacing w:before="120" w:after="0"/>
        <w:jc w:val="left"/>
        <w:rPr>
          <w:rFonts w:ascii="Arial;sans-serif" w:hAnsi="Arial;sans-serif"/>
          <w:b w:val="false"/>
          <w:sz w:val="20"/>
        </w:rPr>
      </w:pPr>
      <w:r>
        <w:rPr>
          <w:rFonts w:ascii="Arial;sans-serif" w:hAnsi="Arial;sans-serif"/>
          <w:b w:val="false"/>
          <w:sz w:val="20"/>
        </w:rPr>
        <w:t>Consists of 4,001 shares issuable upon option exercise within 60 days of March 31, 2023.</w:t>
      </w:r>
    </w:p>
    <w:p>
      <w:pPr>
        <w:pStyle w:val="TextBody"/>
        <w:spacing w:before="120" w:after="0"/>
        <w:jc w:val="left"/>
        <w:rPr>
          <w:rFonts w:ascii="Arial" w:hAnsi="Arial"/>
          <w:b w:val="false"/>
          <w:sz w:val="20"/>
        </w:rPr>
      </w:pPr>
      <w:r>
        <w:rPr>
          <w:rFonts w:ascii="Arial" w:hAnsi="Arial"/>
          <w:b w:val="false"/>
          <w:sz w:val="20"/>
        </w:rPr>
        <w:t>(13)</w:t>
      </w:r>
    </w:p>
    <w:p>
      <w:pPr>
        <w:pStyle w:val="TextBody"/>
        <w:spacing w:before="120" w:after="0"/>
        <w:jc w:val="left"/>
        <w:rPr>
          <w:rFonts w:ascii="Arial;sans-serif" w:hAnsi="Arial;sans-serif"/>
          <w:b w:val="false"/>
          <w:sz w:val="20"/>
        </w:rPr>
      </w:pPr>
      <w:r>
        <w:rPr>
          <w:rFonts w:ascii="Arial;sans-serif" w:hAnsi="Arial;sans-serif"/>
          <w:b w:val="false"/>
          <w:sz w:val="20"/>
        </w:rPr>
        <w:t xml:space="preserve">Consists of (i) 3,000 shares held of record by Ms. Hemrajani and (ii) 90,361 shares issuable upon option exercise within 60 days of March 31, 2023. </w:t>
      </w:r>
    </w:p>
    <w:p>
      <w:pPr>
        <w:pStyle w:val="TextBody"/>
        <w:spacing w:before="120" w:after="0"/>
        <w:jc w:val="left"/>
        <w:rPr>
          <w:rFonts w:ascii="Arial" w:hAnsi="Arial"/>
          <w:b w:val="false"/>
          <w:sz w:val="20"/>
        </w:rPr>
      </w:pPr>
      <w:r>
        <w:rPr>
          <w:rFonts w:ascii="Arial" w:hAnsi="Arial"/>
          <w:b w:val="false"/>
          <w:sz w:val="20"/>
        </w:rPr>
        <w:t>(14)</w:t>
      </w:r>
    </w:p>
    <w:p>
      <w:pPr>
        <w:pStyle w:val="TextBody"/>
        <w:spacing w:before="120" w:after="0"/>
        <w:jc w:val="left"/>
        <w:rPr>
          <w:rFonts w:ascii="Arial;sans-serif" w:hAnsi="Arial;sans-serif"/>
          <w:b w:val="false"/>
          <w:sz w:val="20"/>
        </w:rPr>
      </w:pPr>
      <w:r>
        <w:rPr>
          <w:rFonts w:ascii="Arial;sans-serif" w:hAnsi="Arial;sans-serif"/>
          <w:b w:val="false"/>
          <w:sz w:val="20"/>
        </w:rPr>
        <w:t xml:space="preserve">Consists of (i) the shares disclosed in footnote (3) above which are held of record by entities affiliated with Lightstone Ventures; (ii) 107,220 shares held of record by Mr. Lettmann and (iii) 45,682 shares issuable upon option exercise within 60 days of March 31, 2023. </w:t>
      </w:r>
    </w:p>
    <w:p>
      <w:pPr>
        <w:pStyle w:val="TextBody"/>
        <w:spacing w:before="120" w:after="0"/>
        <w:jc w:val="left"/>
        <w:rPr>
          <w:rFonts w:ascii="Arial" w:hAnsi="Arial"/>
          <w:b w:val="false"/>
          <w:sz w:val="20"/>
        </w:rPr>
      </w:pPr>
      <w:r>
        <w:rPr>
          <w:rFonts w:ascii="Arial" w:hAnsi="Arial"/>
          <w:b w:val="false"/>
          <w:sz w:val="20"/>
        </w:rPr>
        <w:t>(15)</w:t>
      </w:r>
    </w:p>
    <w:p>
      <w:pPr>
        <w:pStyle w:val="TextBody"/>
        <w:spacing w:before="120" w:after="0"/>
        <w:jc w:val="left"/>
        <w:rPr>
          <w:rFonts w:ascii="Arial;sans-serif" w:hAnsi="Arial;sans-serif"/>
          <w:b w:val="false"/>
          <w:sz w:val="20"/>
        </w:rPr>
      </w:pPr>
      <w:r>
        <w:rPr>
          <w:rFonts w:ascii="Arial;sans-serif" w:hAnsi="Arial;sans-serif"/>
          <w:b w:val="false"/>
          <w:sz w:val="20"/>
        </w:rPr>
        <w:t xml:space="preserve">Consists of (i) the shares disclosed in footnote (4) above that are held of record by VIVO IX LP and (ii) 45,682 shares issuable upon option exercise within 60 days of March 31, 2023. </w:t>
      </w:r>
    </w:p>
    <w:p>
      <w:pPr>
        <w:pStyle w:val="TextBody"/>
        <w:spacing w:before="120" w:after="0"/>
        <w:jc w:val="left"/>
        <w:rPr>
          <w:rFonts w:ascii="Arial" w:hAnsi="Arial"/>
          <w:b w:val="false"/>
          <w:sz w:val="20"/>
        </w:rPr>
      </w:pPr>
      <w:r>
        <w:rPr>
          <w:rFonts w:ascii="Arial" w:hAnsi="Arial"/>
          <w:b w:val="false"/>
          <w:sz w:val="20"/>
        </w:rPr>
        <w:t>(16)</w:t>
      </w:r>
    </w:p>
    <w:p>
      <w:pPr>
        <w:pStyle w:val="TextBody"/>
        <w:spacing w:before="120" w:after="283"/>
        <w:jc w:val="left"/>
        <w:rPr>
          <w:rFonts w:ascii="Arial;sans-serif" w:hAnsi="Arial;sans-serif"/>
          <w:b w:val="false"/>
          <w:sz w:val="20"/>
        </w:rPr>
      </w:pPr>
      <w:r>
        <w:rPr>
          <w:rFonts w:ascii="Arial;sans-serif" w:hAnsi="Arial;sans-serif"/>
          <w:b w:val="false"/>
          <w:sz w:val="20"/>
        </w:rPr>
        <w:t xml:space="preserve">Consists of (i) 19,468,220 shares beneficially owned by our current executive officers and directors and (ii) 2,222,038 shares issuable upon option exercise within 60 days of March 31, 2023. </w:t>
      </w:r>
    </w:p>
    <w:p>
      <w:pPr>
        <w:pStyle w:val="TextBody"/>
        <w:spacing w:before="200" w:after="0"/>
        <w:jc w:val="center"/>
        <w:rPr>
          <w:rFonts w:ascii="Arial;sans-serif" w:hAnsi="Arial;sans-serif"/>
          <w:b w:val="false"/>
          <w:sz w:val="20"/>
        </w:rPr>
      </w:pPr>
      <w:r>
        <w:rPr>
          <w:rFonts w:ascii="Arial;sans-serif" w:hAnsi="Arial;sans-serif"/>
          <w:b w:val="false"/>
          <w:sz w:val="20"/>
        </w:rPr>
        <w:t>46</w:t>
      </w:r>
    </w:p>
    <w:p>
      <w:pPr>
        <w:pStyle w:val="HorizontalLine"/>
        <w:rPr/>
      </w:pPr>
      <w:r>
        <w:rPr/>
      </w:r>
    </w:p>
    <w:p>
      <w:pPr>
        <w:pStyle w:val="TextBody"/>
        <w:spacing w:before="0" w:after="0"/>
        <w:jc w:val="left"/>
        <w:rPr/>
      </w:pPr>
      <w:r>
        <w:rPr/>
        <w:t> </w:t>
      </w:r>
    </w:p>
    <w:p>
      <w:pPr>
        <w:pStyle w:val="TextBody"/>
        <w:spacing w:before="0" w:after="0"/>
        <w:jc w:val="center"/>
        <w:rPr>
          <w:rFonts w:ascii="Arial;sans-serif" w:hAnsi="Arial;sans-serif"/>
          <w:b/>
          <w:sz w:val="20"/>
        </w:rPr>
      </w:pPr>
      <w:bookmarkStart w:id="49" w:name="certain_relationships_related_party"/>
      <w:bookmarkEnd w:id="49"/>
      <w:r>
        <w:rPr>
          <w:rFonts w:ascii="Arial;sans-serif" w:hAnsi="Arial;sans-serif"/>
          <w:b/>
          <w:sz w:val="20"/>
        </w:rPr>
        <w:t>CERTAIN RELATIONSHIPS, RELATED PARTY AND OTHER TRANSACTIONS</w:t>
      </w:r>
    </w:p>
    <w:p>
      <w:pPr>
        <w:pStyle w:val="TextBody"/>
        <w:spacing w:before="240" w:after="0"/>
        <w:jc w:val="left"/>
        <w:rPr>
          <w:rFonts w:ascii="Times New Roman" w:hAnsi="Times New Roman"/>
          <w:sz w:val="20"/>
        </w:rPr>
      </w:pPr>
      <w:r>
        <w:rPr>
          <w:rFonts w:ascii="Arial;sans-serif" w:hAnsi="Arial;sans-serif"/>
          <w:b w:val="false"/>
          <w:sz w:val="20"/>
        </w:rPr>
        <w:t>The following is a description of certain relationships and transactions since the beginning of our last fiscal year involving our directors, executive officers or beneficial holders of more than 5% of our capital stock. Compensation arrangements with our directors and officers are described in “Management—Director Compensation,” “Executive Compensation” and “Management.”</w:t>
      </w:r>
      <w:r>
        <w:rPr>
          <w:rFonts w:ascii="Times New Roman" w:hAnsi="Times New Roman"/>
          <w:sz w:val="20"/>
        </w:rPr>
        <w:t xml:space="preserve"> </w:t>
      </w:r>
    </w:p>
    <w:p>
      <w:pPr>
        <w:pStyle w:val="TextBody"/>
        <w:spacing w:before="360" w:after="0"/>
        <w:jc w:val="left"/>
        <w:rPr>
          <w:rFonts w:ascii="Times New Roman" w:hAnsi="Times New Roman"/>
          <w:sz w:val="20"/>
        </w:rPr>
      </w:pPr>
      <w:bookmarkStart w:id="50" w:name="investors_rights_agreement"/>
      <w:bookmarkEnd w:id="50"/>
      <w:r>
        <w:rPr>
          <w:rFonts w:ascii="Arial;sans-serif" w:hAnsi="Arial;sans-serif"/>
          <w:b/>
          <w:sz w:val="20"/>
        </w:rPr>
        <w:t>Investors’ Rights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w:t>
      </w:r>
      <w:r>
        <w:rPr>
          <w:rFonts w:ascii="Times New Roman" w:hAnsi="Times New Roman"/>
          <w:sz w:val="20"/>
        </w:rPr>
        <w:t xml:space="preserve"> </w:t>
      </w:r>
    </w:p>
    <w:p>
      <w:pPr>
        <w:pStyle w:val="TextBody"/>
        <w:spacing w:before="360" w:after="0"/>
        <w:jc w:val="left"/>
        <w:rPr>
          <w:rFonts w:ascii="Times New Roman" w:hAnsi="Times New Roman"/>
          <w:sz w:val="20"/>
        </w:rPr>
      </w:pPr>
      <w:bookmarkStart w:id="51" w:name="venbio_consulting_agreement"/>
      <w:bookmarkEnd w:id="51"/>
      <w:r>
        <w:rPr>
          <w:rFonts w:ascii="Arial;sans-serif" w:hAnsi="Arial;sans-serif"/>
          <w:b/>
          <w:sz w:val="20"/>
        </w:rPr>
        <w:t>venBio Consulting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In January 2017, Dr. Jaume Pons, our Chief Executive Officer and the Chief Executive Officer of ALX Oncology Limited, entered into 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each year from 2017 to 2022. The consulting agreement remains in effect until terminated by either party with or without prior notice.</w:t>
      </w:r>
      <w:r>
        <w:rPr>
          <w:rFonts w:ascii="Times New Roman" w:hAnsi="Times New Roman"/>
          <w:sz w:val="20"/>
        </w:rPr>
        <w:t xml:space="preserve"> </w:t>
      </w:r>
    </w:p>
    <w:p>
      <w:pPr>
        <w:pStyle w:val="TextBody"/>
        <w:spacing w:before="360" w:after="0"/>
        <w:jc w:val="left"/>
        <w:rPr>
          <w:rFonts w:ascii="Times New Roman" w:hAnsi="Times New Roman"/>
          <w:sz w:val="20"/>
        </w:rPr>
      </w:pPr>
      <w:bookmarkStart w:id="52" w:name="tallac_therapeutics_agreements"/>
      <w:bookmarkEnd w:id="52"/>
      <w:r>
        <w:rPr>
          <w:rFonts w:ascii="Arial;sans-serif" w:hAnsi="Arial;sans-serif"/>
          <w:b/>
          <w:sz w:val="20"/>
        </w:rPr>
        <w:t>Tallac Therapeutics Agreements</w:t>
      </w:r>
      <w:r>
        <w:rPr>
          <w:rFonts w:ascii="Times New Roman" w:hAnsi="Times New Roman"/>
          <w:sz w:val="20"/>
        </w:rPr>
        <w:t xml:space="preserve"> </w:t>
      </w:r>
    </w:p>
    <w:p>
      <w:pPr>
        <w:pStyle w:val="TextBody"/>
        <w:spacing w:before="120" w:after="240"/>
        <w:jc w:val="left"/>
        <w:rPr>
          <w:rFonts w:ascii="Times New Roman" w:hAnsi="Times New Roman"/>
          <w:sz w:val="20"/>
        </w:rPr>
      </w:pPr>
      <w:r>
        <w:rPr>
          <w:rFonts w:ascii="Arial;sans-serif" w:hAnsi="Arial;sans-serif"/>
          <w:b w:val="false"/>
          <w:sz w:val="20"/>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r>
        <w:rPr>
          <w:rFonts w:ascii="Times New Roman" w:hAnsi="Times New Roman"/>
          <w:sz w:val="20"/>
        </w:rPr>
        <w:t xml:space="preserve"> </w:t>
      </w:r>
    </w:p>
    <w:p>
      <w:pPr>
        <w:pStyle w:val="TextBody"/>
        <w:spacing w:before="240" w:after="0"/>
        <w:jc w:val="left"/>
        <w:rPr>
          <w:rFonts w:ascii="Arial;sans-serif" w:hAnsi="Arial;sans-serif"/>
          <w:b w:val="false"/>
          <w:sz w:val="20"/>
        </w:rPr>
      </w:pPr>
      <w:r>
        <w:rPr>
          <w:rFonts w:ascii="Arial;sans-serif" w:hAnsi="Arial;sans-serif"/>
          <w:b w:val="false"/>
          <w:sz w:val="20"/>
        </w:rPr>
        <w:t>In July 2020, we assigned to Tallac Therapeutics our lease with respect to our premises located at 866 Malcolm Road, Burlingame, California 94010, and received a sublease for such premises from Tallac Therapeutics. We paid Tallac Therapeutics approximately $65.5 and $128.4 thousand under the sublease in the years ended December 31, 2022 and 2021, respectively.</w:t>
      </w:r>
    </w:p>
    <w:p>
      <w:pPr>
        <w:pStyle w:val="TextBody"/>
        <w:spacing w:before="240" w:after="0"/>
        <w:jc w:val="left"/>
        <w:rPr>
          <w:rFonts w:ascii="Arial;sans-serif" w:hAnsi="Arial;sans-serif"/>
          <w:b w:val="false"/>
          <w:sz w:val="20"/>
        </w:rPr>
      </w:pPr>
      <w:r>
        <w:rPr>
          <w:rFonts w:ascii="Arial;sans-serif" w:hAnsi="Arial;sans-serif"/>
          <w:b w:val="false"/>
          <w:sz w:val="20"/>
        </w:rPr>
        <w:t>In July 2020, we also entered into a research and development services agreement, or the Tallac Services Agreement, with Tallac Therapeutics. The Tallac Services Agreement provides that Tallac Therapeutics will provide certain preclinical research services to the Company for a service fee based on the costs incurred by Tallac Therapeutics plus a mark-up equal to 10.0% of such costs. In connection with the Tallac Services Agreement, we recorded $0.6 and $0.8 million in research and development, or R&amp;D, costs in the years ended December 31, 2022 and 2021, respectively.</w:t>
      </w:r>
    </w:p>
    <w:p>
      <w:pPr>
        <w:pStyle w:val="TextBody"/>
        <w:spacing w:before="240" w:after="0"/>
        <w:jc w:val="left"/>
        <w:rPr>
          <w:rFonts w:ascii="Times New Roman" w:hAnsi="Times New Roman"/>
          <w:sz w:val="20"/>
        </w:rPr>
      </w:pPr>
      <w:r>
        <w:rPr>
          <w:rFonts w:ascii="Arial;sans-serif" w:hAnsi="Arial;sans-serif"/>
          <w:b w:val="false"/>
          <w:sz w:val="20"/>
        </w:rPr>
        <w:t>In March 2021, we entered into a Collaboration Agreement with Tallac Therapeutics pursuant to which we expect to jointly develop, manufacture, and commercialize a novel class of cancer immunotherapeutics. The collaboration builds on our expertise in developing therapies that block the CD47 checkpoint pathway and expands our immuno-oncology pipeline. Together with Tallac Therapeutics, we will leverage our respective scientific and technical expertise to advance an anti-SIRPα antibody conjugated to a Toll-like receptor 9 agonist for targeted activation of both the innate and adaptive immune systems. We and Tallac Therapeutics will share equally in the cost and expenses of R&amp;D and any profit or loss. In connection with this Collaboration Agreement, we recorded $7.8 and $2.8 million in R&amp;D costs in the years ended December 31, 2022 and 2021, respectively.</w:t>
        <w:br/>
      </w:r>
      <w:r>
        <w:rPr>
          <w:rFonts w:ascii="Times New Roman" w:hAnsi="Times New Roman"/>
          <w:sz w:val="20"/>
        </w:rPr>
        <w:t> </w:t>
      </w:r>
    </w:p>
    <w:p>
      <w:pPr>
        <w:pStyle w:val="TextBody"/>
        <w:spacing w:before="200" w:after="0"/>
        <w:jc w:val="center"/>
        <w:rPr>
          <w:rFonts w:ascii="Arial;sans-serif" w:hAnsi="Arial;sans-serif"/>
          <w:b w:val="false"/>
          <w:sz w:val="20"/>
        </w:rPr>
      </w:pPr>
      <w:r>
        <w:rPr>
          <w:rFonts w:ascii="Arial;sans-serif" w:hAnsi="Arial;sans-serif"/>
          <w:b w:val="false"/>
          <w:sz w:val="20"/>
        </w:rPr>
        <w:t>47</w:t>
      </w:r>
    </w:p>
    <w:p>
      <w:pPr>
        <w:pStyle w:val="HorizontalLine"/>
        <w:rPr/>
      </w:pPr>
      <w:r>
        <w:rPr/>
      </w:r>
    </w:p>
    <w:p>
      <w:pPr>
        <w:pStyle w:val="TextBody"/>
        <w:spacing w:before="0" w:after="0"/>
        <w:jc w:val="left"/>
        <w:rPr/>
      </w:pPr>
      <w:r>
        <w:rPr/>
        <w:t> </w:t>
      </w:r>
    </w:p>
    <w:p>
      <w:pPr>
        <w:pStyle w:val="TextBody"/>
        <w:spacing w:before="360" w:after="0"/>
        <w:jc w:val="left"/>
        <w:rPr>
          <w:rFonts w:ascii="Arial;sans-serif" w:hAnsi="Arial;sans-serif"/>
          <w:b/>
          <w:sz w:val="20"/>
        </w:rPr>
      </w:pPr>
      <w:bookmarkStart w:id="53" w:name="acquisition_of_scalmibio_inc"/>
      <w:bookmarkEnd w:id="53"/>
      <w:r>
        <w:rPr>
          <w:rFonts w:ascii="Arial;sans-serif" w:hAnsi="Arial;sans-serif"/>
          <w:b/>
          <w:sz w:val="20"/>
        </w:rPr>
        <w:t>Acquisition of ScalmiBio, Inc.</w:t>
      </w:r>
    </w:p>
    <w:p>
      <w:pPr>
        <w:pStyle w:val="TextBody"/>
        <w:spacing w:before="120" w:after="0"/>
        <w:jc w:val="left"/>
        <w:rPr>
          <w:rFonts w:ascii="Arial;sans-serif" w:hAnsi="Arial;sans-serif"/>
          <w:b w:val="false"/>
          <w:sz w:val="20"/>
        </w:rPr>
      </w:pPr>
      <w:r>
        <w:rPr>
          <w:rFonts w:ascii="Arial;sans-serif" w:hAnsi="Arial;sans-serif"/>
          <w:b w:val="false"/>
          <w:sz w:val="20"/>
        </w:rPr>
        <w:t>On October 4, 2021, we entered into a share purchase agreement by and among us, ScalmiBio, Inc. (ScalmiBio) and the stockholders of ScalmiBio. Under the terms of the share purchase agreement, we made an initial payment to the stockholders of ScalmiBio of approximately $4.5 million in cash, net of certain expenses and adjustments. We made an additional payment of $2.0 million in cash at the one-year anniversary of the transaction, October 4, 2022, as certain conditions were met. In addition, we have agreed to pay certain milestones based on the clinical development of the acquired ScalmiBio technology, with a maximum amount of milestones payable equal to $35.0 million in the aggregate. We have also agreed to pay a low single digit royalty on net sales of any products developed from the ScalmiBio acquired technology for a defined term, and we may exercise a buy-out right of such royalty for a one-time payment on a product-by-product basis. We have the option to pay up to 50% of the milestones and 50% of the buy-out right in shares of our common stock subject to certain limitations. Any shares, if issued, will be issued pursuant to exemptions from registration provided by Section 4(a)(2) of the Securities Act of 1933, as amended. The share purchase agreement contains customary terms and conditions, including holdback and indemnity provisions.</w:t>
      </w:r>
    </w:p>
    <w:p>
      <w:pPr>
        <w:pStyle w:val="TextBody"/>
        <w:spacing w:before="240" w:after="0"/>
        <w:jc w:val="left"/>
        <w:rPr>
          <w:rFonts w:ascii="Arial;sans-serif" w:hAnsi="Arial;sans-serif"/>
          <w:b w:val="false"/>
          <w:sz w:val="20"/>
        </w:rPr>
      </w:pPr>
      <w:r>
        <w:rPr>
          <w:rFonts w:ascii="Arial;sans-serif" w:hAnsi="Arial;sans-serif"/>
          <w:b w:val="false"/>
          <w:sz w:val="20"/>
        </w:rPr>
        <w:t>Dr. Jaume Pons, our Chief Executive Officer and director, was also a stockholder of ScalmiBio, Inc. and, prior to the acquisition, a director of ScalmiBio. Dr. Pons owned 31.7% of ScalmiBio and as a result will receive his proportional share of the consideration from us as described above. In addition, out of the closing proceeds, Dr. Pons received approximately $87,000 for the repayment of a note and accrued interest that Dr. Pons loaned to ScalmiBio. Given Dr. Pons’ interest in the ScalmiBio acquisition, the audit committee approved the acquisition of ScalmiBio under the related-party transaction policy. In addition, Dr. Pons recused himself and did not participate in the negotiation of the transaction or the subsequent approval by the board of directors of the ScalmiBio acquisition.</w:t>
      </w:r>
    </w:p>
    <w:p>
      <w:pPr>
        <w:pStyle w:val="TextBody"/>
        <w:spacing w:before="360" w:after="0"/>
        <w:jc w:val="left"/>
        <w:rPr>
          <w:rFonts w:ascii="Times New Roman" w:hAnsi="Times New Roman"/>
          <w:sz w:val="20"/>
        </w:rPr>
      </w:pPr>
      <w:bookmarkStart w:id="54" w:name="indemnification_agreements"/>
      <w:bookmarkEnd w:id="54"/>
      <w:r>
        <w:rPr>
          <w:rFonts w:ascii="Arial;sans-serif" w:hAnsi="Arial;sans-serif"/>
          <w:b/>
          <w:sz w:val="20"/>
        </w:rPr>
        <w:t>Indemnification Agreements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w:t>
      </w:r>
      <w:r>
        <w:rPr>
          <w:rFonts w:ascii="Times New Roman" w:hAnsi="Times New Roman"/>
          <w:sz w:val="20"/>
        </w:rPr>
        <w:t xml:space="preserve"> </w:t>
      </w:r>
    </w:p>
    <w:p>
      <w:pPr>
        <w:pStyle w:val="TextBody"/>
        <w:spacing w:before="360" w:after="0"/>
        <w:jc w:val="left"/>
        <w:rPr>
          <w:rFonts w:ascii="Times New Roman" w:hAnsi="Times New Roman"/>
          <w:sz w:val="20"/>
        </w:rPr>
      </w:pPr>
      <w:bookmarkStart w:id="55" w:name="related_party_transaction_policy"/>
      <w:bookmarkEnd w:id="55"/>
      <w:r>
        <w:rPr>
          <w:rFonts w:ascii="Arial;sans-serif" w:hAnsi="Arial;sans-serif"/>
          <w:b/>
          <w:sz w:val="20"/>
        </w:rPr>
        <w:t>Related-Party Transaction Policy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related-party transaction.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Our board of directors has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r>
        <w:rPr>
          <w:rFonts w:ascii="Times New Roman" w:hAnsi="Times New Roman"/>
          <w:sz w:val="20"/>
        </w:rPr>
        <w:t xml:space="preserve"> </w:t>
      </w:r>
    </w:p>
    <w:p>
      <w:pPr>
        <w:pStyle w:val="TextBody"/>
        <w:spacing w:before="200" w:after="0"/>
        <w:jc w:val="center"/>
        <w:rPr>
          <w:rFonts w:ascii="Arial;sans-serif" w:hAnsi="Arial;sans-serif"/>
          <w:b w:val="false"/>
          <w:sz w:val="20"/>
        </w:rPr>
      </w:pPr>
      <w:r>
        <w:rPr>
          <w:rFonts w:ascii="Arial;sans-serif" w:hAnsi="Arial;sans-serif"/>
          <w:b w:val="false"/>
          <w:sz w:val="20"/>
        </w:rPr>
        <w:t>48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56" w:name="other_matters"/>
      <w:bookmarkEnd w:id="56"/>
      <w:r>
        <w:rPr>
          <w:rFonts w:ascii="Arial;sans-serif" w:hAnsi="Arial;sans-serif"/>
          <w:b/>
          <w:sz w:val="20"/>
        </w:rPr>
        <w:t>OTHER MATTERS</w:t>
      </w:r>
      <w:r>
        <w:rPr>
          <w:rFonts w:ascii="Times New Roman" w:hAnsi="Times New Roman"/>
          <w:sz w:val="20"/>
        </w:rPr>
        <w:t xml:space="preserve"> </w:t>
      </w:r>
    </w:p>
    <w:p>
      <w:pPr>
        <w:pStyle w:val="TextBody"/>
        <w:spacing w:before="240" w:after="0"/>
        <w:jc w:val="left"/>
        <w:rPr>
          <w:rFonts w:ascii="Times New Roman" w:hAnsi="Times New Roman"/>
          <w:sz w:val="20"/>
        </w:rPr>
      </w:pPr>
      <w:bookmarkStart w:id="57" w:name="delinquent_section_16a_reports"/>
      <w:bookmarkEnd w:id="57"/>
      <w:r>
        <w:rPr>
          <w:rFonts w:ascii="Arial;sans-serif" w:hAnsi="Arial;sans-serif"/>
          <w:b/>
          <w:sz w:val="20"/>
        </w:rPr>
        <w:t>Delinquent Section 16(a) Reports</w:t>
      </w:r>
      <w:r>
        <w:rPr>
          <w:rFonts w:ascii="Times New Roman" w:hAnsi="Times New Roman"/>
          <w:sz w:val="20"/>
        </w:rPr>
        <w:t xml:space="preserve"> </w:t>
      </w:r>
    </w:p>
    <w:p>
      <w:pPr>
        <w:pStyle w:val="TextBody"/>
        <w:spacing w:before="120" w:after="0"/>
        <w:jc w:val="left"/>
        <w:rPr>
          <w:rFonts w:ascii="Arial;sans-serif" w:hAnsi="Arial;sans-serif"/>
          <w:b w:val="false"/>
          <w:sz w:val="20"/>
        </w:rPr>
      </w:pPr>
      <w:r>
        <w:rPr>
          <w:rFonts w:ascii="Arial;sans-serif" w:hAnsi="Arial;sans-serif"/>
          <w:b w:val="false"/>
          <w:sz w:val="20"/>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spacing w:before="240" w:after="0"/>
        <w:jc w:val="left"/>
        <w:rPr>
          <w:rFonts w:ascii="Arial;sans-serif" w:hAnsi="Arial;sans-serif"/>
          <w:b w:val="false"/>
          <w:sz w:val="20"/>
        </w:rPr>
      </w:pPr>
      <w:r>
        <w:rPr>
          <w:rFonts w:ascii="Arial;sans-serif" w:hAnsi="Arial;sans-serif"/>
          <w:b w:val="false"/>
          <w:sz w:val="20"/>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2022, all executive officers, directors and greater than 10% stockholders complied with all applicable SEC filing requirements, with the exception of one Form 4 inadvertently filed late on behalf of Dr. Canamasas in April 2022.</w:t>
      </w:r>
    </w:p>
    <w:p>
      <w:pPr>
        <w:pStyle w:val="TextBody"/>
        <w:spacing w:before="360" w:after="0"/>
        <w:jc w:val="left"/>
        <w:rPr>
          <w:rFonts w:ascii="Times New Roman" w:hAnsi="Times New Roman"/>
          <w:sz w:val="20"/>
        </w:rPr>
      </w:pPr>
      <w:bookmarkStart w:id="58" w:name="fy_annual_filings_and_sec_filings"/>
      <w:bookmarkEnd w:id="58"/>
      <w:r>
        <w:rPr>
          <w:rFonts w:ascii="Arial;sans-serif" w:hAnsi="Arial;sans-serif"/>
          <w:b/>
          <w:sz w:val="20"/>
        </w:rPr>
        <w:t>Fiscal Year 2022 Annual Report and SEC Filings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Our financial statements for our fiscal year ended December 31, 2022 are included in our Annual Report on Form 10-K filed with the SEC on March 9, 2023. This proxy statement and our Annual Report on Form 10-K are posted on our investor relations website at https://ir.alxoncology.com/ and are available from the SEC at its website at www.sec.gov. You may also obtain a copy of our Annual Report on Form 10-K without charge by sending a written request to ALX Oncology Holdings Inc., Attention: Investor Relations, 323 Allerton Avenue, South San Francisco, California 94080.</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Arial;sans-serif" w:hAnsi="Arial;sans-serif"/>
          <w:b w:val="false"/>
          <w:sz w:val="20"/>
        </w:rPr>
        <w:t>* * *</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 in the envelope that has also been provided.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sz w:val="20"/>
        </w:rPr>
        <w:t>THE BOARD OF DIRECTORS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Arial;sans-serif" w:hAnsi="Arial;sans-serif"/>
          <w:b w:val="false"/>
          <w:sz w:val="20"/>
        </w:rPr>
        <w:t>South San Francisco, California</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April 24, 2023</w:t>
      </w:r>
      <w:r>
        <w:rPr>
          <w:rFonts w:ascii="Times New Roman" w:hAnsi="Times New Roman"/>
          <w:sz w:val="20"/>
        </w:rPr>
        <w:t xml:space="preserve"> </w:t>
      </w:r>
    </w:p>
    <w:p>
      <w:pPr>
        <w:pStyle w:val="TextBody"/>
        <w:spacing w:before="120" w:after="0"/>
        <w:jc w:val="left"/>
        <w:rPr/>
      </w:pPr>
      <w:r>
        <w:rPr/>
        <w:t> </w:t>
      </w:r>
    </w:p>
    <w:p>
      <w:pPr>
        <w:pStyle w:val="TextBody"/>
        <w:spacing w:before="200" w:after="0"/>
        <w:jc w:val="center"/>
        <w:rPr>
          <w:rFonts w:ascii="Arial;sans-serif" w:hAnsi="Arial;sans-serif"/>
          <w:b w:val="false"/>
          <w:sz w:val="20"/>
        </w:rPr>
      </w:pPr>
      <w:r>
        <w:rPr>
          <w:rFonts w:ascii="Arial;sans-serif" w:hAnsi="Arial;sans-serif"/>
          <w:b w:val="false"/>
          <w:sz w:val="20"/>
        </w:rPr>
        <w:t>49</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5943600" cy="7696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7696200"/>
                    </a:xfrm>
                    <a:prstGeom prst="rect">
                      <a:avLst/>
                    </a:prstGeom>
                  </pic:spPr>
                </pic:pic>
              </a:graphicData>
            </a:graphic>
          </wp:inline>
        </w:drawing>
      </w:r>
      <w:r>
        <w:rPr/>
        <w:t> </w:t>
      </w:r>
    </w:p>
    <w:p>
      <w:pPr>
        <w:pStyle w:val="TextBody"/>
        <w:spacing w:before="200" w:after="0"/>
        <w:jc w:val="center"/>
        <w:rPr>
          <w:rFonts w:ascii="Arial;sans-serif" w:hAnsi="Arial;sans-serif"/>
          <w:b w:val="false"/>
          <w:sz w:val="20"/>
        </w:rPr>
      </w:pPr>
      <w:r>
        <w:rPr>
          <w:rFonts w:ascii="Arial;sans-serif" w:hAnsi="Arial;sans-serif"/>
          <w:b w:val="false"/>
          <w:sz w:val="20"/>
        </w:rPr>
        <w:t>50</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5943600" cy="7667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7667625"/>
                    </a:xfrm>
                    <a:prstGeom prst="rect">
                      <a:avLst/>
                    </a:prstGeom>
                  </pic:spPr>
                </pic:pic>
              </a:graphicData>
            </a:graphic>
          </wp:inline>
        </w:drawing>
      </w:r>
      <w:r>
        <w:rPr/>
        <w:t> </w:t>
      </w:r>
    </w:p>
    <w:p>
      <w:pPr>
        <w:pStyle w:val="TextBody"/>
        <w:spacing w:before="200" w:after="0"/>
        <w:jc w:val="center"/>
        <w:rPr>
          <w:rFonts w:ascii="Arial;sans-serif" w:hAnsi="Arial;sans-serif"/>
          <w:b w:val="false"/>
          <w:sz w:val="20"/>
        </w:rPr>
      </w:pPr>
      <w:r>
        <w:rPr>
          <w:rFonts w:ascii="Arial;sans-serif" w:hAnsi="Arial;sans-serif"/>
          <w:b w:val="false"/>
          <w:sz w:val="20"/>
        </w:rPr>
        <w:t>51</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charset w:val="00"/>
    <w:family w:val="auto"/>
    <w:pitch w:val="default"/>
  </w:font>
  <w:font w:name="Arial">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24706</Words>
  <CharactersWithSpaces>157176</CharactersWithSpaces>
  <Paragraphs>2750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